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2027-03-31.</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60/100</w:t>
            </w:r>
          </w:p>
        </w:tc>
        <w:tc>
          <w:tcPr>
            <w:tcW w:type="dxa" w:w="1422"/>
            <w:tcBorders>
              <w:bottom w:val="single" w:sz="6" w:space="4" w:color="D8DCE3"/>
            </w:tcBorders>
          </w:tcPr>
          <w:p>
            <w:pPr>
              <w:spacing w:after="60"/>
            </w:pPr>
            <w:r/>
            <w:r>
              <w:rPr>
                <w:rFonts w:ascii="Georgia" w:hAnsi="Georgia"/>
                <w:sz w:val="18"/>
              </w:rPr>
              <w:t>3</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2027-03-31.</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A draft written with an assistant is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Backlog items now multiply faster than anyone checks the path between them.</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release-line stage has a requirement behind it,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signing the PRD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signs off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sees the grade, every blocking defect, and every open question before deciding.</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is taught what each section is for before being asked about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2"/>
        <w:gridCol w:w="2573"/>
        <w:gridCol w:w="2489"/>
        <w:gridCol w:w="2573"/>
      </w:tblGrid>
      <w:tr>
        <w:tc>
          <w:tcPr>
            <w:tcW w:type="dxa" w:w="1033"/>
            <w:tcBorders>
              <w:bottom w:val="single" w:sz="12" w:space="4" w:color="16181D"/>
            </w:tcBorders>
          </w:tcPr>
          <w:p>
            <w:pPr>
              <w:spacing w:after="60"/>
            </w:pPr>
            <w:r/>
            <w:r>
              <w:rPr>
                <w:rFonts w:ascii="Calibri" w:hAnsi="Calibri"/>
                <w:b/>
                <w:caps/>
                <w:color w:val="5C6370"/>
                <w:sz w:val="15"/>
              </w:rPr>
              <w:t>ID</w:t>
            </w:r>
          </w:p>
        </w:tc>
        <w:tc>
          <w:tcPr>
            <w:tcW w:type="dxa" w:w="2573"/>
            <w:tcBorders>
              <w:bottom w:val="single" w:sz="12" w:space="4" w:color="16181D"/>
            </w:tcBorders>
          </w:tcPr>
          <w:p>
            <w:pPr>
              <w:spacing w:after="60"/>
            </w:pPr>
            <w:r/>
            <w:r>
              <w:rPr>
                <w:rFonts w:ascii="Calibri" w:hAnsi="Calibri"/>
                <w:b/>
                <w:caps/>
                <w:color w:val="5C6370"/>
                <w:sz w:val="15"/>
              </w:rPr>
              <w:t>Segment</w:t>
            </w:r>
          </w:p>
        </w:tc>
        <w:tc>
          <w:tcPr>
            <w:tcW w:type="dxa" w:w="2489"/>
            <w:tcBorders>
              <w:bottom w:val="single" w:sz="12" w:space="4" w:color="16181D"/>
            </w:tcBorders>
          </w:tcPr>
          <w:p>
            <w:pPr>
              <w:spacing w:after="60"/>
            </w:pPr>
            <w:r/>
            <w:r>
              <w:rPr>
                <w:rFonts w:ascii="Calibri" w:hAnsi="Calibri"/>
                <w:b/>
                <w:caps/>
                <w:color w:val="5C6370"/>
                <w:sz w:val="15"/>
              </w:rPr>
              <w:t>Buyer</w:t>
            </w:r>
          </w:p>
        </w:tc>
        <w:tc>
          <w:tcPr>
            <w:tcW w:type="dxa" w:w="2573"/>
            <w:tcBorders>
              <w:bottom w:val="single" w:sz="12" w:space="4" w:color="16181D"/>
            </w:tcBorders>
          </w:tcPr>
          <w:p>
            <w:pPr>
              <w:spacing w:after="60"/>
            </w:pPr>
            <w:r/>
            <w:r>
              <w:rPr>
                <w:rFonts w:ascii="Calibri" w:hAnsi="Calibri"/>
                <w:b/>
                <w:caps/>
                <w:color w:val="5C6370"/>
                <w:sz w:val="15"/>
              </w:rPr>
              <w:t>User</w:t>
            </w:r>
          </w:p>
        </w:tc>
      </w:tr>
      <w:tr>
        <w:tc>
          <w:tcPr>
            <w:tcW w:type="dxa" w:w="1033"/>
            <w:tcBorders>
              <w:bottom w:val="single" w:sz="6" w:space="4" w:color="D8DCE3"/>
            </w:tcBorders>
          </w:tcPr>
          <w:p>
            <w:pPr>
              <w:spacing w:after="60"/>
            </w:pPr>
            <w:r/>
            <w:r>
              <w:rPr>
                <w:rFonts w:ascii="Georgia" w:hAnsi="Georgia"/>
                <w:sz w:val="18"/>
              </w:rPr>
              <w:t>S-001</w:t>
            </w:r>
          </w:p>
        </w:tc>
        <w:tc>
          <w:tcPr>
            <w:tcW w:type="dxa" w:w="2573"/>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489"/>
            <w:tcBorders>
              <w:bottom w:val="single" w:sz="6" w:space="4" w:color="D8DCE3"/>
            </w:tcBorders>
          </w:tcPr>
          <w:p>
            <w:pPr>
              <w:spacing w:after="60"/>
            </w:pPr>
            <w:r/>
            <w:r>
              <w:rPr>
                <w:rFonts w:ascii="Georgia" w:hAnsi="Georgia"/>
                <w:sz w:val="18"/>
              </w:rPr>
              <w:t>Principal or practice lead, as the sponsor</w:t>
            </w:r>
          </w:p>
        </w:tc>
        <w:tc>
          <w:tcPr>
            <w:tcW w:type="dxa" w:w="2573"/>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3"/>
            <w:tcBorders>
              <w:bottom w:val="single" w:sz="6" w:space="4" w:color="D8DCE3"/>
            </w:tcBorders>
          </w:tcPr>
          <w:p>
            <w:pPr>
              <w:spacing w:after="60"/>
            </w:pPr>
            <w:r/>
            <w:r>
              <w:rPr>
                <w:rFonts w:ascii="Georgia" w:hAnsi="Georgia"/>
                <w:sz w:val="18"/>
              </w:rPr>
              <w:t>S-002</w:t>
            </w:r>
          </w:p>
        </w:tc>
        <w:tc>
          <w:tcPr>
            <w:tcW w:type="dxa" w:w="2573"/>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489"/>
            <w:tcBorders>
              <w:bottom w:val="single" w:sz="6" w:space="4" w:color="D8DCE3"/>
            </w:tcBorders>
          </w:tcPr>
          <w:p>
            <w:pPr>
              <w:spacing w:after="60"/>
            </w:pPr>
            <w:r/>
            <w:r>
              <w:rPr>
                <w:rFonts w:ascii="Georgia" w:hAnsi="Georgia"/>
                <w:sz w:val="18"/>
              </w:rPr>
              <w:t>Head of product or head of transformation, as the sponsor</w:t>
            </w:r>
          </w:p>
        </w:tc>
        <w:tc>
          <w:tcPr>
            <w:tcW w:type="dxa" w:w="2573"/>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out of scope for REL-001. The id S-003 is not reused.</w:t>
      </w:r>
    </w:p>
    <w:p>
      <w:pPr>
        <w:pStyle w:val="Heading3"/>
      </w:pPr>
      <w:r>
        <w:t>Why we win</w:t>
      </w:r>
    </w:p>
    <w:p>
      <w:r>
        <w:rPr>
          <w:rFonts w:ascii="Georgia" w:hAnsi="Georgia"/>
        </w:rPr>
        <w:t>Against the cost of contracting a product manager for the engagement, the buyer gets a PRD written by the person who holds the domain knowledge, with every gap an engineer could not build from named before anyone estimates. The day rate the comparison rests on is Q-013.</w:t>
      </w:r>
    </w:p>
    <w:p>
      <w:r>
        <w:rPr>
          <w:rFonts w:ascii="Georgia" w:hAnsi="Georgia"/>
          <w:b/>
        </w:rPr>
        <w:t>Honest weakness.</w:t>
      </w:r>
      <w:r>
        <w:rPr>
          <w:rFonts w:ascii="Georgia" w:hAnsi="Georgia"/>
        </w:rPr>
        <w:t xml:space="preserve"> Against a product manager who already holds the domain, we have no quality edge, only availability and cost.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sponsor may trust a machine-produced grade less, not more (Q-005).</w:t>
            </w:r>
          </w:p>
          <w:p>
            <w:pPr>
              <w:spacing w:after="40"/>
              <w:ind w:left="173"/>
            </w:pPr>
            <w:r>
              <w:rPr>
                <w:rFonts w:ascii="Georgia" w:hAnsi="Georgia"/>
                <w:sz w:val="19"/>
              </w:rPr>
              <w:t>• The product runs only inside an assistant session the expert already uses (D-001).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or head of transformation,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sponsor may trust a machine-produced grade less, not more (Q-005).</w:t>
            </w:r>
          </w:p>
          <w:p>
            <w:pPr>
              <w:spacing w:after="40"/>
              <w:ind w:left="173"/>
            </w:pPr>
            <w:r>
              <w:rPr>
                <w:rFonts w:ascii="Georgia" w:hAnsi="Georgia"/>
                <w:sz w:val="19"/>
              </w:rPr>
              <w:t>• An engineering lead may read a PRD that names no technology as incomplete (A-003).</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Each section is graded against a published rubric, and before anyone estimates, the buyer holds a report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PRD is written by the person who holds the domain knowledge, so no domain fact passes through a second person, and the buyer sees each section's grade and blocking defects before approving.</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2027-03-31,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2027-03-31.</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2027-03-31.</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2027-03-31.</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1"/>
        <w:gridCol w:w="2341"/>
        <w:gridCol w:w="1134"/>
        <w:gridCol w:w="1617"/>
        <w:gridCol w:w="2341"/>
      </w:tblGrid>
      <w:tr>
        <w:tc>
          <w:tcPr>
            <w:tcW w:type="dxa" w:w="1062"/>
            <w:tcBorders>
              <w:bottom w:val="single" w:sz="12" w:space="4" w:color="16181D"/>
            </w:tcBorders>
          </w:tcPr>
          <w:p>
            <w:pPr>
              <w:spacing w:after="60"/>
            </w:pPr>
            <w:r/>
            <w:r>
              <w:rPr>
                <w:rFonts w:ascii="Calibri" w:hAnsi="Calibri"/>
                <w:b/>
                <w:caps/>
                <w:color w:val="5C6370"/>
                <w:sz w:val="15"/>
              </w:rPr>
              <w:t>ID</w:t>
            </w:r>
          </w:p>
        </w:tc>
        <w:tc>
          <w:tcPr>
            <w:tcW w:type="dxa" w:w="2341"/>
            <w:tcBorders>
              <w:bottom w:val="single" w:sz="12" w:space="4" w:color="16181D"/>
            </w:tcBorders>
          </w:tcPr>
          <w:p>
            <w:pPr>
              <w:spacing w:after="60"/>
            </w:pPr>
            <w:r/>
            <w:r>
              <w:rPr>
                <w:rFonts w:ascii="Calibri" w:hAnsi="Calibri"/>
                <w:b/>
                <w:caps/>
                <w:color w:val="5C6370"/>
                <w:sz w:val="15"/>
              </w:rPr>
              <w:t>Role</w:t>
            </w:r>
          </w:p>
        </w:tc>
        <w:tc>
          <w:tcPr>
            <w:tcW w:type="dxa" w:w="1134"/>
            <w:tcBorders>
              <w:bottom w:val="single" w:sz="12" w:space="4" w:color="16181D"/>
            </w:tcBorders>
          </w:tcPr>
          <w:p>
            <w:pPr>
              <w:spacing w:after="60"/>
            </w:pPr>
            <w:r/>
            <w:r>
              <w:rPr>
                <w:rFonts w:ascii="Calibri" w:hAnsi="Calibri"/>
                <w:b/>
                <w:caps/>
                <w:color w:val="5C6370"/>
                <w:sz w:val="15"/>
              </w:rPr>
              <w:t>Per PRD</w:t>
            </w:r>
          </w:p>
        </w:tc>
        <w:tc>
          <w:tcPr>
            <w:tcW w:type="dxa" w:w="1617"/>
            <w:tcBorders>
              <w:bottom w:val="single" w:sz="12" w:space="4" w:color="16181D"/>
            </w:tcBorders>
          </w:tcPr>
          <w:p>
            <w:pPr>
              <w:spacing w:after="60"/>
            </w:pPr>
            <w:r/>
            <w:r>
              <w:rPr>
                <w:rFonts w:ascii="Calibri" w:hAnsi="Calibri"/>
                <w:b/>
                <w:caps/>
                <w:color w:val="5C6370"/>
                <w:sz w:val="15"/>
              </w:rPr>
              <w:t>Frequency</w:t>
            </w:r>
          </w:p>
        </w:tc>
        <w:tc>
          <w:tcPr>
            <w:tcW w:type="dxa" w:w="2341"/>
            <w:tcBorders>
              <w:bottom w:val="single" w:sz="12" w:space="4" w:color="16181D"/>
            </w:tcBorders>
          </w:tcPr>
          <w:p>
            <w:pPr>
              <w:spacing w:after="60"/>
            </w:pPr>
            <w:r/>
            <w:r>
              <w:rPr>
                <w:rFonts w:ascii="Calibri" w:hAnsi="Calibri"/>
                <w:b/>
                <w:caps/>
                <w:color w:val="5C6370"/>
                <w:sz w:val="15"/>
              </w:rPr>
              <w:t>Decides</w:t>
            </w:r>
          </w:p>
        </w:tc>
      </w:tr>
      <w:tr>
        <w:tc>
          <w:tcPr>
            <w:tcW w:type="dxa" w:w="1062"/>
            <w:tcBorders>
              <w:bottom w:val="single" w:sz="6" w:space="4" w:color="D8DCE3"/>
            </w:tcBorders>
          </w:tcPr>
          <w:p>
            <w:pPr>
              <w:spacing w:after="60"/>
            </w:pPr>
            <w:r/>
            <w:r>
              <w:rPr>
                <w:rFonts w:ascii="Georgia" w:hAnsi="Georgia"/>
                <w:sz w:val="18"/>
              </w:rPr>
              <w:t>PER-001</w:t>
            </w:r>
          </w:p>
        </w:tc>
        <w:tc>
          <w:tcPr>
            <w:tcW w:type="dxa" w:w="2341"/>
            <w:tcBorders>
              <w:bottom w:val="single" w:sz="6" w:space="4" w:color="D8DCE3"/>
            </w:tcBorders>
          </w:tcPr>
          <w:p>
            <w:pPr>
              <w:spacing w:after="60"/>
            </w:pPr>
            <w:r/>
            <w:r>
              <w:rPr>
                <w:rFonts w:ascii="Georgia" w:hAnsi="Georgia"/>
                <w:sz w:val="18"/>
              </w:rPr>
              <w:t>Product manager: the domain expert, or a proxy who speaks for one</w:t>
            </w:r>
          </w:p>
        </w:tc>
        <w:tc>
          <w:tcPr>
            <w:tcW w:type="dxa" w:w="1134"/>
            <w:tcBorders>
              <w:bottom w:val="single" w:sz="6" w:space="4" w:color="D8DCE3"/>
            </w:tcBorders>
          </w:tcPr>
          <w:p>
            <w:pPr>
              <w:spacing w:after="60"/>
            </w:pPr>
            <w:r/>
            <w:r>
              <w:rPr>
                <w:rFonts w:ascii="Georgia" w:hAnsi="Georgia"/>
                <w:sz w:val="18"/>
              </w:rPr>
              <w:t>One</w:t>
            </w:r>
          </w:p>
        </w:tc>
        <w:tc>
          <w:tcPr>
            <w:tcW w:type="dxa" w:w="1617"/>
            <w:tcBorders>
              <w:bottom w:val="single" w:sz="6" w:space="4" w:color="D8DCE3"/>
            </w:tcBorders>
          </w:tcPr>
          <w:p>
            <w:pPr>
              <w:spacing w:after="60"/>
            </w:pPr>
            <w:r/>
            <w:r>
              <w:rPr>
                <w:rFonts w:ascii="Georgia" w:hAnsi="Georgia"/>
                <w:sz w:val="18"/>
              </w:rPr>
              <w:t>Weeks per product, then rarely</w:t>
            </w:r>
          </w:p>
        </w:tc>
        <w:tc>
          <w:tcPr>
            <w:tcW w:type="dxa" w:w="2341"/>
            <w:tcBorders>
              <w:bottom w:val="single" w:sz="6" w:space="4" w:color="D8DCE3"/>
            </w:tcBorders>
          </w:tcPr>
          <w:p>
            <w:pPr>
              <w:spacing w:after="60"/>
            </w:pPr>
            <w:r/>
            <w:r>
              <w:rPr>
                <w:rFonts w:ascii="Georgia" w:hAnsi="Georgia"/>
                <w:sz w:val="18"/>
              </w:rPr>
              <w:t>What the product must do, scope, the domain's terms, when an interview ends, drafts, section states, scores, domain facts, and when the set is offered; not the PRD itself where a sponsor exists</w:t>
            </w:r>
          </w:p>
        </w:tc>
      </w:tr>
      <w:tr>
        <w:tc>
          <w:tcPr>
            <w:tcW w:type="dxa" w:w="1062"/>
            <w:tcBorders>
              <w:bottom w:val="single" w:sz="6" w:space="4" w:color="D8DCE3"/>
            </w:tcBorders>
          </w:tcPr>
          <w:p>
            <w:pPr>
              <w:spacing w:after="60"/>
            </w:pPr>
            <w:r/>
            <w:r>
              <w:rPr>
                <w:rFonts w:ascii="Georgia" w:hAnsi="Georgia"/>
                <w:sz w:val="18"/>
              </w:rPr>
              <w:t>PER-002</w:t>
            </w:r>
          </w:p>
        </w:tc>
        <w:tc>
          <w:tcPr>
            <w:tcW w:type="dxa" w:w="2341"/>
            <w:tcBorders>
              <w:bottom w:val="single" w:sz="6" w:space="4" w:color="D8DCE3"/>
            </w:tcBorders>
          </w:tcPr>
          <w:p>
            <w:pPr>
              <w:spacing w:after="60"/>
            </w:pPr>
            <w:r/>
            <w:r>
              <w:rPr>
                <w:rFonts w:ascii="Georgia" w:hAnsi="Georgia"/>
                <w:sz w:val="18"/>
              </w:rPr>
              <w:t>Engineering lead (staff or principal engineer) on the delivery team</w:t>
            </w:r>
          </w:p>
        </w:tc>
        <w:tc>
          <w:tcPr>
            <w:tcW w:type="dxa" w:w="1134"/>
            <w:tcBorders>
              <w:bottom w:val="single" w:sz="6" w:space="4" w:color="D8DCE3"/>
            </w:tcBorders>
          </w:tcPr>
          <w:p>
            <w:pPr>
              <w:spacing w:after="60"/>
            </w:pPr>
            <w:r/>
            <w:r>
              <w:rPr>
                <w:rFonts w:ascii="Georgia" w:hAnsi="Georgia"/>
                <w:sz w:val="18"/>
              </w:rPr>
              <w:t>One or two</w:t>
            </w:r>
          </w:p>
        </w:tc>
        <w:tc>
          <w:tcPr>
            <w:tcW w:type="dxa" w:w="1617"/>
            <w:tcBorders>
              <w:bottom w:val="single" w:sz="6" w:space="4" w:color="D8DCE3"/>
            </w:tcBorders>
          </w:tcPr>
          <w:p>
            <w:pPr>
              <w:spacing w:after="60"/>
            </w:pPr>
            <w:r/>
            <w:r>
              <w:rPr>
                <w:rFonts w:ascii="Georgia" w:hAnsi="Georgia"/>
                <w:sz w:val="18"/>
              </w:rPr>
              <w:t>A handful of intensive reads</w:t>
            </w:r>
          </w:p>
        </w:tc>
        <w:tc>
          <w:tcPr>
            <w:tcW w:type="dxa" w:w="2341"/>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62"/>
            <w:tcBorders>
              <w:bottom w:val="single" w:sz="6" w:space="4" w:color="D8DCE3"/>
            </w:tcBorders>
          </w:tcPr>
          <w:p>
            <w:pPr>
              <w:spacing w:after="60"/>
            </w:pPr>
            <w:r/>
            <w:r>
              <w:rPr>
                <w:rFonts w:ascii="Georgia" w:hAnsi="Georgia"/>
                <w:sz w:val="18"/>
              </w:rPr>
              <w:t>PER-003</w:t>
            </w:r>
          </w:p>
        </w:tc>
        <w:tc>
          <w:tcPr>
            <w:tcW w:type="dxa" w:w="2341"/>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134"/>
            <w:tcBorders>
              <w:bottom w:val="single" w:sz="6" w:space="4" w:color="D8DCE3"/>
            </w:tcBorders>
          </w:tcPr>
          <w:p>
            <w:pPr>
              <w:spacing w:after="60"/>
            </w:pPr>
            <w:r/>
            <w:r>
              <w:rPr>
                <w:rFonts w:ascii="Georgia" w:hAnsi="Georgia"/>
                <w:sz w:val="18"/>
              </w:rPr>
              <w:t>One</w:t>
            </w:r>
          </w:p>
        </w:tc>
        <w:tc>
          <w:tcPr>
            <w:tcW w:type="dxa" w:w="1617"/>
            <w:tcBorders>
              <w:bottom w:val="single" w:sz="6" w:space="4" w:color="D8DCE3"/>
            </w:tcBorders>
          </w:tcPr>
          <w:p>
            <w:pPr>
              <w:spacing w:after="60"/>
            </w:pPr>
            <w:r/>
            <w:r>
              <w:rPr>
                <w:rFonts w:ascii="Georgia" w:hAnsi="Georgia"/>
                <w:sz w:val="18"/>
              </w:rPr>
              <w:t>Once per version</w:t>
            </w:r>
          </w:p>
        </w:tc>
        <w:tc>
          <w:tcPr>
            <w:tcW w:type="dxa" w:w="2341"/>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62"/>
            <w:tcBorders>
              <w:bottom w:val="single" w:sz="6" w:space="4" w:color="D8DCE3"/>
            </w:tcBorders>
          </w:tcPr>
          <w:p>
            <w:pPr>
              <w:spacing w:after="60"/>
            </w:pPr>
            <w:r/>
            <w:r>
              <w:rPr>
                <w:rFonts w:ascii="Georgia" w:hAnsi="Georgia"/>
                <w:sz w:val="18"/>
              </w:rPr>
              <w:t>PER-004</w:t>
            </w:r>
          </w:p>
        </w:tc>
        <w:tc>
          <w:tcPr>
            <w:tcW w:type="dxa" w:w="2341"/>
            <w:tcBorders>
              <w:bottom w:val="single" w:sz="6" w:space="4" w:color="D8DCE3"/>
            </w:tcBorders>
          </w:tcPr>
          <w:p>
            <w:pPr>
              <w:spacing w:after="60"/>
            </w:pPr>
            <w:r/>
            <w:r>
              <w:rPr>
                <w:rFonts w:ascii="Georgia" w:hAnsi="Georgia"/>
                <w:sz w:val="18"/>
              </w:rPr>
              <w:t>Delivery lead (delivery manager or product owner) on the delivery team</w:t>
            </w:r>
          </w:p>
        </w:tc>
        <w:tc>
          <w:tcPr>
            <w:tcW w:type="dxa" w:w="1134"/>
            <w:tcBorders>
              <w:bottom w:val="single" w:sz="6" w:space="4" w:color="D8DCE3"/>
            </w:tcBorders>
          </w:tcPr>
          <w:p>
            <w:pPr>
              <w:spacing w:after="60"/>
            </w:pPr>
            <w:r/>
            <w:r>
              <w:rPr>
                <w:rFonts w:ascii="Georgia" w:hAnsi="Georgia"/>
                <w:sz w:val="18"/>
              </w:rPr>
              <w:t>One</w:t>
            </w:r>
          </w:p>
        </w:tc>
        <w:tc>
          <w:tcPr>
            <w:tcW w:type="dxa" w:w="1617"/>
            <w:tcBorders>
              <w:bottom w:val="single" w:sz="6" w:space="4" w:color="D8DCE3"/>
            </w:tcBorders>
          </w:tcPr>
          <w:p>
            <w:pPr>
              <w:spacing w:after="60"/>
            </w:pPr>
            <w:r/>
            <w:r>
              <w:rPr>
                <w:rFonts w:ascii="Georgia" w:hAnsi="Georgia"/>
                <w:sz w:val="18"/>
              </w:rPr>
              <w:t>Once per release</w:t>
            </w:r>
          </w:p>
        </w:tc>
        <w:tc>
          <w:tcPr>
            <w:tcW w:type="dxa" w:w="2341"/>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In segment S-001 the client's staff supply domain knowledge to the expert, but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Product manager: the domain expert, or a proxy who speaks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sessions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an assistant session they already use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delivery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the exported PDF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delivery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No dependency tests it yet.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79/100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5486400" cy="2032666"/>
            <wp:docPr id="2" name="Picture 2"/>
            <wp:cNvGraphicFramePr>
              <a:graphicFrameLocks noChangeAspect="1"/>
            </wp:cNvGraphicFramePr>
            <a:graphic>
              <a:graphicData uri="http://schemas.openxmlformats.org/drawingml/2006/picture">
                <pic:pic>
                  <pic:nvPicPr>
                    <pic:cNvPr id="0" name="J-001-satisfaction.png"/>
                    <pic:cNvPicPr/>
                  </pic:nvPicPr>
                  <pic:blipFill>
                    <a:blip r:embed="rId10"/>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it ready for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the exported PDF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3" name="Picture 3"/>
            <wp:cNvGraphicFramePr>
              <a:graphicFrameLocks noChangeAspect="1"/>
            </wp:cNvGraphicFramePr>
            <a:graphic>
              <a:graphicData uri="http://schemas.openxmlformats.org/drawingml/2006/picture">
                <pic:pic>
                  <pic:nvPicPr>
                    <pic:cNvPr id="0" name="J-002.png"/>
                    <pic:cNvPicPr/>
                  </pic:nvPicPr>
                  <pic:blipFill>
                    <a:blip r:embed="rId11"/>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4" name="Picture 4"/>
            <wp:cNvGraphicFramePr>
              <a:graphicFrameLocks noChangeAspect="1"/>
            </wp:cNvGraphicFramePr>
            <a:graphic>
              <a:graphicData uri="http://schemas.openxmlformats.org/drawingml/2006/picture">
                <pic:pic>
                  <pic:nvPicPr>
                    <pic:cNvPr id="0" name="J-002-satisfaction.png"/>
                    <pic:cNvPicPr/>
                  </pic:nvPicPr>
                  <pic:blipFill>
                    <a:blip r:embed="rId12"/>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 answers would already score the section 70 or more with no blocking defect, or when the expert says they have nothing more to add, and the section is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the whole set to be reviewed as an engineer would read it; Sees what an engineer could not build, and what they would have to guess; Sees which release-line stages have no requirement behind them; Closes each gap, or records it as an open question with a decider and a date</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the exported PDF,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062065" cy="7315200"/>
            <wp:docPr id="5" name="Picture 5"/>
            <wp:cNvGraphicFramePr>
              <a:graphicFrameLocks noChangeAspect="1"/>
            </wp:cNvGraphicFramePr>
            <a:graphic>
              <a:graphicData uri="http://schemas.openxmlformats.org/drawingml/2006/picture">
                <pic:pic>
                  <pic:nvPicPr>
                    <pic:cNvPr id="0" name="SC-001.png"/>
                    <pic:cNvPicPr/>
                  </pic:nvPicPr>
                  <pic:blipFill>
                    <a:blip r:embed="rId13"/>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6" name="Picture 6"/>
            <wp:cNvGraphicFramePr>
              <a:graphicFrameLocks noChangeAspect="1"/>
            </wp:cNvGraphicFramePr>
            <a:graphic>
              <a:graphicData uri="http://schemas.openxmlformats.org/drawingml/2006/picture">
                <pic:pic>
                  <pic:nvPicPr>
                    <pic:cNvPr id="0" name="LC-001.png"/>
                    <pic:cNvPicPr/>
                  </pic:nvPicPr>
                  <pic:blipFill>
                    <a:blip r:embed="rId14"/>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7" name="Picture 7"/>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8" name="Picture 8"/>
            <wp:cNvGraphicFramePr>
              <a:graphicFrameLocks noChangeAspect="1"/>
            </wp:cNvGraphicFramePr>
            <a:graphic>
              <a:graphicData uri="http://schemas.openxmlformats.org/drawingml/2006/picture">
                <pic:pic>
                  <pic:nvPicPr>
                    <pic:cNvPr id="0" name="SC-002.png"/>
                    <pic:cNvPicPr/>
                  </pic:nvPicPr>
                  <pic:blipFill>
                    <a:blip r:embed="rId16"/>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9" name="Picture 9"/>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0" name="Picture 10"/>
            <wp:cNvGraphicFramePr>
              <a:graphicFrameLocks noChangeAspect="1"/>
            </wp:cNvGraphicFramePr>
            <a:graphic>
              <a:graphicData uri="http://schemas.openxmlformats.org/drawingml/2006/picture">
                <pic:pic>
                  <pic:nvPicPr>
                    <pic:cNvPr id="0" name="SC-003.png"/>
                    <pic:cNvPicPr/>
                  </pic:nvPicPr>
                  <pic:blipFill>
                    <a:blip r:embed="rId18"/>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1" name="Picture 11"/>
            <wp:cNvGraphicFramePr>
              <a:graphicFrameLocks noChangeAspect="1"/>
            </wp:cNvGraphicFramePr>
            <a:graphic>
              <a:graphicData uri="http://schemas.openxmlformats.org/drawingml/2006/picture">
                <pic:pic>
                  <pic:nvPicPr>
                    <pic:cNvPr id="0" name="SC-004.png"/>
                    <pic:cNvPicPr/>
                  </pic:nvPicPr>
                  <pic:blipFill>
                    <a:blip r:embed="rId19"/>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739922" cy="7315200"/>
            <wp:docPr id="13" name="Picture 13"/>
            <wp:cNvGraphicFramePr>
              <a:graphicFrameLocks noChangeAspect="1"/>
            </wp:cNvGraphicFramePr>
            <a:graphic>
              <a:graphicData uri="http://schemas.openxmlformats.org/drawingml/2006/picture">
                <pic:pic>
                  <pic:nvPicPr>
                    <pic:cNvPr id="0" name="SC-005.png"/>
                    <pic:cNvPicPr/>
                  </pic:nvPicPr>
                  <pic:blipFill>
                    <a:blip r:embed="rId21"/>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4" name="Picture 14"/>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5" name="Picture 15"/>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6" name="Picture 16"/>
            <wp:cNvGraphicFramePr>
              <a:graphicFrameLocks noChangeAspect="1"/>
            </wp:cNvGraphicFramePr>
            <a:graphic>
              <a:graphicData uri="http://schemas.openxmlformats.org/drawingml/2006/picture">
                <pic:pic>
                  <pic:nvPicPr>
                    <pic:cNvPr id="0" name="SC-006.png"/>
                    <pic:cNvPicPr/>
                  </pic:nvPicPr>
                  <pic:blipFill>
                    <a:blip r:embed="rId2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1979606" cy="7315200"/>
            <wp:docPr id="17" name="Picture 17"/>
            <wp:cNvGraphicFramePr>
              <a:graphicFrameLocks noChangeAspect="1"/>
            </wp:cNvGraphicFramePr>
            <a:graphic>
              <a:graphicData uri="http://schemas.openxmlformats.org/drawingml/2006/picture">
                <pic:pic>
                  <pic:nvPicPr>
                    <pic:cNvPr id="0" name="SC-007.png"/>
                    <pic:cNvPicPr/>
                  </pic:nvPicPr>
                  <pic:blipFill>
                    <a:blip r:embed="rId25"/>
                    <a:stretch>
                      <a:fillRect/>
                    </a:stretch>
                  </pic:blipFill>
                  <pic:spPr>
                    <a:xfrm>
                      <a:off x="0" y="0"/>
                      <a:ext cx="1979606"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8" name="Picture 18"/>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9" name="Picture 19"/>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0" name="Picture 20"/>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1" name="Picture 2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2" name="Picture 22"/>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3" name="Picture 23"/>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under TR-002,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the exported PDF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see every section and its state, and resume without repeating an answer</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 FR-015</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pass</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and see the section re-graded against the same rubric</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Give the sponsor one document, and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Q-005 shows a sponsor needs a view beyond the root document</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r>
        <w:tc>
          <w:tcPr>
            <w:tcW w:type="dxa" w:w="1233"/>
            <w:tcBorders>
              <w:bottom w:val="single" w:sz="6" w:space="4" w:color="D8DCE3"/>
            </w:tcBorders>
          </w:tcPr>
          <w:p>
            <w:pPr>
              <w:spacing w:after="60"/>
            </w:pPr>
            <w:r/>
            <w:r>
              <w:rPr>
                <w:rFonts w:ascii="Georgia" w:hAnsi="Georgia"/>
                <w:sz w:val="18"/>
              </w:rPr>
              <w:t>OUT-005</w:t>
            </w:r>
          </w:p>
        </w:tc>
        <w:tc>
          <w:tcPr>
            <w:tcW w:type="dxa" w:w="3805"/>
            <w:tcBorders>
              <w:bottom w:val="single" w:sz="6" w:space="4" w:color="D8DCE3"/>
            </w:tcBorders>
          </w:tcPr>
          <w:p>
            <w:pPr>
              <w:spacing w:after="60"/>
            </w:pPr>
            <w:r/>
            <w:r>
              <w:rPr>
                <w:rFonts w:ascii="Georgia" w:hAnsi="Georgia"/>
                <w:sz w:val="18"/>
              </w:rPr>
              <w:t>Product teams entering a domain they do not know</w:t>
            </w:r>
          </w:p>
        </w:tc>
        <w:tc>
          <w:tcPr>
            <w:tcW w:type="dxa" w:w="3805"/>
            <w:tcBorders>
              <w:bottom w:val="single" w:sz="6" w:space="4" w:color="D8DCE3"/>
            </w:tcBorders>
          </w:tcPr>
          <w:p>
            <w:pPr>
              <w:spacing w:after="60"/>
            </w:pPr>
            <w:r/>
            <w:r>
              <w:rPr>
                <w:rFonts w:ascii="Georgia" w:hAnsi="Georgia"/>
                <w:sz w:val="18"/>
              </w:rPr>
              <w:t>After Q-004 sizes the segments, by 2027-06-30</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already works in an assistant session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were segment S-003 in section 2, then a non-goal, and are now OUT-005, because they are excluded only until the segments are sized.</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see every section of the set and its state,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pass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and see the section re-graded against the same rubric</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Review the whole set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Give the sponsor one document with the summary, the scope, the grades, and the open questions, and record the sponsor's decision,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Q-005, asked of three sponsors, shows that a sponsor needs a view beyond the root document. The sponsor reads one document, the root document, which FR-013 says carries everything they need.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OUT-005  </w:t>
      </w:r>
      <w:r>
        <w:rPr>
          <w:rFonts w:ascii="Calibri" w:hAnsi="Calibri"/>
          <w:b/>
          <w:sz w:val="20"/>
        </w:rPr>
        <w:t>Product teams entering a domain they do not know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After Q-004 sizes the segments in section 2, by 2027-06-30. They already employ the product skill and want the domain, which prd-forge does not supply.</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pass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20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4" name="Picture 24"/>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5" name="Picture 25"/>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6" name="Picture 26"/>
            <wp:cNvGraphicFramePr>
              <a:graphicFrameLocks noChangeAspect="1"/>
            </wp:cNvGraphicFramePr>
            <a:graphic>
              <a:graphicData uri="http://schemas.openxmlformats.org/drawingml/2006/picture">
                <pic:pic>
                  <pic:nvPicPr>
                    <pic:cNvPr id="0" name="WF-003.png"/>
                    <pic:cNvPicPr/>
                  </pic:nvPicPr>
                  <pic:blipFill>
                    <a:blip r:embed="rId30"/>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7" name="Picture 27"/>
            <wp:cNvGraphicFramePr>
              <a:graphicFrameLocks noChangeAspect="1"/>
            </wp:cNvGraphicFramePr>
            <a:graphic>
              <a:graphicData uri="http://schemas.openxmlformats.org/drawingml/2006/picture">
                <pic:pic>
                  <pic:nvPicPr>
                    <pic:cNvPr id="0" name="WF-004.png"/>
                    <pic:cNvPicPr/>
                  </pic:nvPicPr>
                  <pic:blipFill>
                    <a:blip r:embed="rId31"/>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8" name="Picture 28"/>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9" name="Picture 29"/>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0" name="Picture 30"/>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1" name="Picture 3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32" name="Picture 32"/>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3" name="Picture 33"/>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84/100 · no blocking defects</w:t>
      </w:r>
    </w:p>
    <w:p>
      <w:pPr>
        <w:jc w:val="center"/>
      </w:pPr>
      <w:r>
        <w:drawing>
          <wp:inline xmlns:a="http://schemas.openxmlformats.org/drawingml/2006/main" xmlns:pic="http://schemas.openxmlformats.org/drawingml/2006/picture">
            <wp:extent cx="4186120" cy="7315200"/>
            <wp:docPr id="34" name="Picture 34"/>
            <wp:cNvGraphicFramePr>
              <a:graphicFrameLocks noChangeAspect="1"/>
            </wp:cNvGraphicFramePr>
            <a:graphic>
              <a:graphicData uri="http://schemas.openxmlformats.org/drawingml/2006/picture">
                <pic:pic>
                  <pic:nvPicPr>
                    <pic:cNvPr id="0" name="decision-rights.png"/>
                    <pic:cNvPicPr/>
                  </pic:nvPicPr>
                  <pic:blipFill>
                    <a:blip r:embed="rId32"/>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4"/>
        <w:gridCol w:w="2931"/>
        <w:gridCol w:w="1209"/>
        <w:gridCol w:w="1617"/>
        <w:gridCol w:w="1572"/>
      </w:tblGrid>
      <w:tr>
        <w:tc>
          <w:tcPr>
            <w:tcW w:type="dxa" w:w="1165"/>
            <w:tcBorders>
              <w:bottom w:val="single" w:sz="12" w:space="4" w:color="16181D"/>
            </w:tcBorders>
          </w:tcPr>
          <w:p>
            <w:pPr>
              <w:spacing w:after="60"/>
            </w:pPr>
            <w:r/>
            <w:r>
              <w:rPr>
                <w:rFonts w:ascii="Calibri" w:hAnsi="Calibri"/>
                <w:b/>
                <w:caps/>
                <w:color w:val="5C6370"/>
                <w:sz w:val="15"/>
              </w:rPr>
              <w:t>ID</w:t>
            </w:r>
          </w:p>
        </w:tc>
        <w:tc>
          <w:tcPr>
            <w:tcW w:type="dxa" w:w="2931"/>
            <w:tcBorders>
              <w:bottom w:val="single" w:sz="12" w:space="4" w:color="16181D"/>
            </w:tcBorders>
          </w:tcPr>
          <w:p>
            <w:pPr>
              <w:spacing w:after="60"/>
            </w:pPr>
            <w:r/>
            <w:r>
              <w:rPr>
                <w:rFonts w:ascii="Calibri" w:hAnsi="Calibri"/>
                <w:b/>
                <w:caps/>
                <w:color w:val="5C6370"/>
                <w:sz w:val="15"/>
              </w:rPr>
              <w:t>Decision</w:t>
            </w:r>
          </w:p>
        </w:tc>
        <w:tc>
          <w:tcPr>
            <w:tcW w:type="dxa" w:w="1210"/>
            <w:tcBorders>
              <w:bottom w:val="single" w:sz="12" w:space="4" w:color="16181D"/>
            </w:tcBorders>
          </w:tcPr>
          <w:p>
            <w:pPr>
              <w:spacing w:after="60"/>
            </w:pPr>
            <w:r/>
            <w:r>
              <w:rPr>
                <w:rFonts w:ascii="Calibri" w:hAnsi="Calibri"/>
                <w:b/>
                <w:caps/>
                <w:color w:val="5C6370"/>
                <w:sz w:val="15"/>
              </w:rPr>
              <w:t>Decider</w:t>
            </w:r>
          </w:p>
        </w:tc>
        <w:tc>
          <w:tcPr>
            <w:tcW w:type="dxa" w:w="1618"/>
            <w:tcBorders>
              <w:bottom w:val="single" w:sz="12" w:space="4" w:color="16181D"/>
            </w:tcBorders>
          </w:tcPr>
          <w:p>
            <w:pPr>
              <w:spacing w:after="60"/>
            </w:pPr>
            <w:r/>
            <w:r>
              <w:rPr>
                <w:rFonts w:ascii="Calibri" w:hAnsi="Calibri"/>
                <w:b/>
                <w:caps/>
                <w:color w:val="5C6370"/>
                <w:sz w:val="15"/>
              </w:rPr>
              <w:t>Agent may decide</w:t>
            </w:r>
          </w:p>
        </w:tc>
        <w:tc>
          <w:tcPr>
            <w:tcW w:type="dxa" w:w="1572"/>
            <w:tcBorders>
              <w:bottom w:val="single" w:sz="12" w:space="4" w:color="16181D"/>
            </w:tcBorders>
          </w:tcPr>
          <w:p>
            <w:pPr>
              <w:spacing w:after="60"/>
            </w:pPr>
            <w:r/>
            <w:r>
              <w:rPr>
                <w:rFonts w:ascii="Calibri" w:hAnsi="Calibri"/>
                <w:b/>
                <w:caps/>
                <w:color w:val="5C6370"/>
                <w:sz w:val="15"/>
              </w:rPr>
              <w:t>Never delegated</w:t>
            </w:r>
          </w:p>
        </w:tc>
      </w:tr>
      <w:tr>
        <w:tc>
          <w:tcPr>
            <w:tcW w:type="dxa" w:w="1165"/>
            <w:tcBorders>
              <w:bottom w:val="single" w:sz="6" w:space="4" w:color="D8DCE3"/>
            </w:tcBorders>
          </w:tcPr>
          <w:p>
            <w:pPr>
              <w:spacing w:after="60"/>
            </w:pPr>
            <w:r/>
            <w:r>
              <w:rPr>
                <w:rFonts w:ascii="Georgia" w:hAnsi="Georgia"/>
                <w:sz w:val="18"/>
              </w:rPr>
              <w:t>TR-001</w:t>
            </w:r>
          </w:p>
        </w:tc>
        <w:tc>
          <w:tcPr>
            <w:tcW w:type="dxa" w:w="2931"/>
            <w:tcBorders>
              <w:bottom w:val="single" w:sz="6" w:space="4" w:color="D8DCE3"/>
            </w:tcBorders>
          </w:tcPr>
          <w:p>
            <w:pPr>
              <w:spacing w:after="60"/>
            </w:pPr>
            <w:r/>
            <w:r>
              <w:rPr>
                <w:rFonts w:ascii="Georgia" w:hAnsi="Georgia"/>
                <w:sz w:val="18"/>
              </w:rPr>
              <w:t>Approve a PRD for a release</w:t>
            </w:r>
          </w:p>
        </w:tc>
        <w:tc>
          <w:tcPr>
            <w:tcW w:type="dxa" w:w="1210"/>
            <w:tcBorders>
              <w:bottom w:val="single" w:sz="6" w:space="4" w:color="D8DCE3"/>
            </w:tcBorders>
          </w:tcPr>
          <w:p>
            <w:pPr>
              <w:spacing w:after="60"/>
            </w:pPr>
            <w:r/>
            <w:r>
              <w:rPr>
                <w:rFonts w:ascii="Georgia" w:hAnsi="Georgia"/>
                <w:sz w:val="18"/>
              </w:rPr>
              <w:t>PER-003</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TR-002</w:t>
            </w:r>
          </w:p>
        </w:tc>
        <w:tc>
          <w:tcPr>
            <w:tcW w:type="dxa" w:w="2931"/>
            <w:tcBorders>
              <w:bottom w:val="single" w:sz="6" w:space="4" w:color="D8DCE3"/>
            </w:tcBorders>
          </w:tcPr>
          <w:p>
            <w:pPr>
              <w:spacing w:after="60"/>
            </w:pPr>
            <w:r/>
            <w:r>
              <w:rPr>
                <w:rFonts w:ascii="Georgia" w:hAnsi="Georgia"/>
                <w:sz w:val="18"/>
              </w:rPr>
              <w:t>Set a section to final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TR-003</w:t>
            </w:r>
          </w:p>
        </w:tc>
        <w:tc>
          <w:tcPr>
            <w:tcW w:type="dxa" w:w="2931"/>
            <w:tcBorders>
              <w:bottom w:val="single" w:sz="6" w:space="4" w:color="D8DCE3"/>
            </w:tcBorders>
          </w:tcPr>
          <w:p>
            <w:pPr>
              <w:spacing w:after="60"/>
            </w:pPr>
            <w:r/>
            <w:r>
              <w:rPr>
                <w:rFonts w:ascii="Georgia" w:hAnsi="Georgia"/>
                <w:sz w:val="18"/>
              </w:rPr>
              <w:t>Produce a section's score and findings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TR-004</w:t>
            </w:r>
          </w:p>
        </w:tc>
        <w:tc>
          <w:tcPr>
            <w:tcW w:type="dxa" w:w="2931"/>
            <w:tcBorders>
              <w:bottom w:val="single" w:sz="6" w:space="4" w:color="D8DCE3"/>
            </w:tcBorders>
          </w:tcPr>
          <w:p>
            <w:pPr>
              <w:spacing w:after="60"/>
            </w:pPr>
            <w:r/>
            <w:r>
              <w:rPr>
                <w:rFonts w:ascii="Georgia" w:hAnsi="Georgia"/>
                <w:sz w:val="18"/>
              </w:rPr>
              <w:t>Decide scope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TR-005</w:t>
            </w:r>
          </w:p>
        </w:tc>
        <w:tc>
          <w:tcPr>
            <w:tcW w:type="dxa" w:w="2931"/>
            <w:tcBorders>
              <w:bottom w:val="single" w:sz="6" w:space="4" w:color="D8DCE3"/>
            </w:tcBorders>
          </w:tcPr>
          <w:p>
            <w:pPr>
              <w:spacing w:after="60"/>
            </w:pPr>
            <w:r/>
            <w:r>
              <w:rPr>
                <w:rFonts w:ascii="Georgia" w:hAnsi="Georgia"/>
                <w:sz w:val="18"/>
              </w:rPr>
              <w:t>State a domain fact as true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TR-006</w:t>
            </w:r>
          </w:p>
        </w:tc>
        <w:tc>
          <w:tcPr>
            <w:tcW w:type="dxa" w:w="2931"/>
            <w:tcBorders>
              <w:bottom w:val="single" w:sz="6" w:space="4" w:color="D8DCE3"/>
            </w:tcBorders>
          </w:tcPr>
          <w:p>
            <w:pPr>
              <w:spacing w:after="60"/>
            </w:pPr>
            <w:r/>
            <w:r>
              <w:rPr>
                <w:rFonts w:ascii="Georgia" w:hAnsi="Georgia"/>
                <w:sz w:val="18"/>
              </w:rPr>
              <w:t>Judge buildability, and report the gaps</w:t>
            </w:r>
          </w:p>
        </w:tc>
        <w:tc>
          <w:tcPr>
            <w:tcW w:type="dxa" w:w="1210"/>
            <w:tcBorders>
              <w:bottom w:val="single" w:sz="6" w:space="4" w:color="D8DCE3"/>
            </w:tcBorders>
          </w:tcPr>
          <w:p>
            <w:pPr>
              <w:spacing w:after="60"/>
            </w:pPr>
            <w:r/>
            <w:r>
              <w:rPr>
                <w:rFonts w:ascii="Georgia" w:hAnsi="Georgia"/>
                <w:sz w:val="18"/>
              </w:rPr>
              <w:t>PER-002</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TR-007</w:t>
            </w:r>
          </w:p>
        </w:tc>
        <w:tc>
          <w:tcPr>
            <w:tcW w:type="dxa" w:w="2931"/>
            <w:tcBorders>
              <w:bottom w:val="single" w:sz="6" w:space="4" w:color="D8DCE3"/>
            </w:tcBorders>
          </w:tcPr>
          <w:p>
            <w:pPr>
              <w:spacing w:after="60"/>
            </w:pPr>
            <w:r/>
            <w:r>
              <w:rPr>
                <w:rFonts w:ascii="Georgia" w:hAnsi="Georgia"/>
                <w:sz w:val="18"/>
              </w:rPr>
              <w:t>Decide the domain's own terms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TR-008</w:t>
            </w:r>
          </w:p>
        </w:tc>
        <w:tc>
          <w:tcPr>
            <w:tcW w:type="dxa" w:w="2931"/>
            <w:tcBorders>
              <w:bottom w:val="single" w:sz="6" w:space="4" w:color="D8DCE3"/>
            </w:tcBorders>
          </w:tcPr>
          <w:p>
            <w:pPr>
              <w:spacing w:after="60"/>
            </w:pPr>
            <w:r/>
            <w:r>
              <w:rPr>
                <w:rFonts w:ascii="Georgia" w:hAnsi="Georgia"/>
                <w:sz w:val="18"/>
              </w:rPr>
              <w:t>Decide a section's interview is finished</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TR-009</w:t>
            </w:r>
          </w:p>
        </w:tc>
        <w:tc>
          <w:tcPr>
            <w:tcW w:type="dxa" w:w="2931"/>
            <w:tcBorders>
              <w:bottom w:val="single" w:sz="6" w:space="4" w:color="D8DCE3"/>
            </w:tcBorders>
          </w:tcPr>
          <w:p>
            <w:pPr>
              <w:spacing w:after="60"/>
            </w:pPr>
            <w:r/>
            <w:r>
              <w:rPr>
                <w:rFonts w:ascii="Georgia" w:hAnsi="Georgia"/>
                <w:sz w:val="18"/>
              </w:rPr>
              <w:t>Decide a section may be left at draft</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TR-010</w:t>
            </w:r>
          </w:p>
        </w:tc>
        <w:tc>
          <w:tcPr>
            <w:tcW w:type="dxa" w:w="2931"/>
            <w:tcBorders>
              <w:bottom w:val="single" w:sz="6" w:space="4" w:color="D8DCE3"/>
            </w:tcBorders>
          </w:tcPr>
          <w:p>
            <w:pPr>
              <w:spacing w:after="60"/>
            </w:pPr>
            <w:r/>
            <w:r>
              <w:rPr>
                <w:rFonts w:ascii="Georgia" w:hAnsi="Georgia"/>
                <w:sz w:val="18"/>
              </w:rPr>
              <w:t>Decide the set is ready to offer for approval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TR-011</w:t>
            </w:r>
          </w:p>
        </w:tc>
        <w:tc>
          <w:tcPr>
            <w:tcW w:type="dxa" w:w="2931"/>
            <w:tcBorders>
              <w:bottom w:val="single" w:sz="6" w:space="4" w:color="D8DCE3"/>
            </w:tcBorders>
          </w:tcPr>
          <w:p>
            <w:pPr>
              <w:spacing w:after="60"/>
            </w:pPr>
            <w:r/>
            <w:r>
              <w:rPr>
                <w:rFonts w:ascii="Georgia" w:hAnsi="Georgia"/>
                <w:sz w:val="18"/>
              </w:rPr>
              <w:t>Decide a backlog can be mapped</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TR-012</w:t>
            </w:r>
          </w:p>
        </w:tc>
        <w:tc>
          <w:tcPr>
            <w:tcW w:type="dxa" w:w="2931"/>
            <w:tcBorders>
              <w:bottom w:val="single" w:sz="6" w:space="4" w:color="D8DCE3"/>
            </w:tcBorders>
          </w:tcPr>
          <w:p>
            <w:pPr>
              <w:spacing w:after="60"/>
            </w:pPr>
            <w:r/>
            <w:r>
              <w:rPr>
                <w:rFonts w:ascii="Georgia" w:hAnsi="Georgia"/>
                <w:sz w:val="18"/>
              </w:rPr>
              <w:t>Decide which epics come first</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TR-013</w:t>
            </w:r>
          </w:p>
        </w:tc>
        <w:tc>
          <w:tcPr>
            <w:tcW w:type="dxa" w:w="2931"/>
            <w:tcBorders>
              <w:bottom w:val="single" w:sz="6" w:space="4" w:color="D8DCE3"/>
            </w:tcBorders>
          </w:tcPr>
          <w:p>
            <w:pPr>
              <w:spacing w:after="60"/>
            </w:pPr>
            <w:r/>
            <w:r>
              <w:rPr>
                <w:rFonts w:ascii="Georgia" w:hAnsi="Georgia"/>
                <w:sz w:val="18"/>
              </w:rPr>
              <w:t>Accept or correct a drafted section</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TR-014</w:t>
            </w:r>
          </w:p>
        </w:tc>
        <w:tc>
          <w:tcPr>
            <w:tcW w:type="dxa" w:w="2931"/>
            <w:tcBorders>
              <w:bottom w:val="single" w:sz="6" w:space="4" w:color="D8DCE3"/>
            </w:tcBorders>
          </w:tcPr>
          <w:p>
            <w:pPr>
              <w:spacing w:after="60"/>
            </w:pPr>
            <w:r/>
            <w:r>
              <w:rPr>
                <w:rFonts w:ascii="Georgia" w:hAnsi="Georgia"/>
                <w:sz w:val="18"/>
              </w:rPr>
              <w:t>Accept or refute a section's score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2027-03-31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2027-03-31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merely requested, and both are dated on REL-001's target day in section 13. This is a real schedule problem: REL-001 ships on the day the assumptions it rests on are due to be tested, and it cannot use the results. Q-019 asks whether REL-001 moves or ships as an experiment, decided by 2027-01-31.</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the same sessions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counts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Will a sponsor accept a graded PRD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 and where they stop</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R-004, NFR-005</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Q-011</w:t>
            </w:r>
          </w:p>
        </w:tc>
        <w:tc>
          <w:tcPr>
            <w:tcW w:type="dxa" w:w="2712"/>
            <w:tcBorders>
              <w:bottom w:val="single" w:sz="6" w:space="4" w:color="D8DCE3"/>
            </w:tcBorders>
          </w:tcPr>
          <w:p>
            <w:pPr>
              <w:spacing w:after="60"/>
            </w:pPr>
            <w:r/>
            <w:r>
              <w:rPr>
                <w:rFonts w:ascii="Georgia" w:hAnsi="Georgia"/>
                <w:sz w:val="18"/>
              </w:rPr>
              <w:t>How an approver records a decision (answered)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FR-014</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looping back feel like progress or failure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ST-004</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none</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 and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 NFR-012</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Does REL-001 move, or ship as an experiment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Until they are answered, section 3's targets are provisional. Nothing should be committed to a plan on the strength of them.</w:t>
      </w:r>
    </w:p>
    <w:p>
      <w:r>
        <w:rPr>
          <w:rFonts w:ascii="Georgia" w:hAnsi="Georgia"/>
          <w:b/>
        </w:rPr>
        <w:t>Q-009 and Q-010 block the most.</w:t>
      </w:r>
      <w:r>
        <w:rPr>
          <w:rFonts w:ascii="Georgia" w:hAnsi="Georgia"/>
        </w:rPr>
        <w:t xml:space="preserve">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Q-011 is answered.</w:t>
      </w:r>
      <w:r>
        <w:rPr>
          <w:rFonts w:ascii="Georgia" w:hAnsi="Georgia"/>
        </w:rPr>
        <w:t xml:space="preserve"> In release 1 the sponsor records approval outside the product, through the expert, under FR-014. Q-017 asks who owns NFR-006 and NFR-012.</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is the schedule.</w:t>
      </w:r>
      <w:r>
        <w:rPr>
          <w:rFonts w:ascii="Georgia" w:hAnsi="Georgia"/>
        </w:rPr>
        <w:t xml:space="preserve"> D-002 and D-003 are due on REL-001's own date, and REL-001 cannot use what they find. The decision is whether REL-001 moves or ships as an experiment.</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PRD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Time-boxed to 0 extra days, because the sessions already exist.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the ten observed sessions from D-002. Time-boxed to 0 extra days, because the sessions already exist.</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Trace one recorded interview from the first answer to the drafted section, and mark each place an answer sits before the draft, checked against A-005 and NFR-004.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the exported PDF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Compare the segments against the first ten conversations with buyers.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an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Q-014  </w:t>
      </w:r>
      <w:r>
        <w:rPr>
          <w:rFonts w:ascii="Calibri" w:hAnsi="Calibri"/>
          <w:b/>
          <w:sz w:val="20"/>
        </w:rPr>
        <w:t>Does looping back to the journeys feel like progress or like failure to the 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the ten observed sessions from D-002. Time-boxed to 0 extra days, because the sessions already exist.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change the rubric and the checks have had in this set's change log, and name who made each one.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engagement,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Q-019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REL-001 move to after D-002 and D-003 report, or does it ship on 2027-03-31 as an experiment?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Check the dates D-002 and D-003 commit to, and compare them with REL-001's target date.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83/100 · no blocking defects</w:t>
      </w:r>
    </w:p>
    <w:p>
      <w:pPr>
        <w:jc w:val="center"/>
      </w:pPr>
      <w:r>
        <w:drawing>
          <wp:inline xmlns:a="http://schemas.openxmlformats.org/drawingml/2006/main" xmlns:pic="http://schemas.openxmlformats.org/drawingml/2006/picture">
            <wp:extent cx="5486399" cy="6599075"/>
            <wp:docPr id="35" name="Picture 35"/>
            <wp:cNvGraphicFramePr>
              <a:graphicFrameLocks noChangeAspect="1"/>
            </wp:cNvGraphicFramePr>
            <a:graphic>
              <a:graphicData uri="http://schemas.openxmlformats.org/drawingml/2006/picture">
                <pic:pic>
                  <pic:nvPicPr>
                    <pic:cNvPr id="0" name="release-line.png"/>
                    <pic:cNvPicPr/>
                  </pic:nvPicPr>
                  <pic:blipFill>
                    <a:blip r:embed="rId33"/>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also dated 2027-03-31 and are only *requested*. As a result, REL-001 ships at the same moment the assumptions beneath it are first tested, not after. Either REL-001 moves, or it ships knowingly as an experiment. Q-019 asks which, and Richard Hightower decides it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second reader,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60/100 · 3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A set ready to be offered for approval</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take no extra work beyond a dependency that already exists, as in Q-006 and Q-007.</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w:t>
            </w:r>
            <w:r>
              <w:rPr>
                <w:rFonts w:ascii="Consolas" w:hAnsi="Consolas"/>
                <w:sz w:val="19"/>
              </w:rPr>
              <w:t>pending</w:t>
            </w:r>
            <w:r>
              <w:rPr>
                <w:rFonts w:ascii="Georgia" w:hAnsi="Georgia"/>
                <w:sz w:val="19"/>
              </w:rPr>
              <w:t xml:space="preserve">,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a score of 70 or more with no blocking defect in a set that checks clean;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approves, approves with conditions, or rejects the whole set for a release under TR-001: the sponsor, or the expert when no sponsor exists. A set approved with conditions reads that way until the approver clears every condition.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before the list does when the expert's answers would already pass the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pass to move to its next state, such as a score of 70 or more with no blocking defect, in a set that checks clean, for </w:t>
            </w:r>
            <w:r>
              <w:rPr>
                <w:rFonts w:ascii="Consolas" w:hAnsi="Consolas"/>
                <w:sz w:val="19"/>
              </w:rPr>
              <w:t>review</w:t>
            </w:r>
            <w:r>
              <w:rPr>
                <w:rFonts w:ascii="Georgia" w:hAnsi="Georgia"/>
                <w:sz w:val="19"/>
              </w:rPr>
              <w:t>.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passes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set ready to be offered for approval. Ready describes one section. The expert decides that the whole set is offered for approval, under TR-010.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A PRD passes on first submission when that first verdict is a pass, with no gap fixed between two reviews.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reads a section and comments on it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delivery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word with three uses in this set: the state </w:t>
            </w:r>
            <w:r>
              <w:rPr>
                <w:rFonts w:ascii="Consolas" w:hAnsi="Consolas"/>
                <w:sz w:val="19"/>
              </w:rPr>
              <w:t>review</w:t>
            </w:r>
            <w:r>
              <w:rPr>
                <w:rFonts w:ascii="Georgia" w:hAnsi="Georgia"/>
                <w:sz w:val="19"/>
              </w:rPr>
              <w:t>, a section ready for someone else to read; the buildability review of the whole set at ST-005; and the act of reading a draft, as in FR-008, when the expert reviews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FR-019 and FR-020 split out; TR-014 for accepting a score; C-004 out of section 9; refute and approval defined; sourced glossary terms; satisfaction scores; ST-006 outside the product; ChatPRD; pilot PRDs; Q-011 answered;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Version 0.5.0 changed the product and not this PRD,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pPr>
        <w:keepNext/>
        <w:spacing w:before="220" w:after="60"/>
        <w:ind w:left="115"/>
        <w:pBdr>
          <w:left w:val="single" w:sz="18" w:space="0" w:color="1F4E79"/>
        </w:pBdr>
      </w:pPr>
      <w:r>
        <w:rPr>
          <w:rFonts w:ascii="Calibri" w:hAnsi="Calibri"/>
          <w:b/>
          <w:sz w:val="20"/>
        </w:rPr>
        <w:t>Section 1: each problem has one counted case, with its source and date, each why-now claim cites the General Assembly survey of product managers, P-004 states the condition the expert suffers, and Q-018 asks for one counted cost per problem. Section 2: ChatPRD is the direct competitor, the buyer's case is stated against the cost of a contracted product manager, each segment names its personas, and the status-quo competitor's edge states a prd-forge outcome. Section 3: O-001 counts the 5 pilot PRDs and defines a pass between REL-001 and 2027-09-30, O-002 counts the pilot PRDs with one journey, O-003 counts a requirement testable when two of three engineering leads agree, and each target is provisional until its question is answered. Section 4: on the expert's decision, PER-001 is the product manager who is, or speaks for, the domain expert, PER-003 is the sponsor, and each persona has a population, a basis, a context, and its problems. Section 5: the first state is pending, shown as not started; the expert refutes a grade; LC-001 makes final the expert's decision under TR-002, and on the expert's decision lets a section at review or final go back to draft when the expert changes it; each stage carries the expert's satisfaction score, and each pain point names its stage; ST-006 happens outside the product; SC-004 is split into SC-004 and SC-008; and each alternate and exception scenario names the step of SC-007 it leaves. Section 6: the scope says "an engineer" for the person who builds from the set, ST-006 is outside the product, the release line uses J-001's end state, and product teams new to a domain move to OUT-005. Section 7: FR-019 and FR-020, both `should` on the expert's decision, split the early stop out of FR-004 and the check across the set out of FR-008, and an unclear answer gets its follow-up before the early stop. FR-008 tests that every item is shown in a sentence or a table row, FR-018 shows a change within 10 seconds of a request to refresh, FR-009 asks the expert to accept or refute each grade, FR-010 waits on Q-007, and FR-004 and FR-017 name no field and no view. FR-011 offers review only in a set that checks clean. WF-001 draws FR-020 as a requirement's stage stated two ways, WF-008 counts twelve dimensions, WF-007, WF-009, and WF-010 name the screen they are a state of, and the wireframes name no drawing tool. Section 8: NFR-001, NFR-002, and NFR-011 name what they time, NFR-004 and NFR-010 apply to the whole set, and NFR-010 and NFR-012 are measured in a test organization. Section 9: on the expert's decision, C-004 leaves, its rule lives in TR-005 and FR-006, and the section may be empty. Section 10: TR-003 only produces a section's score, the new TR-014 has the expert accept or refute it, and each rule's decider is called the Decider. Section 11: R-001 and R-002 are mitigated by 2027-01-31, each risk has a trigger, a response, and a status, each dependency has an owner, and D-001 is delivered. Section 12: Q-009 also blocks FR-019; Q-004, Q-007, Q-009, and Q-011 are split into single questions; Q-011 is answered; Q-018 asks for costs; Q-019 asks whether REL-001 moves; and the design choices inside Q-009, Q-010, and Q-016 become candidate architecture decisions. Section 13: REL-001 carries FR-019 and FR-020, its exit criteria use the pilot PRDs and the defined pass, REL-001 and REL-003 name what they depend on, and REL-002 gives the engineering lead an outcome. Section 14: every word in the requirements' acceptance has an entry, including refute and approval; eight terms cite a verified source and state where the set departs from it; `wont` means won't have this time; pilot PRD, first submission, reviewer, iteration, review, and checks clean are defined. Section 15: the versioning policy before 1.0, which applies from 0.9.0 onward and defines a change to the golden thread as structural. Across the set, "set" or "PRD" replaces "specification" where it meant this set.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4"/>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