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 80% by 2027-09-30, from a baseline Q-001 will establish.</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58/100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55/100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2</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35/100</w:t>
            </w:r>
          </w:p>
        </w:tc>
        <w:tc>
          <w:tcPr>
            <w:tcW w:type="dxa" w:w="1422"/>
            <w:tcBorders>
              <w:bottom w:val="single" w:sz="6" w:space="4" w:color="D8DCE3"/>
            </w:tcBorders>
          </w:tcPr>
          <w:p>
            <w:pPr>
              <w:spacing w:after="60"/>
            </w:pPr>
            <w:r/>
            <w:r>
              <w:rPr>
                <w:rFonts w:ascii="Georgia" w:hAnsi="Georgia"/>
                <w:sz w:val="18"/>
              </w:rPr>
              <w:t>4</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60/100</w:t>
            </w:r>
          </w:p>
        </w:tc>
        <w:tc>
          <w:tcPr>
            <w:tcW w:type="dxa" w:w="1422"/>
            <w:tcBorders>
              <w:bottom w:val="single" w:sz="6" w:space="4" w:color="D8DCE3"/>
            </w:tcBorders>
          </w:tcPr>
          <w:p>
            <w:pPr>
              <w:spacing w:after="60"/>
            </w:pPr>
            <w:r/>
            <w:r>
              <w:rPr>
                <w:rFonts w:ascii="Georgia" w:hAnsi="Georgia"/>
                <w:sz w:val="18"/>
              </w:rPr>
              <w:t>7</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63/100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the product is delivered inside an assistant the expert already uses, and naming that delivery mechanism in a requirement would fail test 5. It was recorded as constraint C-001 until 0.8.1. It is now the separate-application non-goal in section 6 and dependency D-001 in section 11,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9C2B2B"/>
          <w:sz w:val="15"/>
        </w:rPr>
        <w:t>draft · 58/100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9C2B2B"/>
          <w:sz w:val="15"/>
        </w:rPr>
        <w:t>draft · 55/100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now records them as a non-goal for release 1. The id S-003 is not reused.</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holds a report, made before anyone has estimated, that names each release-line stage no requirement covers and quotes each requirement an engineer could not write a test from.</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9C2B2B"/>
          <w:sz w:val="15"/>
        </w:rPr>
        <w:t>draft · 68/100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the set keeps out of the requirements: section 6 makes a separate application a non-goal, and section 11 records the session as dependency D-001.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75/100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ST-009, ST-007, and ST-008. In ST-009 the engineering lead, PER-002, reads the buildability report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section has enough material to be drafted, or the expert has said they have nothing more to add.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 builder could not build and which release-line stages have no requirement behind them.</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Acceptance: </w:t>
            </w:r>
            <w:r>
              <w:rPr>
                <w:rFonts w:ascii="Georgia" w:hAnsi="Georgia"/>
                <w:sz w:val="19"/>
              </w:rPr>
              <w:t>Given a set offered for approval, when the approver approves, approves with conditions, or rejects it, then they see the decision recorded against the set's version.</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Acceptance: </w:t>
            </w:r>
            <w:r>
              <w:rPr>
                <w:rFonts w:ascii="Georgia" w:hAnsi="Georgia"/>
                <w:sz w:val="19"/>
              </w:rPr>
              <w:t>Given an approved set and its buildability report, when the engineering lead records a verdict that differs from the report's, then their judgement is recorded as the verdict and the report is kept alongside it.; Given a gap the engineering lead records, when it is stated, then the document is quoted for it.</w:t>
            </w:r>
          </w:p>
          <w:p>
            <w:pPr>
              <w:spacing w:after="20"/>
              <w:ind w:left="173"/>
            </w:pPr>
            <w:r>
              <w:rPr>
                <w:rFonts w:ascii="Calibri" w:hAnsi="Calibri"/>
                <w:b/>
                <w:color w:val="8B93A1"/>
                <w:sz w:val="17"/>
              </w:rPr>
              <w:t xml:space="preserve">Steps: </w:t>
            </w:r>
            <w:r>
              <w:rPr>
                <w:rFonts w:ascii="Georgia" w:hAnsi="Georgia"/>
                <w:sz w:val="19"/>
              </w:rPr>
              <w:t>Reads the buildability report,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its buildability report</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9C2B2B"/>
          <w:sz w:val="15"/>
        </w:rPr>
        <w:t>draft · 75/100 · 2 blocking defects</w:t>
      </w:r>
    </w:p>
    <w:p>
      <w:pPr>
        <w:jc w:val="center"/>
      </w:pPr>
      <w:r>
        <w:drawing>
          <wp:inline xmlns:a="http://schemas.openxmlformats.org/drawingml/2006/main" xmlns:pic="http://schemas.openxmlformats.org/drawingml/2006/picture">
            <wp:extent cx="2222211" cy="7315200"/>
            <wp:docPr id="3" name="Picture 3"/>
            <wp:cNvGraphicFramePr>
              <a:graphicFrameLocks noChangeAspect="1"/>
            </wp:cNvGraphicFramePr>
            <a:graphic>
              <a:graphicData uri="http://schemas.openxmlformats.org/drawingml/2006/picture">
                <pic:pic>
                  <pic:nvPicPr>
                    <pic:cNvPr id="0" name="SC-001.png"/>
                    <pic:cNvPicPr/>
                  </pic:nvPicPr>
                  <pic:blipFill>
                    <a:blip r:embed="rId11"/>
                    <a:stretch>
                      <a:fillRect/>
                    </a:stretch>
                  </pic:blipFill>
                  <pic:spPr>
                    <a:xfrm>
                      <a:off x="0" y="0"/>
                      <a:ext cx="2222211"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1499130" cy="7315200"/>
            <wp:docPr id="4" name="Picture 4"/>
            <wp:cNvGraphicFramePr>
              <a:graphicFrameLocks noChangeAspect="1"/>
            </wp:cNvGraphicFramePr>
            <a:graphic>
              <a:graphicData uri="http://schemas.openxmlformats.org/drawingml/2006/picture">
                <pic:pic>
                  <pic:nvPicPr>
                    <pic:cNvPr id="0" name="LC-001.png"/>
                    <pic:cNvPicPr/>
                  </pic:nvPicPr>
                  <pic:blipFill>
                    <a:blip r:embed="rId12"/>
                    <a:stretch>
                      <a:fillRect/>
                    </a:stretch>
                  </pic:blipFill>
                  <pic:spPr>
                    <a:xfrm>
                      <a:off x="0" y="0"/>
                      <a:ext cx="149913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5" name="Picture 5"/>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6" name="Picture 6"/>
            <wp:cNvGraphicFramePr>
              <a:graphicFrameLocks noChangeAspect="1"/>
            </wp:cNvGraphicFramePr>
            <a:graphic>
              <a:graphicData uri="http://schemas.openxmlformats.org/drawingml/2006/picture">
                <pic:pic>
                  <pic:nvPicPr>
                    <pic:cNvPr id="0" name="SC-002.png"/>
                    <pic:cNvPicPr/>
                  </pic:nvPicPr>
                  <pic:blipFill>
                    <a:blip r:embed="rId1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7" name="Picture 7"/>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687712" cy="7315200"/>
            <wp:docPr id="8" name="Picture 8"/>
            <wp:cNvGraphicFramePr>
              <a:graphicFrameLocks noChangeAspect="1"/>
            </wp:cNvGraphicFramePr>
            <a:graphic>
              <a:graphicData uri="http://schemas.openxmlformats.org/drawingml/2006/picture">
                <pic:pic>
                  <pic:nvPicPr>
                    <pic:cNvPr id="0" name="SC-003.png"/>
                    <pic:cNvPicPr/>
                  </pic:nvPicPr>
                  <pic:blipFill>
                    <a:blip r:embed="rId16"/>
                    <a:stretch>
                      <a:fillRect/>
                    </a:stretch>
                  </pic:blipFill>
                  <pic:spPr>
                    <a:xfrm>
                      <a:off x="0" y="0"/>
                      <a:ext cx="2687712"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2666224" cy="7315200"/>
            <wp:docPr id="9" name="Picture 9"/>
            <wp:cNvGraphicFramePr>
              <a:graphicFrameLocks noChangeAspect="1"/>
            </wp:cNvGraphicFramePr>
            <a:graphic>
              <a:graphicData uri="http://schemas.openxmlformats.org/drawingml/2006/picture">
                <pic:pic>
                  <pic:nvPicPr>
                    <pic:cNvPr id="0" name="SC-004.png"/>
                    <pic:cNvPicPr/>
                  </pic:nvPicPr>
                  <pic:blipFill>
                    <a:blip r:embed="rId17"/>
                    <a:stretch>
                      <a:fillRect/>
                    </a:stretch>
                  </pic:blipFill>
                  <pic:spPr>
                    <a:xfrm>
                      <a:off x="0" y="0"/>
                      <a:ext cx="266622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39922" cy="7315200"/>
            <wp:docPr id="10" name="Picture 10"/>
            <wp:cNvGraphicFramePr>
              <a:graphicFrameLocks noChangeAspect="1"/>
            </wp:cNvGraphicFramePr>
            <a:graphic>
              <a:graphicData uri="http://schemas.openxmlformats.org/drawingml/2006/picture">
                <pic:pic>
                  <pic:nvPicPr>
                    <pic:cNvPr id="0" name="SC-005.png"/>
                    <pic:cNvPicPr/>
                  </pic:nvPicPr>
                  <pic:blipFill>
                    <a:blip r:embed="rId18"/>
                    <a:stretch>
                      <a:fillRect/>
                    </a:stretch>
                  </pic:blipFill>
                  <pic:spPr>
                    <a:xfrm>
                      <a:off x="0" y="0"/>
                      <a:ext cx="2739922"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427974" cy="7315200"/>
            <wp:docPr id="12" name="Picture 12"/>
            <wp:cNvGraphicFramePr>
              <a:graphicFrameLocks noChangeAspect="1"/>
            </wp:cNvGraphicFramePr>
            <a:graphic>
              <a:graphicData uri="http://schemas.openxmlformats.org/drawingml/2006/picture">
                <pic:pic>
                  <pic:nvPicPr>
                    <pic:cNvPr id="0" name="SC-006.png"/>
                    <pic:cNvPicPr/>
                  </pic:nvPicPr>
                  <pic:blipFill>
                    <a:blip r:embed="rId20"/>
                    <a:stretch>
                      <a:fillRect/>
                    </a:stretch>
                  </pic:blipFill>
                  <pic:spPr>
                    <a:xfrm>
                      <a:off x="0" y="0"/>
                      <a:ext cx="3427974"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91409" cy="7315200"/>
            <wp:docPr id="13" name="Picture 13"/>
            <wp:cNvGraphicFramePr>
              <a:graphicFrameLocks noChangeAspect="1"/>
            </wp:cNvGraphicFramePr>
            <a:graphic>
              <a:graphicData uri="http://schemas.openxmlformats.org/drawingml/2006/picture">
                <pic:pic>
                  <pic:nvPicPr>
                    <pic:cNvPr id="0" name="SC-007.png"/>
                    <pic:cNvPicPr/>
                  </pic:nvPicPr>
                  <pic:blipFill>
                    <a:blip r:embed="rId21"/>
                    <a:stretch>
                      <a:fillRect/>
                    </a:stretch>
                  </pic:blipFill>
                  <pic:spPr>
                    <a:xfrm>
                      <a:off x="0" y="0"/>
                      <a:ext cx="2091409"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4" name="Picture 14"/>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5" name="Picture 15"/>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3873499"/>
            <wp:docPr id="16" name="Picture 16"/>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17" name="Picture 1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18" name="Picture 18"/>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19" name="Picture 19"/>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7"/>
        <w:gridCol w:w="1571"/>
        <w:gridCol w:w="1274"/>
        <w:gridCol w:w="1232"/>
        <w:gridCol w:w="3269"/>
      </w:tblGrid>
      <w:tr>
        <w:tc>
          <w:tcPr>
            <w:tcW w:type="dxa" w:w="1147"/>
            <w:tcBorders>
              <w:bottom w:val="single" w:sz="12" w:space="4" w:color="16181D"/>
            </w:tcBorders>
          </w:tcPr>
          <w:p>
            <w:pPr>
              <w:spacing w:after="60"/>
            </w:pPr>
            <w:r/>
            <w:r>
              <w:rPr>
                <w:rFonts w:ascii="Calibri" w:hAnsi="Calibri"/>
                <w:b/>
                <w:caps/>
                <w:color w:val="5C6370"/>
                <w:sz w:val="15"/>
              </w:rPr>
              <w:t>ID</w:t>
            </w:r>
          </w:p>
        </w:tc>
        <w:tc>
          <w:tcPr>
            <w:tcW w:type="dxa" w:w="1572"/>
            <w:tcBorders>
              <w:bottom w:val="single" w:sz="12" w:space="4" w:color="16181D"/>
            </w:tcBorders>
          </w:tcPr>
          <w:p>
            <w:pPr>
              <w:spacing w:after="60"/>
            </w:pPr>
            <w:r/>
            <w:r>
              <w:rPr>
                <w:rFonts w:ascii="Calibri" w:hAnsi="Calibri"/>
                <w:b/>
                <w:caps/>
                <w:color w:val="5C6370"/>
                <w:sz w:val="15"/>
              </w:rPr>
              <w:t>Stage</w:t>
            </w:r>
          </w:p>
        </w:tc>
        <w:tc>
          <w:tcPr>
            <w:tcW w:type="dxa" w:w="1275"/>
            <w:tcBorders>
              <w:bottom w:val="single" w:sz="12" w:space="4" w:color="16181D"/>
            </w:tcBorders>
          </w:tcPr>
          <w:p>
            <w:pPr>
              <w:spacing w:after="60"/>
            </w:pPr>
            <w:r/>
            <w:r>
              <w:rPr>
                <w:rFonts w:ascii="Calibri" w:hAnsi="Calibri"/>
                <w:b/>
                <w:caps/>
                <w:color w:val="5C6370"/>
                <w:sz w:val="15"/>
              </w:rPr>
              <w:t>Variant</w:t>
            </w:r>
          </w:p>
        </w:tc>
        <w:tc>
          <w:tcPr>
            <w:tcW w:type="dxa" w:w="1232"/>
            <w:tcBorders>
              <w:bottom w:val="single" w:sz="12" w:space="4" w:color="16181D"/>
            </w:tcBorders>
          </w:tcPr>
          <w:p>
            <w:pPr>
              <w:spacing w:after="60"/>
            </w:pPr>
            <w:r/>
            <w:r>
              <w:rPr>
                <w:rFonts w:ascii="Calibri" w:hAnsi="Calibri"/>
                <w:b/>
                <w:caps/>
                <w:color w:val="5C6370"/>
                <w:sz w:val="15"/>
              </w:rPr>
              <w:t>Priority</w:t>
            </w:r>
          </w:p>
        </w:tc>
        <w:tc>
          <w:tcPr>
            <w:tcW w:type="dxa" w:w="3270"/>
            <w:tcBorders>
              <w:bottom w:val="single" w:sz="12" w:space="4" w:color="16181D"/>
            </w:tcBorders>
          </w:tcPr>
          <w:p>
            <w:pPr>
              <w:spacing w:after="60"/>
            </w:pPr>
            <w:r/>
            <w:r>
              <w:rPr>
                <w:rFonts w:ascii="Calibri" w:hAnsi="Calibri"/>
                <w:b/>
                <w:caps/>
                <w:color w:val="5C6370"/>
                <w:sz w:val="15"/>
              </w:rPr>
              <w:t>What it covers</w:t>
            </w:r>
          </w:p>
        </w:tc>
      </w:tr>
      <w:tr>
        <w:tc>
          <w:tcPr>
            <w:tcW w:type="dxa" w:w="1147"/>
            <w:tcBorders>
              <w:bottom w:val="single" w:sz="6" w:space="4" w:color="D8DCE3"/>
            </w:tcBorders>
          </w:tcPr>
          <w:p>
            <w:pPr>
              <w:spacing w:after="60"/>
            </w:pPr>
            <w:r/>
            <w:r>
              <w:rPr>
                <w:rFonts w:ascii="Georgia" w:hAnsi="Georgia"/>
                <w:sz w:val="18"/>
              </w:rPr>
              <w:t>SC-001</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A section taught, interviewed, drafted, graded, improved</w:t>
            </w:r>
          </w:p>
        </w:tc>
      </w:tr>
      <w:tr>
        <w:tc>
          <w:tcPr>
            <w:tcW w:type="dxa" w:w="1147"/>
            <w:tcBorders>
              <w:bottom w:val="single" w:sz="6" w:space="4" w:color="D8DCE3"/>
            </w:tcBorders>
          </w:tcPr>
          <w:p>
            <w:pPr>
              <w:spacing w:after="60"/>
            </w:pPr>
            <w:r/>
            <w:r>
              <w:rPr>
                <w:rFonts w:ascii="Georgia" w:hAnsi="Georgia"/>
                <w:sz w:val="18"/>
              </w:rPr>
              <w:t>SC-002</w:t>
            </w:r>
          </w:p>
        </w:tc>
        <w:tc>
          <w:tcPr>
            <w:tcW w:type="dxa" w:w="1572"/>
            <w:tcBorders>
              <w:bottom w:val="single" w:sz="6" w:space="4" w:color="D8DCE3"/>
            </w:tcBorders>
          </w:tcPr>
          <w:p>
            <w:pPr>
              <w:spacing w:after="60"/>
            </w:pPr>
            <w:r/>
            <w:r>
              <w:rPr>
                <w:rFonts w:ascii="Georgia" w:hAnsi="Georgia"/>
                <w:sz w:val="18"/>
              </w:rPr>
              <w:t>ST-004</w:t>
            </w:r>
          </w:p>
        </w:tc>
        <w:tc>
          <w:tcPr>
            <w:tcW w:type="dxa" w:w="1275"/>
            <w:tcBorders>
              <w:bottom w:val="single" w:sz="6" w:space="4" w:color="D8DCE3"/>
            </w:tcBorders>
          </w:tcPr>
          <w:p>
            <w:pPr>
              <w:spacing w:after="60"/>
            </w:pPr>
            <w:r/>
            <w:r>
              <w:rPr>
                <w:rFonts w:ascii="Georgia" w:hAnsi="Georgia"/>
                <w:sz w:val="18"/>
              </w:rPr>
              <w:t>alternate</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Resuming after eight days away</w:t>
            </w:r>
          </w:p>
        </w:tc>
      </w:tr>
      <w:tr>
        <w:tc>
          <w:tcPr>
            <w:tcW w:type="dxa" w:w="1147"/>
            <w:tcBorders>
              <w:bottom w:val="single" w:sz="6" w:space="4" w:color="D8DCE3"/>
            </w:tcBorders>
          </w:tcPr>
          <w:p>
            <w:pPr>
              <w:spacing w:after="60"/>
            </w:pPr>
            <w:r/>
            <w:r>
              <w:rPr>
                <w:rFonts w:ascii="Georgia" w:hAnsi="Georgia"/>
                <w:sz w:val="18"/>
              </w:rPr>
              <w:t>SC-003</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states a technology</w:t>
            </w:r>
          </w:p>
        </w:tc>
      </w:tr>
      <w:tr>
        <w:tc>
          <w:tcPr>
            <w:tcW w:type="dxa" w:w="1147"/>
            <w:tcBorders>
              <w:bottom w:val="single" w:sz="6" w:space="4" w:color="D8DCE3"/>
            </w:tcBorders>
          </w:tcPr>
          <w:p>
            <w:pPr>
              <w:spacing w:after="60"/>
            </w:pPr>
            <w:r/>
            <w:r>
              <w:rPr>
                <w:rFonts w:ascii="Georgia" w:hAnsi="Georgia"/>
                <w:sz w:val="18"/>
              </w:rPr>
              <w:t>SC-004</w:t>
            </w:r>
          </w:p>
        </w:tc>
        <w:tc>
          <w:tcPr>
            <w:tcW w:type="dxa" w:w="1572"/>
            <w:tcBorders>
              <w:bottom w:val="single" w:sz="6" w:space="4" w:color="D8DCE3"/>
            </w:tcBorders>
          </w:tcPr>
          <w:p>
            <w:pPr>
              <w:spacing w:after="60"/>
            </w:pPr>
            <w:r/>
            <w:r>
              <w:rPr>
                <w:rFonts w:ascii="Georgia" w:hAnsi="Georgia"/>
                <w:sz w:val="18"/>
              </w:rPr>
              <w:t>ST-003</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should</w:t>
            </w:r>
          </w:p>
        </w:tc>
        <w:tc>
          <w:tcPr>
            <w:tcW w:type="dxa" w:w="3270"/>
            <w:tcBorders>
              <w:bottom w:val="single" w:sz="6" w:space="4" w:color="D8DCE3"/>
            </w:tcBorders>
          </w:tcPr>
          <w:p>
            <w:pPr>
              <w:spacing w:after="60"/>
            </w:pPr>
            <w:r/>
            <w:r>
              <w:rPr>
                <w:rFonts w:ascii="Georgia" w:hAnsi="Georgia"/>
                <w:sz w:val="18"/>
              </w:rPr>
              <w:t>The expert refutes a grading finding</w:t>
            </w:r>
          </w:p>
        </w:tc>
      </w:tr>
      <w:tr>
        <w:tc>
          <w:tcPr>
            <w:tcW w:type="dxa" w:w="1147"/>
            <w:tcBorders>
              <w:bottom w:val="single" w:sz="6" w:space="4" w:color="D8DCE3"/>
            </w:tcBorders>
          </w:tcPr>
          <w:p>
            <w:pPr>
              <w:spacing w:after="60"/>
            </w:pPr>
            <w:r/>
            <w:r>
              <w:rPr>
                <w:rFonts w:ascii="Georgia" w:hAnsi="Georgia"/>
                <w:sz w:val="18"/>
              </w:rPr>
              <w:t>SC-005</w:t>
            </w:r>
          </w:p>
        </w:tc>
        <w:tc>
          <w:tcPr>
            <w:tcW w:type="dxa" w:w="1572"/>
            <w:tcBorders>
              <w:bottom w:val="single" w:sz="6" w:space="4" w:color="D8DCE3"/>
            </w:tcBorders>
          </w:tcPr>
          <w:p>
            <w:pPr>
              <w:spacing w:after="60"/>
            </w:pPr>
            <w:r/>
            <w:r>
              <w:rPr>
                <w:rFonts w:ascii="Georgia" w:hAnsi="Georgia"/>
                <w:sz w:val="18"/>
              </w:rPr>
              <w:t>ST-005</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Buildability review finds holes</w:t>
            </w:r>
          </w:p>
        </w:tc>
      </w:tr>
      <w:tr>
        <w:tc>
          <w:tcPr>
            <w:tcW w:type="dxa" w:w="1147"/>
            <w:tcBorders>
              <w:bottom w:val="single" w:sz="6" w:space="4" w:color="D8DCE3"/>
            </w:tcBorders>
          </w:tcPr>
          <w:p>
            <w:pPr>
              <w:spacing w:after="60"/>
            </w:pPr>
            <w:r/>
            <w:r>
              <w:rPr>
                <w:rFonts w:ascii="Georgia" w:hAnsi="Georgia"/>
                <w:sz w:val="18"/>
              </w:rPr>
              <w:t>SC-006</w:t>
            </w:r>
          </w:p>
        </w:tc>
        <w:tc>
          <w:tcPr>
            <w:tcW w:type="dxa" w:w="1572"/>
            <w:tcBorders>
              <w:bottom w:val="single" w:sz="6" w:space="4" w:color="D8DCE3"/>
            </w:tcBorders>
          </w:tcPr>
          <w:p>
            <w:pPr>
              <w:spacing w:after="60"/>
            </w:pPr>
            <w:r/>
            <w:r>
              <w:rPr>
                <w:rFonts w:ascii="Georgia" w:hAnsi="Georgia"/>
                <w:sz w:val="18"/>
              </w:rPr>
              <w:t>ST-002</w:t>
            </w:r>
          </w:p>
        </w:tc>
        <w:tc>
          <w:tcPr>
            <w:tcW w:type="dxa" w:w="1275"/>
            <w:tcBorders>
              <w:bottom w:val="single" w:sz="6" w:space="4" w:color="D8DCE3"/>
            </w:tcBorders>
          </w:tcPr>
          <w:p>
            <w:pPr>
              <w:spacing w:after="60"/>
            </w:pPr>
            <w:r/>
            <w:r>
              <w:rPr>
                <w:rFonts w:ascii="Georgia" w:hAnsi="Georgia"/>
                <w:sz w:val="18"/>
              </w:rPr>
              <w:t>exception</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The expert has no baseline for a metric</w:t>
            </w:r>
          </w:p>
        </w:tc>
      </w:tr>
      <w:tr>
        <w:tc>
          <w:tcPr>
            <w:tcW w:type="dxa" w:w="1147"/>
            <w:tcBorders>
              <w:bottom w:val="single" w:sz="6" w:space="4" w:color="D8DCE3"/>
            </w:tcBorders>
          </w:tcPr>
          <w:p>
            <w:pPr>
              <w:spacing w:after="60"/>
            </w:pPr>
            <w:r/>
            <w:r>
              <w:rPr>
                <w:rFonts w:ascii="Georgia" w:hAnsi="Georgia"/>
                <w:sz w:val="18"/>
              </w:rPr>
              <w:t>SC-007</w:t>
            </w:r>
          </w:p>
        </w:tc>
        <w:tc>
          <w:tcPr>
            <w:tcW w:type="dxa" w:w="1572"/>
            <w:tcBorders>
              <w:bottom w:val="single" w:sz="6" w:space="4" w:color="D8DCE3"/>
            </w:tcBorders>
          </w:tcPr>
          <w:p>
            <w:pPr>
              <w:spacing w:after="60"/>
            </w:pPr>
            <w:r/>
            <w:r>
              <w:rPr>
                <w:rFonts w:ascii="Georgia" w:hAnsi="Georgia"/>
                <w:sz w:val="18"/>
              </w:rPr>
              <w:t>ST-001 to ST-006</w:t>
            </w:r>
          </w:p>
        </w:tc>
        <w:tc>
          <w:tcPr>
            <w:tcW w:type="dxa" w:w="1275"/>
            <w:tcBorders>
              <w:bottom w:val="single" w:sz="6" w:space="4" w:color="D8DCE3"/>
            </w:tcBorders>
          </w:tcPr>
          <w:p>
            <w:pPr>
              <w:spacing w:after="60"/>
            </w:pPr>
            <w:r/>
            <w:r>
              <w:rPr>
                <w:rFonts w:ascii="Georgia" w:hAnsi="Georgia"/>
                <w:sz w:val="18"/>
              </w:rPr>
              <w:t>happy</w:t>
            </w:r>
          </w:p>
        </w:tc>
        <w:tc>
          <w:tcPr>
            <w:tcW w:type="dxa" w:w="1232"/>
            <w:tcBorders>
              <w:bottom w:val="single" w:sz="6" w:space="4" w:color="D8DCE3"/>
            </w:tcBorders>
          </w:tcPr>
          <w:p>
            <w:pPr>
              <w:spacing w:after="60"/>
            </w:pPr>
            <w:r/>
            <w:r>
              <w:rPr>
                <w:rFonts w:ascii="Georgia" w:hAnsi="Georgia"/>
                <w:sz w:val="18"/>
              </w:rPr>
              <w:t>must</w:t>
            </w:r>
          </w:p>
        </w:tc>
        <w:tc>
          <w:tcPr>
            <w:tcW w:type="dxa" w:w="3270"/>
            <w:tcBorders>
              <w:bottom w:val="single" w:sz="6" w:space="4" w:color="D8DCE3"/>
            </w:tcBorders>
          </w:tcPr>
          <w:p>
            <w:pPr>
              <w:spacing w:after="60"/>
            </w:pPr>
            <w:r/>
            <w:r>
              <w:rPr>
                <w:rFonts w:ascii="Georgia" w:hAnsi="Georgia"/>
                <w:sz w:val="18"/>
              </w:rPr>
              <w:t>One idea, from the first sentence to an approved set</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and SC-004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specification.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 sponsor reads the root document, sees what is still open and who owns each open item, and approves the set at version 1.0.0</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owned by a named decider,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Approved, with the approval recorded in section 15.</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An independent grading pass with zero blocking defects, and an approval recorded in section 15,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9C2B2B"/>
          <w:sz w:val="15"/>
        </w:rPr>
        <w:t>draft · 83/100 · 1 blocking defects</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Product decision, 0.1.0 (was C-002)</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Product decision, 0.1.0 (was C-001); the session is D-001</w:t>
            </w:r>
          </w:p>
        </w:tc>
      </w:tr>
      <w:tr>
        <w:tc>
          <w:tcPr>
            <w:tcW w:type="dxa" w:w="4507"/>
            <w:tcBorders>
              <w:bottom w:val="single" w:sz="6" w:space="4" w:color="D8DCE3"/>
            </w:tcBorders>
          </w:tcPr>
          <w:p>
            <w:pPr>
              <w:spacing w:after="60"/>
            </w:pPr>
            <w:r/>
            <w:r>
              <w:rPr>
                <w:rFonts w:ascii="Georgia" w:hAnsi="Georgia"/>
                <w:sz w:val="18"/>
              </w:rPr>
              <w:t>Product teams entering a domain they do not know, in release 1</w:t>
            </w:r>
          </w:p>
        </w:tc>
        <w:tc>
          <w:tcPr>
            <w:tcW w:type="dxa" w:w="4507"/>
            <w:tcBorders>
              <w:bottom w:val="single" w:sz="6" w:space="4" w:color="D8DCE3"/>
            </w:tcBorders>
          </w:tcPr>
          <w:p>
            <w:pPr>
              <w:spacing w:after="60"/>
            </w:pPr>
            <w:r/>
            <w:r>
              <w:rPr>
                <w:rFonts w:ascii="Georgia" w:hAnsi="Georgia"/>
                <w:sz w:val="18"/>
              </w:rPr>
              <w:t>They want the domain, which prd-forge does not supply (was S-003)</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Three non-goals moved here at 0.8.1. The system-of-record and separate-application non-goals were constraints C-002 and C-001 in section 9, and the non-goal on product teams new to a domain was segment S-003 in section 2.</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18 are </w:t>
      </w:r>
      <w:r>
        <w:rPr>
          <w:rFonts w:ascii="Consolas" w:hAnsi="Consolas"/>
          <w:sz w:val="19"/>
        </w:rPr>
        <w:t>must</w:t>
      </w:r>
      <w:r>
        <w:rPr>
          <w:rFonts w:ascii="Georgia" w:hAnsi="Georgia"/>
        </w:rPr>
        <w:t xml:space="preserve">: without any one of them, REL-001 does not do what it promises. The eight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Six of the </w:t>
      </w:r>
      <w:r>
        <w:rPr>
          <w:rFonts w:ascii="Consolas" w:hAnsi="Consolas"/>
          <w:sz w:val="19"/>
        </w:rPr>
        <w:t>must</w:t>
      </w:r>
      <w:r>
        <w:rPr>
          <w:rFonts w:ascii="Georgia" w:hAnsi="Georgia"/>
        </w:rPr>
        <w:t xml:space="preserve"> requirements wait on an open question in section 12. FR-004, FR-009, FR-010, and FR-012 wait on Q-009, where the rubric and the derivability checks live and who owns them. FR-013 waits on Q-005, whether a sponsor accepts a specification that carries a grade. FR-014 waits on Q-011, how an approver records a decision.</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20" name="Picture 20"/>
            <wp:cNvGraphicFramePr>
              <a:graphicFrameLocks noChangeAspect="1"/>
            </wp:cNvGraphicFramePr>
            <a:graphic>
              <a:graphicData uri="http://schemas.openxmlformats.org/drawingml/2006/picture">
                <pic:pic>
                  <pic:nvPicPr>
                    <pic:cNvPr id="0" name="WF-001.png"/>
                    <pic:cNvPicPr/>
                  </pic:nvPicPr>
                  <pic:blipFill>
                    <a:blip r:embed="rId24"/>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1" name="Picture 21"/>
            <wp:cNvGraphicFramePr>
              <a:graphicFrameLocks noChangeAspect="1"/>
            </wp:cNvGraphicFramePr>
            <a:graphic>
              <a:graphicData uri="http://schemas.openxmlformats.org/drawingml/2006/picture">
                <pic:pic>
                  <pic:nvPicPr>
                    <pic:cNvPr id="0" name="WF-002.png"/>
                    <pic:cNvPicPr/>
                  </pic:nvPicPr>
                  <pic:blipFill>
                    <a:blip r:embed="rId23"/>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2" name="Picture 22"/>
            <wp:cNvGraphicFramePr>
              <a:graphicFrameLocks noChangeAspect="1"/>
            </wp:cNvGraphicFramePr>
            <a:graphic>
              <a:graphicData uri="http://schemas.openxmlformats.org/drawingml/2006/picture">
                <pic:pic>
                  <pic:nvPicPr>
                    <pic:cNvPr id="0" name="WF-003.png"/>
                    <pic:cNvPicPr/>
                  </pic:nvPicPr>
                  <pic:blipFill>
                    <a:blip r:embed="rId27"/>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3" name="Picture 23"/>
            <wp:cNvGraphicFramePr>
              <a:graphicFrameLocks noChangeAspect="1"/>
            </wp:cNvGraphicFramePr>
            <a:graphic>
              <a:graphicData uri="http://schemas.openxmlformats.org/drawingml/2006/picture">
                <pic:pic>
                  <pic:nvPicPr>
                    <pic:cNvPr id="0" name="WF-004.png"/>
                    <pic:cNvPicPr/>
                  </pic:nvPicPr>
                  <pic:blipFill>
                    <a:blip r:embed="rId28"/>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4" name="Picture 24"/>
            <wp:cNvGraphicFramePr>
              <a:graphicFrameLocks noChangeAspect="1"/>
            </wp:cNvGraphicFramePr>
            <a:graphic>
              <a:graphicData uri="http://schemas.openxmlformats.org/drawingml/2006/picture">
                <pic:pic>
                  <pic:nvPicPr>
                    <pic:cNvPr id="0" name="WF-005.png"/>
                    <pic:cNvPicPr/>
                  </pic:nvPicPr>
                  <pic:blipFill>
                    <a:blip r:embed="rId2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5" name="Picture 25"/>
            <wp:cNvGraphicFramePr>
              <a:graphicFrameLocks noChangeAspect="1"/>
            </wp:cNvGraphicFramePr>
            <a:graphic>
              <a:graphicData uri="http://schemas.openxmlformats.org/drawingml/2006/picture">
                <pic:pic>
                  <pic:nvPicPr>
                    <pic:cNvPr id="0" name="WF-006.png"/>
                    <pic:cNvPicPr/>
                  </pic:nvPicPr>
                  <pic:blipFill>
                    <a:blip r:embed="rId2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26" name="Picture 26"/>
            <wp:cNvGraphicFramePr>
              <a:graphicFrameLocks noChangeAspect="1"/>
            </wp:cNvGraphicFramePr>
            <a:graphic>
              <a:graphicData uri="http://schemas.openxmlformats.org/drawingml/2006/picture">
                <pic:pic>
                  <pic:nvPicPr>
                    <pic:cNvPr id="0" name="WF-007.png"/>
                    <pic:cNvPicPr/>
                  </pic:nvPicPr>
                  <pic:blipFill>
                    <a:blip r:embed="rId22"/>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27" name="Picture 27"/>
            <wp:cNvGraphicFramePr>
              <a:graphicFrameLocks noChangeAspect="1"/>
            </wp:cNvGraphicFramePr>
            <a:graphic>
              <a:graphicData uri="http://schemas.openxmlformats.org/drawingml/2006/picture">
                <pic:pic>
                  <pic:nvPicPr>
                    <pic:cNvPr id="0" name="WF-008.png"/>
                    <pic:cNvPicPr/>
                  </pic:nvPicPr>
                  <pic:blipFill>
                    <a:blip r:embed="rId13"/>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28" name="Picture 28"/>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29" name="Picture 29"/>
            <wp:cNvGraphicFramePr>
              <a:graphicFrameLocks noChangeAspect="1"/>
            </wp:cNvGraphicFramePr>
            <a:graphic>
              <a:graphicData uri="http://schemas.openxmlformats.org/drawingml/2006/picture">
                <pic:pic>
                  <pic:nvPicPr>
                    <pic:cNvPr id="0" name="WF-010.png"/>
                    <pic:cNvPicPr/>
                  </pic:nvPicPr>
                  <pic:blipFill>
                    <a:blip r:embed="rId15"/>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organisation keeps the documents, and the answer must be that we impose no expiry on them.</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9C2B2B"/>
          <w:sz w:val="15"/>
        </w:rPr>
        <w:t>draft · 35/100 · 4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46"/>
        <w:gridCol w:w="1459"/>
        <w:gridCol w:w="3512"/>
        <w:gridCol w:w="2450"/>
      </w:tblGrid>
      <w:tr>
        <w:tc>
          <w:tcPr>
            <w:tcW w:type="dxa" w:w="1247"/>
            <w:tcBorders>
              <w:bottom w:val="single" w:sz="12" w:space="4" w:color="16181D"/>
            </w:tcBorders>
          </w:tcPr>
          <w:p>
            <w:pPr>
              <w:spacing w:after="60"/>
            </w:pPr>
            <w:r/>
            <w:r>
              <w:rPr>
                <w:rFonts w:ascii="Calibri" w:hAnsi="Calibri"/>
                <w:b/>
                <w:caps/>
                <w:color w:val="5C6370"/>
                <w:sz w:val="15"/>
              </w:rPr>
              <w:t>ID</w:t>
            </w:r>
          </w:p>
        </w:tc>
        <w:tc>
          <w:tcPr>
            <w:tcW w:type="dxa" w:w="1459"/>
            <w:tcBorders>
              <w:bottom w:val="single" w:sz="12" w:space="4" w:color="16181D"/>
            </w:tcBorders>
          </w:tcPr>
          <w:p>
            <w:pPr>
              <w:spacing w:after="60"/>
            </w:pPr>
            <w:r/>
            <w:r>
              <w:rPr>
                <w:rFonts w:ascii="Calibri" w:hAnsi="Calibri"/>
                <w:b/>
                <w:caps/>
                <w:color w:val="5C6370"/>
                <w:sz w:val="15"/>
              </w:rPr>
              <w:t>Category</w:t>
            </w:r>
          </w:p>
        </w:tc>
        <w:tc>
          <w:tcPr>
            <w:tcW w:type="dxa" w:w="3512"/>
            <w:tcBorders>
              <w:bottom w:val="single" w:sz="12" w:space="4" w:color="16181D"/>
            </w:tcBorders>
          </w:tcPr>
          <w:p>
            <w:pPr>
              <w:spacing w:after="60"/>
            </w:pPr>
            <w:r/>
            <w:r>
              <w:rPr>
                <w:rFonts w:ascii="Calibri" w:hAnsi="Calibri"/>
                <w:b/>
                <w:caps/>
                <w:color w:val="5C6370"/>
                <w:sz w:val="15"/>
              </w:rPr>
              <w:t>Constraint</w:t>
            </w:r>
          </w:p>
        </w:tc>
        <w:tc>
          <w:tcPr>
            <w:tcW w:type="dxa" w:w="2450"/>
            <w:tcBorders>
              <w:bottom w:val="single" w:sz="12" w:space="4" w:color="16181D"/>
            </w:tcBorders>
          </w:tcPr>
          <w:p>
            <w:pPr>
              <w:spacing w:after="60"/>
            </w:pPr>
            <w:r/>
            <w:r>
              <w:rPr>
                <w:rFonts w:ascii="Calibri" w:hAnsi="Calibri"/>
                <w:b/>
                <w:caps/>
                <w:color w:val="5C6370"/>
                <w:sz w:val="15"/>
              </w:rPr>
              <w:t>Authority</w:t>
            </w:r>
          </w:p>
        </w:tc>
      </w:tr>
      <w:tr>
        <w:tc>
          <w:tcPr>
            <w:tcW w:type="dxa" w:w="1247"/>
            <w:tcBorders>
              <w:bottom w:val="single" w:sz="6" w:space="4" w:color="D8DCE3"/>
            </w:tcBorders>
          </w:tcPr>
          <w:p>
            <w:pPr>
              <w:spacing w:after="60"/>
            </w:pPr>
            <w:r/>
            <w:r>
              <w:rPr>
                <w:rFonts w:ascii="Georgia" w:hAnsi="Georgia"/>
                <w:sz w:val="18"/>
              </w:rPr>
              <w:t>C-004</w:t>
            </w:r>
          </w:p>
        </w:tc>
        <w:tc>
          <w:tcPr>
            <w:tcW w:type="dxa" w:w="1459"/>
            <w:tcBorders>
              <w:bottom w:val="single" w:sz="6" w:space="4" w:color="D8DCE3"/>
            </w:tcBorders>
          </w:tcPr>
          <w:p>
            <w:pPr>
              <w:spacing w:after="60"/>
            </w:pPr>
            <w:r/>
            <w:r>
              <w:rPr>
                <w:rFonts w:ascii="Georgia" w:hAnsi="Georgia"/>
                <w:sz w:val="18"/>
              </w:rPr>
              <w:t>legal</w:t>
            </w:r>
          </w:p>
        </w:tc>
        <w:tc>
          <w:tcPr>
            <w:tcW w:type="dxa" w:w="3512"/>
            <w:tcBorders>
              <w:bottom w:val="single" w:sz="6" w:space="4" w:color="D8DCE3"/>
            </w:tcBorders>
          </w:tcPr>
          <w:p>
            <w:pPr>
              <w:spacing w:after="60"/>
            </w:pPr>
            <w:r/>
            <w:r>
              <w:rPr>
                <w:rFonts w:ascii="Georgia" w:hAnsi="Georgia"/>
                <w:sz w:val="18"/>
              </w:rPr>
              <w:t>No unverified citation stated as fact</w:t>
            </w:r>
          </w:p>
        </w:tc>
        <w:tc>
          <w:tcPr>
            <w:tcW w:type="dxa" w:w="2450"/>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to C-003 have moved</w:t>
      </w:r>
    </w:p>
    <w:p>
      <w:r>
        <w:rPr>
          <w:rFonts w:ascii="Georgia" w:hAnsi="Georgia"/>
        </w:rPr>
        <w:t>At version 0.8.1, C-001 to C-003 left this section, because each was a decision of our own or a belief about customers, not a rule imposed from outside. Their ids are not reused.</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pPr>
        <w:pStyle w:val="Heading3"/>
      </w:pPr>
      <w:r>
        <w:t>C-004 is the one with teeth</w:t>
      </w:r>
    </w:p>
    <w:p>
      <w:r>
        <w:rPr>
          <w:rFonts w:ascii="Georgia" w:hAnsi="Georgia"/>
        </w:rPr>
        <w:t>C-004 is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81/100 · no blocking defects</w:t>
      </w:r>
    </w:p>
    <w:p>
      <w:pPr>
        <w:jc w:val="center"/>
      </w:pPr>
      <w:r>
        <w:drawing>
          <wp:inline xmlns:a="http://schemas.openxmlformats.org/drawingml/2006/main" xmlns:pic="http://schemas.openxmlformats.org/drawingml/2006/picture">
            <wp:extent cx="4528147"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29"/>
                    <a:stretch>
                      <a:fillRect/>
                    </a:stretch>
                  </pic:blipFill>
                  <pic:spPr>
                    <a:xfrm>
                      <a:off x="0" y="0"/>
                      <a:ext cx="4528147"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79/100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Organisations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on R1's target day in section 13. That is a real schedule problem: R1 ships on the day the assumptions it rests on are due to be tested, so it cannot use the results.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79/100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3"/>
        <w:gridCol w:w="2942"/>
        <w:gridCol w:w="1302"/>
        <w:gridCol w:w="1234"/>
        <w:gridCol w:w="1952"/>
      </w:tblGrid>
      <w:tr>
        <w:tc>
          <w:tcPr>
            <w:tcW w:type="dxa" w:w="1064"/>
            <w:tcBorders>
              <w:bottom w:val="single" w:sz="12" w:space="4" w:color="16181D"/>
            </w:tcBorders>
          </w:tcPr>
          <w:p>
            <w:pPr>
              <w:spacing w:after="60"/>
            </w:pPr>
            <w:r/>
            <w:r>
              <w:rPr>
                <w:rFonts w:ascii="Calibri" w:hAnsi="Calibri"/>
                <w:b/>
                <w:caps/>
                <w:color w:val="5C6370"/>
                <w:sz w:val="15"/>
              </w:rPr>
              <w:t>ID</w:t>
            </w:r>
          </w:p>
        </w:tc>
        <w:tc>
          <w:tcPr>
            <w:tcW w:type="dxa" w:w="2943"/>
            <w:tcBorders>
              <w:bottom w:val="single" w:sz="12" w:space="4" w:color="16181D"/>
            </w:tcBorders>
          </w:tcPr>
          <w:p>
            <w:pPr>
              <w:spacing w:after="60"/>
            </w:pPr>
            <w:r/>
            <w:r>
              <w:rPr>
                <w:rFonts w:ascii="Calibri" w:hAnsi="Calibri"/>
                <w:b/>
                <w:caps/>
                <w:color w:val="5C6370"/>
                <w:sz w:val="15"/>
              </w:rPr>
              <w:t>Question</w:t>
            </w:r>
          </w:p>
        </w:tc>
        <w:tc>
          <w:tcPr>
            <w:tcW w:type="dxa" w:w="1303"/>
            <w:tcBorders>
              <w:bottom w:val="single" w:sz="12" w:space="4" w:color="16181D"/>
            </w:tcBorders>
          </w:tcPr>
          <w:p>
            <w:pPr>
              <w:spacing w:after="60"/>
            </w:pPr>
            <w:r/>
            <w:r>
              <w:rPr>
                <w:rFonts w:ascii="Calibri" w:hAnsi="Calibri"/>
                <w:b/>
                <w:caps/>
                <w:color w:val="5C6370"/>
                <w:sz w:val="15"/>
              </w:rPr>
              <w:t>Decider</w:t>
            </w:r>
          </w:p>
        </w:tc>
        <w:tc>
          <w:tcPr>
            <w:tcW w:type="dxa" w:w="1234"/>
            <w:tcBorders>
              <w:bottom w:val="single" w:sz="12" w:space="4" w:color="16181D"/>
            </w:tcBorders>
          </w:tcPr>
          <w:p>
            <w:pPr>
              <w:spacing w:after="60"/>
            </w:pPr>
            <w:r/>
            <w:r>
              <w:rPr>
                <w:rFonts w:ascii="Calibri" w:hAnsi="Calibri"/>
                <w:b/>
                <w:caps/>
                <w:color w:val="5C6370"/>
                <w:sz w:val="15"/>
              </w:rPr>
              <w:t>By</w:t>
            </w:r>
          </w:p>
        </w:tc>
        <w:tc>
          <w:tcPr>
            <w:tcW w:type="dxa" w:w="1952"/>
            <w:tcBorders>
              <w:bottom w:val="single" w:sz="12" w:space="4" w:color="16181D"/>
            </w:tcBorders>
          </w:tcPr>
          <w:p>
            <w:pPr>
              <w:spacing w:after="60"/>
            </w:pPr>
            <w:r/>
            <w:r>
              <w:rPr>
                <w:rFonts w:ascii="Calibri" w:hAnsi="Calibri"/>
                <w:b/>
                <w:caps/>
                <w:color w:val="5C6370"/>
                <w:sz w:val="15"/>
              </w:rPr>
              <w:t>Blocks</w:t>
            </w:r>
          </w:p>
        </w:tc>
      </w:tr>
      <w:tr>
        <w:tc>
          <w:tcPr>
            <w:tcW w:type="dxa" w:w="1064"/>
            <w:tcBorders>
              <w:bottom w:val="single" w:sz="6" w:space="4" w:color="D8DCE3"/>
            </w:tcBorders>
          </w:tcPr>
          <w:p>
            <w:pPr>
              <w:spacing w:after="60"/>
            </w:pPr>
            <w:r/>
            <w:r>
              <w:rPr>
                <w:rFonts w:ascii="Georgia" w:hAnsi="Georgia"/>
                <w:sz w:val="18"/>
              </w:rPr>
              <w:t>Q-001</w:t>
            </w:r>
          </w:p>
        </w:tc>
        <w:tc>
          <w:tcPr>
            <w:tcW w:type="dxa" w:w="2943"/>
            <w:tcBorders>
              <w:bottom w:val="single" w:sz="6" w:space="4" w:color="D8DCE3"/>
            </w:tcBorders>
          </w:tcPr>
          <w:p>
            <w:pPr>
              <w:spacing w:after="60"/>
            </w:pPr>
            <w:r/>
            <w:r>
              <w:rPr>
                <w:rFonts w:ascii="Georgia" w:hAnsi="Georgia"/>
                <w:sz w:val="18"/>
              </w:rPr>
              <w:t>Today's first-pass buildability rate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O-001</w:t>
            </w:r>
          </w:p>
        </w:tc>
      </w:tr>
      <w:tr>
        <w:tc>
          <w:tcPr>
            <w:tcW w:type="dxa" w:w="1064"/>
            <w:tcBorders>
              <w:bottom w:val="single" w:sz="6" w:space="4" w:color="D8DCE3"/>
            </w:tcBorders>
          </w:tcPr>
          <w:p>
            <w:pPr>
              <w:spacing w:after="60"/>
            </w:pPr>
            <w:r/>
            <w:r>
              <w:rPr>
                <w:rFonts w:ascii="Georgia" w:hAnsi="Georgia"/>
                <w:sz w:val="18"/>
              </w:rPr>
              <w:t>Q-002</w:t>
            </w:r>
          </w:p>
        </w:tc>
        <w:tc>
          <w:tcPr>
            <w:tcW w:type="dxa" w:w="2943"/>
            <w:tcBorders>
              <w:bottom w:val="single" w:sz="6" w:space="4" w:color="D8DCE3"/>
            </w:tcBorders>
          </w:tcPr>
          <w:p>
            <w:pPr>
              <w:spacing w:after="60"/>
            </w:pPr>
            <w:r/>
            <w:r>
              <w:rPr>
                <w:rFonts w:ascii="Georgia" w:hAnsi="Georgia"/>
                <w:sz w:val="18"/>
              </w:rPr>
              <w:t>Today's idea-to-approval elapsed time</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O-002</w:t>
            </w:r>
          </w:p>
        </w:tc>
      </w:tr>
      <w:tr>
        <w:tc>
          <w:tcPr>
            <w:tcW w:type="dxa" w:w="1064"/>
            <w:tcBorders>
              <w:bottom w:val="single" w:sz="6" w:space="4" w:color="D8DCE3"/>
            </w:tcBorders>
          </w:tcPr>
          <w:p>
            <w:pPr>
              <w:spacing w:after="60"/>
            </w:pPr>
            <w:r/>
            <w:r>
              <w:rPr>
                <w:rFonts w:ascii="Georgia" w:hAnsi="Georgia"/>
                <w:sz w:val="18"/>
              </w:rPr>
              <w:t>Q-003</w:t>
            </w:r>
          </w:p>
        </w:tc>
        <w:tc>
          <w:tcPr>
            <w:tcW w:type="dxa" w:w="2943"/>
            <w:tcBorders>
              <w:bottom w:val="single" w:sz="6" w:space="4" w:color="D8DCE3"/>
            </w:tcBorders>
          </w:tcPr>
          <w:p>
            <w:pPr>
              <w:spacing w:after="60"/>
            </w:pPr>
            <w:r/>
            <w:r>
              <w:rPr>
                <w:rFonts w:ascii="Georgia" w:hAnsi="Georgia"/>
                <w:sz w:val="18"/>
              </w:rPr>
              <w:t>Today's share of testable requirements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O-003</w:t>
            </w:r>
          </w:p>
        </w:tc>
      </w:tr>
      <w:tr>
        <w:tc>
          <w:tcPr>
            <w:tcW w:type="dxa" w:w="1064"/>
            <w:tcBorders>
              <w:bottom w:val="single" w:sz="6" w:space="4" w:color="D8DCE3"/>
            </w:tcBorders>
          </w:tcPr>
          <w:p>
            <w:pPr>
              <w:spacing w:after="60"/>
            </w:pPr>
            <w:r/>
            <w:r>
              <w:rPr>
                <w:rFonts w:ascii="Georgia" w:hAnsi="Georgia"/>
                <w:sz w:val="18"/>
              </w:rPr>
              <w:t>Q-004</w:t>
            </w:r>
          </w:p>
        </w:tc>
        <w:tc>
          <w:tcPr>
            <w:tcW w:type="dxa" w:w="2943"/>
            <w:tcBorders>
              <w:bottom w:val="single" w:sz="6" w:space="4" w:color="D8DCE3"/>
            </w:tcBorders>
          </w:tcPr>
          <w:p>
            <w:pPr>
              <w:spacing w:after="60"/>
            </w:pPr>
            <w:r/>
            <w:r>
              <w:rPr>
                <w:rFonts w:ascii="Georgia" w:hAnsi="Georgia"/>
                <w:sz w:val="18"/>
              </w:rPr>
              <w:t>Segment sizes, and which converts</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2027-06-30</w:t>
            </w:r>
          </w:p>
        </w:tc>
        <w:tc>
          <w:tcPr>
            <w:tcW w:type="dxa" w:w="1952"/>
            <w:tcBorders>
              <w:bottom w:val="single" w:sz="6" w:space="4" w:color="D8DCE3"/>
            </w:tcBorders>
          </w:tcPr>
          <w:p>
            <w:pPr>
              <w:spacing w:after="60"/>
            </w:pPr>
            <w:r/>
            <w:r>
              <w:rPr>
                <w:rFonts w:ascii="Georgia" w:hAnsi="Georgia"/>
                <w:sz w:val="18"/>
              </w:rPr>
              <w:t>S-001, S-002</w:t>
            </w:r>
          </w:p>
        </w:tc>
      </w:tr>
      <w:tr>
        <w:tc>
          <w:tcPr>
            <w:tcW w:type="dxa" w:w="1064"/>
            <w:tcBorders>
              <w:bottom w:val="single" w:sz="6" w:space="4" w:color="D8DCE3"/>
            </w:tcBorders>
          </w:tcPr>
          <w:p>
            <w:pPr>
              <w:spacing w:after="60"/>
            </w:pPr>
            <w:r/>
            <w:r>
              <w:rPr>
                <w:rFonts w:ascii="Georgia" w:hAnsi="Georgia"/>
                <w:sz w:val="18"/>
              </w:rPr>
              <w:t>Q-005</w:t>
            </w:r>
          </w:p>
        </w:tc>
        <w:tc>
          <w:tcPr>
            <w:tcW w:type="dxa" w:w="2943"/>
            <w:tcBorders>
              <w:bottom w:val="single" w:sz="6" w:space="4" w:color="D8DCE3"/>
            </w:tcBorders>
          </w:tcPr>
          <w:p>
            <w:pPr>
              <w:spacing w:after="60"/>
            </w:pPr>
            <w:r/>
            <w:r>
              <w:rPr>
                <w:rFonts w:ascii="Georgia" w:hAnsi="Georgia"/>
                <w:sz w:val="18"/>
              </w:rPr>
              <w:t>Will a sponsor accept a graded specification</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FR-013, TR-001</w:t>
            </w:r>
          </w:p>
        </w:tc>
      </w:tr>
      <w:tr>
        <w:tc>
          <w:tcPr>
            <w:tcW w:type="dxa" w:w="1064"/>
            <w:tcBorders>
              <w:bottom w:val="single" w:sz="6" w:space="4" w:color="D8DCE3"/>
            </w:tcBorders>
          </w:tcPr>
          <w:p>
            <w:pPr>
              <w:spacing w:after="60"/>
            </w:pPr>
            <w:r/>
            <w:r>
              <w:rPr>
                <w:rFonts w:ascii="Georgia" w:hAnsi="Georgia"/>
                <w:sz w:val="18"/>
              </w:rPr>
              <w:t>Q-006</w:t>
            </w:r>
          </w:p>
        </w:tc>
        <w:tc>
          <w:tcPr>
            <w:tcW w:type="dxa" w:w="2943"/>
            <w:tcBorders>
              <w:bottom w:val="single" w:sz="6" w:space="4" w:color="D8DCE3"/>
            </w:tcBorders>
          </w:tcPr>
          <w:p>
            <w:pPr>
              <w:spacing w:after="60"/>
            </w:pPr>
            <w:r/>
            <w:r>
              <w:rPr>
                <w:rFonts w:ascii="Georgia" w:hAnsi="Georgia"/>
                <w:sz w:val="18"/>
              </w:rPr>
              <w:t>Sections completed per sitting, and where they stop</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R-004, NFR-005</w:t>
            </w:r>
          </w:p>
        </w:tc>
      </w:tr>
      <w:tr>
        <w:tc>
          <w:tcPr>
            <w:tcW w:type="dxa" w:w="1064"/>
            <w:tcBorders>
              <w:bottom w:val="single" w:sz="6" w:space="4" w:color="D8DCE3"/>
            </w:tcBorders>
          </w:tcPr>
          <w:p>
            <w:pPr>
              <w:spacing w:after="60"/>
            </w:pPr>
            <w:r/>
            <w:r>
              <w:rPr>
                <w:rFonts w:ascii="Georgia" w:hAnsi="Georgia"/>
                <w:sz w:val="18"/>
              </w:rPr>
              <w:t>Q-007</w:t>
            </w:r>
          </w:p>
        </w:tc>
        <w:tc>
          <w:tcPr>
            <w:tcW w:type="dxa" w:w="2943"/>
            <w:tcBorders>
              <w:bottom w:val="single" w:sz="6" w:space="4" w:color="D8DCE3"/>
            </w:tcBorders>
          </w:tcPr>
          <w:p>
            <w:pPr>
              <w:spacing w:after="60"/>
            </w:pPr>
            <w:r/>
            <w:r>
              <w:rPr>
                <w:rFonts w:ascii="Georgia" w:hAnsi="Georgia"/>
                <w:sz w:val="18"/>
              </w:rPr>
              <w:t>Is the working order right, and how does looping back feel</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ST-004</w:t>
            </w:r>
          </w:p>
        </w:tc>
      </w:tr>
      <w:tr>
        <w:tc>
          <w:tcPr>
            <w:tcW w:type="dxa" w:w="1064"/>
            <w:tcBorders>
              <w:bottom w:val="single" w:sz="6" w:space="4" w:color="D8DCE3"/>
            </w:tcBorders>
          </w:tcPr>
          <w:p>
            <w:pPr>
              <w:spacing w:after="60"/>
            </w:pPr>
            <w:r/>
            <w:r>
              <w:rPr>
                <w:rFonts w:ascii="Georgia" w:hAnsi="Georgia"/>
                <w:sz w:val="18"/>
              </w:rPr>
              <w:t>Q-008</w:t>
            </w:r>
          </w:p>
        </w:tc>
        <w:tc>
          <w:tcPr>
            <w:tcW w:type="dxa" w:w="2943"/>
            <w:tcBorders>
              <w:bottom w:val="single" w:sz="6" w:space="4" w:color="D8DCE3"/>
            </w:tcBorders>
          </w:tcPr>
          <w:p>
            <w:pPr>
              <w:spacing w:after="60"/>
            </w:pPr>
            <w:r/>
            <w:r>
              <w:rPr>
                <w:rFonts w:ascii="Georgia" w:hAnsi="Georgia"/>
                <w:sz w:val="18"/>
              </w:rPr>
              <w:t>Disciplined or incomplete, to an engineering lead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2027-03-31</w:t>
            </w:r>
          </w:p>
        </w:tc>
        <w:tc>
          <w:tcPr>
            <w:tcW w:type="dxa" w:w="1952"/>
            <w:tcBorders>
              <w:bottom w:val="single" w:sz="6" w:space="4" w:color="D8DCE3"/>
            </w:tcBorders>
          </w:tcPr>
          <w:p>
            <w:pPr>
              <w:spacing w:after="60"/>
            </w:pPr>
            <w:r/>
            <w:r>
              <w:rPr>
                <w:rFonts w:ascii="Georgia" w:hAnsi="Georgia"/>
                <w:sz w:val="18"/>
              </w:rPr>
              <w:t>A-003</w:t>
            </w:r>
          </w:p>
        </w:tc>
      </w:tr>
      <w:tr>
        <w:tc>
          <w:tcPr>
            <w:tcW w:type="dxa" w:w="1064"/>
            <w:tcBorders>
              <w:bottom w:val="single" w:sz="6" w:space="4" w:color="D8DCE3"/>
            </w:tcBorders>
          </w:tcPr>
          <w:p>
            <w:pPr>
              <w:spacing w:after="60"/>
            </w:pPr>
            <w:r/>
            <w:r>
              <w:rPr>
                <w:rFonts w:ascii="Georgia" w:hAnsi="Georgia"/>
                <w:sz w:val="18"/>
              </w:rPr>
              <w:t>Q-009</w:t>
            </w:r>
          </w:p>
        </w:tc>
        <w:tc>
          <w:tcPr>
            <w:tcW w:type="dxa" w:w="2943"/>
            <w:tcBorders>
              <w:bottom w:val="single" w:sz="6" w:space="4" w:color="D8DCE3"/>
            </w:tcBorders>
          </w:tcPr>
          <w:p>
            <w:pPr>
              <w:spacing w:after="60"/>
            </w:pPr>
            <w:r/>
            <w:r>
              <w:rPr>
                <w:rFonts w:ascii="Georgia" w:hAnsi="Georgia"/>
                <w:sz w:val="18"/>
              </w:rPr>
              <w:t>Where the rubric and the checks live, and who owns them</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FR-004, FR-009..FR-012, NFR-007</w:t>
            </w:r>
          </w:p>
        </w:tc>
      </w:tr>
      <w:tr>
        <w:tc>
          <w:tcPr>
            <w:tcW w:type="dxa" w:w="1064"/>
            <w:tcBorders>
              <w:bottom w:val="single" w:sz="6" w:space="4" w:color="D8DCE3"/>
            </w:tcBorders>
          </w:tcPr>
          <w:p>
            <w:pPr>
              <w:spacing w:after="60"/>
            </w:pPr>
            <w:r/>
            <w:r>
              <w:rPr>
                <w:rFonts w:ascii="Georgia" w:hAnsi="Georgia"/>
                <w:sz w:val="18"/>
              </w:rPr>
              <w:t>Q-010</w:t>
            </w:r>
          </w:p>
        </w:tc>
        <w:tc>
          <w:tcPr>
            <w:tcW w:type="dxa" w:w="2943"/>
            <w:tcBorders>
              <w:bottom w:val="single" w:sz="6" w:space="4" w:color="D8DCE3"/>
            </w:tcBorders>
          </w:tcPr>
          <w:p>
            <w:pPr>
              <w:spacing w:after="60"/>
            </w:pPr>
            <w:r/>
            <w:r>
              <w:rPr>
                <w:rFonts w:ascii="Georgia" w:hAnsi="Georgia"/>
                <w:sz w:val="18"/>
              </w:rPr>
              <w:t>Where an answer lives before its section is drafted</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2027-01-31</w:t>
            </w:r>
          </w:p>
        </w:tc>
        <w:tc>
          <w:tcPr>
            <w:tcW w:type="dxa" w:w="1952"/>
            <w:tcBorders>
              <w:bottom w:val="single" w:sz="6" w:space="4" w:color="D8DCE3"/>
            </w:tcBorders>
          </w:tcPr>
          <w:p>
            <w:pPr>
              <w:spacing w:after="60"/>
            </w:pPr>
            <w:r/>
            <w:r>
              <w:rPr>
                <w:rFonts w:ascii="Georgia" w:hAnsi="Georgia"/>
                <w:sz w:val="18"/>
              </w:rPr>
              <w:t>FR-015, NFR-011</w:t>
            </w:r>
          </w:p>
        </w:tc>
      </w:tr>
      <w:tr>
        <w:tc>
          <w:tcPr>
            <w:tcW w:type="dxa" w:w="1064"/>
            <w:tcBorders>
              <w:bottom w:val="single" w:sz="6" w:space="4" w:color="D8DCE3"/>
            </w:tcBorders>
          </w:tcPr>
          <w:p>
            <w:pPr>
              <w:spacing w:after="60"/>
            </w:pPr>
            <w:r/>
            <w:r>
              <w:rPr>
                <w:rFonts w:ascii="Georgia" w:hAnsi="Georgia"/>
                <w:sz w:val="18"/>
              </w:rPr>
              <w:t>Q-011</w:t>
            </w:r>
          </w:p>
        </w:tc>
        <w:tc>
          <w:tcPr>
            <w:tcW w:type="dxa" w:w="2943"/>
            <w:tcBorders>
              <w:bottom w:val="single" w:sz="6" w:space="4" w:color="D8DCE3"/>
            </w:tcBorders>
          </w:tcPr>
          <w:p>
            <w:pPr>
              <w:spacing w:after="60"/>
            </w:pPr>
            <w:r/>
            <w:r>
              <w:rPr>
                <w:rFonts w:ascii="Georgia" w:hAnsi="Georgia"/>
                <w:sz w:val="18"/>
              </w:rPr>
              <w:t>How an approver records a decision, and who owns NFR-006/012</w:t>
            </w:r>
          </w:p>
        </w:tc>
        <w:tc>
          <w:tcPr>
            <w:tcW w:type="dxa" w:w="1303"/>
            <w:tcBorders>
              <w:bottom w:val="single" w:sz="6" w:space="4" w:color="D8DCE3"/>
            </w:tcBorders>
          </w:tcPr>
          <w:p>
            <w:pPr>
              <w:spacing w:after="60"/>
            </w:pPr>
            <w:r/>
            <w:r>
              <w:rPr>
                <w:rFonts w:ascii="Georgia" w:hAnsi="Georgia"/>
                <w:sz w:val="18"/>
              </w:rPr>
              <w:t>R. Hightower</w:t>
            </w:r>
          </w:p>
        </w:tc>
        <w:tc>
          <w:tcPr>
            <w:tcW w:type="dxa" w:w="1234"/>
            <w:tcBorders>
              <w:bottom w:val="single" w:sz="6" w:space="4" w:color="D8DCE3"/>
            </w:tcBorders>
          </w:tcPr>
          <w:p>
            <w:pPr>
              <w:spacing w:after="60"/>
            </w:pPr>
            <w:r/>
            <w:r>
              <w:rPr>
                <w:rFonts w:ascii="Georgia" w:hAnsi="Georgia"/>
                <w:sz w:val="18"/>
              </w:rPr>
              <w:t>2027-02-28</w:t>
            </w:r>
          </w:p>
        </w:tc>
        <w:tc>
          <w:tcPr>
            <w:tcW w:type="dxa" w:w="1952"/>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A-005, that content is retained nowhere outside the documents, and given that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 and who owns NFR-006's accessibility and NFR-012's access control, which describe things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88/100 · no blocking defects</w:t>
      </w:r>
    </w:p>
    <w:p>
      <w:pPr>
        <w:jc w:val="center"/>
      </w:pPr>
      <w:r>
        <w:drawing>
          <wp:inline xmlns:a="http://schemas.openxmlformats.org/drawingml/2006/main" xmlns:pic="http://schemas.openxmlformats.org/drawingml/2006/picture">
            <wp:extent cx="5486399" cy="6599075"/>
            <wp:docPr id="31" name="Picture 31"/>
            <wp:cNvGraphicFramePr>
              <a:graphicFrameLocks noChangeAspect="1"/>
            </wp:cNvGraphicFramePr>
            <a:graphic>
              <a:graphicData uri="http://schemas.openxmlformats.org/drawingml/2006/picture">
                <pic:pic>
                  <pic:nvPicPr>
                    <pic:cNvPr id="0" name="release-line.png"/>
                    <pic:cNvPicPr/>
                  </pic:nvPicPr>
                  <pic:blipFill>
                    <a:blip r:embed="rId30"/>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80% of the pilot PRDs pass the buildability review on first submission (O-001).</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60/100 · 7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r>
        <w:tc>
          <w:tcPr>
            <w:tcW w:type="dxa" w:w="4628"/>
            <w:tcBorders>
              <w:bottom w:val="single" w:sz="6" w:space="4" w:color="D8DCE3"/>
            </w:tcBorders>
          </w:tcPr>
          <w:p>
            <w:pPr>
              <w:spacing w:after="60"/>
            </w:pPr>
            <w:r/>
            <w:r>
              <w:rPr>
                <w:rFonts w:ascii="Georgia" w:hAnsi="Georgia"/>
                <w:sz w:val="18"/>
              </w:rPr>
              <w:t>Buildability review</w:t>
            </w:r>
          </w:p>
        </w:tc>
        <w:tc>
          <w:tcPr>
            <w:tcW w:type="dxa" w:w="4387"/>
            <w:tcBorders>
              <w:bottom w:val="single" w:sz="6" w:space="4" w:color="D8DCE3"/>
            </w:tcBorders>
          </w:tcPr>
          <w:p>
            <w:pPr>
              <w:spacing w:after="60"/>
            </w:pPr>
            <w:r/>
            <w:r>
              <w:rPr>
                <w:rFonts w:ascii="Georgia" w:hAnsi="Georgia"/>
                <w:sz w:val="18"/>
              </w:rPr>
              <w:t>A grading pass</w:t>
            </w:r>
          </w:p>
        </w:tc>
      </w:tr>
      <w:tr>
        <w:tc>
          <w:tcPr>
            <w:tcW w:type="dxa" w:w="4628"/>
            <w:tcBorders>
              <w:bottom w:val="single" w:sz="6" w:space="4" w:color="D8DCE3"/>
            </w:tcBorders>
          </w:tcPr>
          <w:p>
            <w:pPr>
              <w:spacing w:after="60"/>
            </w:pPr>
            <w:r/>
            <w:r>
              <w:rPr>
                <w:rFonts w:ascii="Georgia" w:hAnsi="Georgia"/>
                <w:sz w:val="18"/>
              </w:rPr>
              <w:t>Finding</w:t>
            </w:r>
          </w:p>
        </w:tc>
        <w:tc>
          <w:tcPr>
            <w:tcW w:type="dxa" w:w="4387"/>
            <w:tcBorders>
              <w:bottom w:val="single" w:sz="6" w:space="4" w:color="D8DCE3"/>
            </w:tcBorders>
          </w:tcPr>
          <w:p>
            <w:pPr>
              <w:spacing w:after="60"/>
            </w:pPr>
            <w:r/>
            <w:r>
              <w:rPr>
                <w:rFonts w:ascii="Georgia" w:hAnsi="Georgia"/>
                <w:sz w:val="18"/>
              </w:rPr>
              <w:t>A blocking defect</w:t>
            </w:r>
          </w:p>
        </w:tc>
      </w:tr>
      <w:tr>
        <w:tc>
          <w:tcPr>
            <w:tcW w:type="dxa" w:w="4628"/>
            <w:tcBorders>
              <w:bottom w:val="single" w:sz="6" w:space="4" w:color="D8DCE3"/>
            </w:tcBorders>
          </w:tcPr>
          <w:p>
            <w:pPr>
              <w:spacing w:after="60"/>
            </w:pPr>
            <w:r/>
            <w:r>
              <w:rPr>
                <w:rFonts w:ascii="Georgia" w:hAnsi="Georgia"/>
                <w:sz w:val="18"/>
              </w:rPr>
              <w:t>Root document</w:t>
            </w:r>
          </w:p>
        </w:tc>
        <w:tc>
          <w:tcPr>
            <w:tcW w:type="dxa" w:w="4387"/>
            <w:tcBorders>
              <w:bottom w:val="single" w:sz="6" w:space="4" w:color="D8DCE3"/>
            </w:tcBorders>
          </w:tcPr>
          <w:p>
            <w:pPr>
              <w:spacing w:after="60"/>
            </w:pPr>
            <w:r/>
            <w:r>
              <w:rPr>
                <w:rFonts w:ascii="Georgia" w:hAnsi="Georgia"/>
                <w:sz w:val="18"/>
              </w:rPr>
              <w:t>Section 1</w:t>
            </w:r>
          </w:p>
        </w:tc>
      </w:tr>
      <w:tr>
        <w:tc>
          <w:tcPr>
            <w:tcW w:type="dxa" w:w="4628"/>
            <w:tcBorders>
              <w:bottom w:val="single" w:sz="6" w:space="4" w:color="D8DCE3"/>
            </w:tcBorders>
          </w:tcPr>
          <w:p>
            <w:pPr>
              <w:spacing w:after="60"/>
            </w:pPr>
            <w:r/>
            <w:r>
              <w:rPr>
                <w:rFonts w:ascii="Georgia" w:hAnsi="Georgia"/>
                <w:sz w:val="18"/>
              </w:rPr>
              <w:t>Approver</w:t>
            </w:r>
          </w:p>
        </w:tc>
        <w:tc>
          <w:tcPr>
            <w:tcW w:type="dxa" w:w="4387"/>
            <w:tcBorders>
              <w:bottom w:val="single" w:sz="6" w:space="4" w:color="D8DCE3"/>
            </w:tcBorders>
          </w:tcPr>
          <w:p>
            <w:pPr>
              <w:spacing w:after="60"/>
            </w:pPr>
            <w:r/>
            <w:r>
              <w:rPr>
                <w:rFonts w:ascii="Georgia" w:hAnsi="Georgia"/>
                <w:sz w:val="18"/>
              </w:rPr>
              <w:t>The expert</w:t>
            </w:r>
          </w:p>
        </w:tc>
      </w:tr>
      <w:tr>
        <w:tc>
          <w:tcPr>
            <w:tcW w:type="dxa" w:w="4628"/>
            <w:tcBorders>
              <w:bottom w:val="single" w:sz="6" w:space="4" w:color="D8DCE3"/>
            </w:tcBorders>
          </w:tcPr>
          <w:p>
            <w:pPr>
              <w:spacing w:after="60"/>
            </w:pPr>
            <w:r/>
            <w:r>
              <w:rPr>
                <w:rFonts w:ascii="Georgia" w:hAnsi="Georgia"/>
                <w:sz w:val="18"/>
              </w:rPr>
              <w:t>Condition</w:t>
            </w:r>
          </w:p>
        </w:tc>
        <w:tc>
          <w:tcPr>
            <w:tcW w:type="dxa" w:w="4387"/>
            <w:tcBorders>
              <w:bottom w:val="single" w:sz="6" w:space="4" w:color="D8DCE3"/>
            </w:tcBorders>
          </w:tcPr>
          <w:p>
            <w:pPr>
              <w:spacing w:after="60"/>
            </w:pPr>
            <w:r/>
            <w:r>
              <w:rPr>
                <w:rFonts w:ascii="Georgia" w:hAnsi="Georgia"/>
                <w:sz w:val="18"/>
              </w:rPr>
              <w:t>A constraint</w:t>
            </w:r>
          </w:p>
        </w:tc>
      </w:tr>
      <w:tr>
        <w:tc>
          <w:tcPr>
            <w:tcW w:type="dxa" w:w="4628"/>
            <w:tcBorders>
              <w:bottom w:val="single" w:sz="6" w:space="4" w:color="D8DCE3"/>
            </w:tcBorders>
          </w:tcPr>
          <w:p>
            <w:pPr>
              <w:spacing w:after="60"/>
            </w:pPr>
            <w:r/>
            <w:r>
              <w:rPr>
                <w:rFonts w:ascii="Georgia" w:hAnsi="Georgia"/>
                <w:sz w:val="18"/>
              </w:rPr>
              <w:t>Constraint</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Objective</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Baseline</w:t>
            </w:r>
          </w:p>
        </w:tc>
        <w:tc>
          <w:tcPr>
            <w:tcW w:type="dxa" w:w="4387"/>
            <w:tcBorders>
              <w:bottom w:val="single" w:sz="6" w:space="4" w:color="D8DCE3"/>
            </w:tcBorders>
          </w:tcPr>
          <w:p>
            <w:pPr>
              <w:spacing w:after="60"/>
            </w:pPr>
            <w:r/>
            <w:r>
              <w:rPr>
                <w:rFonts w:ascii="Georgia" w:hAnsi="Georgia"/>
                <w:sz w:val="18"/>
              </w:rPr>
              <w:t>A target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golden thread, blocking defect and score,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decides whether a set is approved for a release: the sponsor, or the expert when no sponsor exists. They approve, approve with conditions, or reject, and the decision is recorded in section 15 against a named version. An approver who approves with conditions approves the set on the conditions they state, and the set reads as approved with conditions until that same approver clears every one.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63/100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0.8.1,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