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65/100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"Before I approve the budget, I can see which parts of a PRD my own expert wrote my team could not build from yet."</w:t>
      </w:r>
    </w:p>
    <w:p>
      <w:r>
        <w:rPr>
          <w:rFonts w:ascii="Georgia" w:hAnsi="Georgia"/>
        </w:rPr>
        <w:t>The sponsor in either segment says this. In S-001 they weigh it against the consultant's billable hours, and in S-002 against contracting a product manager without the domain, whose day rate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anyone estimates, the buyer holds a report that names each release-line stage no requirement covers and quotes each requirement an engineer could not write a test from. The buyer can check a ChatPRD draft for the same report.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approving, the buyer can see which sections are not yet ready, each with the quoted defect that holds it back, so a fluent section that cannot be built is not offered as ready. Fluency is the failure mode in P-003.</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closest to the domain knowledge, and the buyer sees each section's grade and blocking defects before approving. In S-001 the consultant already stands between the client and the page, and any cost advantage there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22"/>
        <w:gridCol w:w="1733"/>
        <w:gridCol w:w="1905"/>
        <w:gridCol w:w="1922"/>
      </w:tblGrid>
      <w:tr>
        <w:tc>
          <w:tcPr>
            <w:tcW w:type="dxa" w:w="1013"/>
            <w:tcBorders>
              <w:bottom w:val="single" w:sz="12" w:space="4" w:color="16181D"/>
            </w:tcBorders>
          </w:tcPr>
          <w:p>
            <w:pPr>
              <w:spacing w:after="60"/>
            </w:pPr>
            <w:r/>
            <w:r>
              <w:rPr>
                <w:rFonts w:ascii="Calibri" w:hAnsi="Calibri"/>
                <w:b/>
                <w:caps/>
                <w:color w:val="5C6370"/>
                <w:sz w:val="15"/>
              </w:rPr>
              <w:t>ID</w:t>
            </w:r>
          </w:p>
        </w:tc>
        <w:tc>
          <w:tcPr>
            <w:tcW w:type="dxa" w:w="1922"/>
            <w:tcBorders>
              <w:bottom w:val="single" w:sz="12" w:space="4" w:color="16181D"/>
            </w:tcBorders>
          </w:tcPr>
          <w:p>
            <w:pPr>
              <w:spacing w:after="60"/>
            </w:pPr>
            <w:r/>
            <w:r>
              <w:rPr>
                <w:rFonts w:ascii="Calibri" w:hAnsi="Calibri"/>
                <w:b/>
                <w:caps/>
                <w:color w:val="5C6370"/>
                <w:sz w:val="15"/>
              </w:rPr>
              <w:t>Role</w:t>
            </w:r>
          </w:p>
        </w:tc>
        <w:tc>
          <w:tcPr>
            <w:tcW w:type="dxa" w:w="1734"/>
            <w:tcBorders>
              <w:bottom w:val="single" w:sz="12" w:space="4" w:color="16181D"/>
            </w:tcBorders>
          </w:tcPr>
          <w:p>
            <w:pPr>
              <w:spacing w:after="60"/>
            </w:pPr>
            <w:r/>
            <w:r>
              <w:rPr>
                <w:rFonts w:ascii="Calibri" w:hAnsi="Calibri"/>
                <w:b/>
                <w:caps/>
                <w:color w:val="5C6370"/>
                <w:sz w:val="15"/>
              </w:rPr>
              <w:t>Per PRD</w:t>
            </w:r>
          </w:p>
        </w:tc>
        <w:tc>
          <w:tcPr>
            <w:tcW w:type="dxa" w:w="1905"/>
            <w:tcBorders>
              <w:bottom w:val="single" w:sz="12" w:space="4" w:color="16181D"/>
            </w:tcBorders>
          </w:tcPr>
          <w:p>
            <w:pPr>
              <w:spacing w:after="60"/>
            </w:pPr>
            <w:r/>
            <w:r>
              <w:rPr>
                <w:rFonts w:ascii="Calibri" w:hAnsi="Calibri"/>
                <w:b/>
                <w:caps/>
                <w:color w:val="5C6370"/>
                <w:sz w:val="15"/>
              </w:rPr>
              <w:t>Frequency</w:t>
            </w:r>
          </w:p>
        </w:tc>
        <w:tc>
          <w:tcPr>
            <w:tcW w:type="dxa" w:w="1922"/>
            <w:tcBorders>
              <w:bottom w:val="single" w:sz="12" w:space="4" w:color="16181D"/>
            </w:tcBorders>
          </w:tcPr>
          <w:p>
            <w:pPr>
              <w:spacing w:after="60"/>
            </w:pPr>
            <w:r/>
            <w:r>
              <w:rPr>
                <w:rFonts w:ascii="Calibri" w:hAnsi="Calibri"/>
                <w:b/>
                <w:caps/>
                <w:color w:val="5C6370"/>
                <w:sz w:val="15"/>
              </w:rPr>
              <w:t>Decides</w:t>
            </w:r>
          </w:p>
        </w:tc>
      </w:tr>
      <w:tr>
        <w:tc>
          <w:tcPr>
            <w:tcW w:type="dxa" w:w="1013"/>
            <w:tcBorders>
              <w:bottom w:val="single" w:sz="6" w:space="4" w:color="D8DCE3"/>
            </w:tcBorders>
          </w:tcPr>
          <w:p>
            <w:pPr>
              <w:spacing w:after="60"/>
            </w:pPr>
            <w:r/>
            <w:r>
              <w:rPr>
                <w:rFonts w:ascii="Georgia" w:hAnsi="Georgia"/>
                <w:sz w:val="18"/>
              </w:rPr>
              <w:t>PER-001</w:t>
            </w:r>
          </w:p>
        </w:tc>
        <w:tc>
          <w:tcPr>
            <w:tcW w:type="dxa" w:w="1922"/>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4"/>
            <w:tcBorders>
              <w:bottom w:val="single" w:sz="6" w:space="4" w:color="D8DCE3"/>
            </w:tcBorders>
          </w:tcPr>
          <w:p>
            <w:pPr>
              <w:spacing w:after="60"/>
            </w:pPr>
            <w:r/>
            <w:r>
              <w:rPr>
                <w:rFonts w:ascii="Georgia" w:hAnsi="Georgia"/>
                <w:sz w:val="18"/>
              </w:rPr>
              <w:t>One; 2 PRDs at once and 6 a year per organization</w:t>
            </w:r>
          </w:p>
        </w:tc>
        <w:tc>
          <w:tcPr>
            <w:tcW w:type="dxa" w:w="1905"/>
            <w:tcBorders>
              <w:bottom w:val="single" w:sz="6" w:space="4" w:color="D8DCE3"/>
            </w:tcBorders>
          </w:tcPr>
          <w:p>
            <w:pPr>
              <w:spacing w:after="60"/>
            </w:pPr>
            <w:r/>
            <w:r>
              <w:rPr>
                <w:rFonts w:ascii="Georgia" w:hAnsi="Georgia"/>
                <w:sz w:val="18"/>
              </w:rPr>
              <w:t>3 sessions a week of 1 to 2 hours, for 1 to 3 weeks per PRD</w:t>
            </w:r>
          </w:p>
        </w:tc>
        <w:tc>
          <w:tcPr>
            <w:tcW w:type="dxa" w:w="1922"/>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3"/>
            <w:tcBorders>
              <w:bottom w:val="single" w:sz="6" w:space="4" w:color="D8DCE3"/>
            </w:tcBorders>
          </w:tcPr>
          <w:p>
            <w:pPr>
              <w:spacing w:after="60"/>
            </w:pPr>
            <w:r/>
            <w:r>
              <w:rPr>
                <w:rFonts w:ascii="Georgia" w:hAnsi="Georgia"/>
                <w:sz w:val="18"/>
              </w:rPr>
              <w:t>PER-002</w:t>
            </w:r>
          </w:p>
        </w:tc>
        <w:tc>
          <w:tcPr>
            <w:tcW w:type="dxa" w:w="1922"/>
            <w:tcBorders>
              <w:bottom w:val="single" w:sz="6" w:space="4" w:color="D8DCE3"/>
            </w:tcBorders>
          </w:tcPr>
          <w:p>
            <w:pPr>
              <w:spacing w:after="60"/>
            </w:pPr>
            <w:r/>
            <w:r>
              <w:rPr>
                <w:rFonts w:ascii="Georgia" w:hAnsi="Georgia"/>
                <w:sz w:val="18"/>
              </w:rPr>
              <w:t>Engineering lead (staff or principal engineer) on the delivery team</w:t>
            </w:r>
          </w:p>
        </w:tc>
        <w:tc>
          <w:tcPr>
            <w:tcW w:type="dxa" w:w="1734"/>
            <w:tcBorders>
              <w:bottom w:val="single" w:sz="6" w:space="4" w:color="D8DCE3"/>
            </w:tcBorders>
          </w:tcPr>
          <w:p>
            <w:pPr>
              <w:spacing w:after="60"/>
            </w:pPr>
            <w:r/>
            <w:r>
              <w:rPr>
                <w:rFonts w:ascii="Georgia" w:hAnsi="Georgia"/>
                <w:sz w:val="18"/>
              </w:rPr>
              <w:t>One or two</w:t>
            </w:r>
          </w:p>
        </w:tc>
        <w:tc>
          <w:tcPr>
            <w:tcW w:type="dxa" w:w="1905"/>
            <w:tcBorders>
              <w:bottom w:val="single" w:sz="6" w:space="4" w:color="D8DCE3"/>
            </w:tcBorders>
          </w:tcPr>
          <w:p>
            <w:pPr>
              <w:spacing w:after="60"/>
            </w:pPr>
            <w:r/>
            <w:r>
              <w:rPr>
                <w:rFonts w:ascii="Georgia" w:hAnsi="Georgia"/>
                <w:sz w:val="18"/>
              </w:rPr>
              <w:t>At estimation and at each release planning</w:t>
            </w:r>
          </w:p>
        </w:tc>
        <w:tc>
          <w:tcPr>
            <w:tcW w:type="dxa" w:w="1922"/>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3"/>
            <w:tcBorders>
              <w:bottom w:val="single" w:sz="6" w:space="4" w:color="D8DCE3"/>
            </w:tcBorders>
          </w:tcPr>
          <w:p>
            <w:pPr>
              <w:spacing w:after="60"/>
            </w:pPr>
            <w:r/>
            <w:r>
              <w:rPr>
                <w:rFonts w:ascii="Georgia" w:hAnsi="Georgia"/>
                <w:sz w:val="18"/>
              </w:rPr>
              <w:t>PER-003</w:t>
            </w:r>
          </w:p>
        </w:tc>
        <w:tc>
          <w:tcPr>
            <w:tcW w:type="dxa" w:w="1922"/>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version, about 6 a year</w:t>
            </w:r>
          </w:p>
        </w:tc>
        <w:tc>
          <w:tcPr>
            <w:tcW w:type="dxa" w:w="1922"/>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3"/>
            <w:tcBorders>
              <w:bottom w:val="single" w:sz="6" w:space="4" w:color="D8DCE3"/>
            </w:tcBorders>
          </w:tcPr>
          <w:p>
            <w:pPr>
              <w:spacing w:after="60"/>
            </w:pPr>
            <w:r/>
            <w:r>
              <w:rPr>
                <w:rFonts w:ascii="Georgia" w:hAnsi="Georgia"/>
                <w:sz w:val="18"/>
              </w:rPr>
              <w:t>PER-004</w:t>
            </w:r>
          </w:p>
        </w:tc>
        <w:tc>
          <w:tcPr>
            <w:tcW w:type="dxa" w:w="1922"/>
            <w:tcBorders>
              <w:bottom w:val="single" w:sz="6" w:space="4" w:color="D8DCE3"/>
            </w:tcBorders>
          </w:tcPr>
          <w:p>
            <w:pPr>
              <w:spacing w:after="60"/>
            </w:pPr>
            <w:r/>
            <w:r>
              <w:rPr>
                <w:rFonts w:ascii="Georgia" w:hAnsi="Georgia"/>
                <w:sz w:val="18"/>
              </w:rPr>
              <w:t>Delivery lead (delivery manager or product owner) on the delivery team</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release, about 6 a year</w:t>
            </w:r>
          </w:p>
        </w:tc>
        <w:tc>
          <w:tcPr>
            <w:tcW w:type="dxa" w:w="1922"/>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sessions a week of 1 to 2 hours each, for one to three weeks per PRD, about 6 to 9 sessions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keep its date if D-002 and D-003 report on time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sessions,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Q-019  </w:t>
      </w:r>
      <w:r>
        <w:rPr>
          <w:rFonts w:ascii="Calibri" w:hAnsi="Calibri"/>
          <w:b/>
          <w:sz w:val="20"/>
        </w:rPr>
        <w:t>Does REL-001 keep 2027-03-31 if D-002 and D-003 report by 2027-01-31?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Get the date each party behind D-002 and D-003 commits to in writing. The answer is yes only if both commit to 2027-01-31 or earlier.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75/100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sessions,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second reader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Host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session the expert already works in, which renders what the product shows and carries its load, as dependency D-001 records.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p>
            <w:pPr>
              <w:spacing w:after="40"/>
              <w:ind w:left="173"/>
            </w:pP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 own documents the set, or the PRD.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No change to the set; the product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in the sponsor's words,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Host and the general sense of specification are defined.</w:t>
      </w:r>
    </w:p>
    <w:p>
      <w:pPr>
        <w:pStyle w:val="ListBullet"/>
        <w:spacing w:after="60"/>
      </w:pPr>
      <w:r>
        <w:rPr>
          <w:b/>
        </w:rPr>
        <w:t>Section 15:</w:t>
      </w:r>
      <w:r>
        <w:t xml:space="preserve"> the versioning policy, a 0.5.0 entry, and the date the set is offered for approval, 2027-03-15.</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Its entry says so, because the set and the product share one version number.</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The set is offered for approval by 2027-03-15. Richard Hightower, the sponsor, PER-003, is the approver who will be asked.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Adds counted evidence and sourced why-now claims, and a versioning policy. Personas get named roles, populations, and frequencies, and every journey stage gets the expert's satisfaction score. ST-006 happens outside the product. FR-019 and FR-020 split out of FR-004 and FR-008, FR-014 records a rejection, TR-014 has the expert accept or refute each score, and LC-001 lets a section go back to draft. C-004 leaves section 9, and teams without the domain are a non-goal. Eight glossary terms cite a verified source, and each defined word has one meaning. Open questions are single and due before REL-001. The body lists the change by section. This is a minor version: new content, with no structural change.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No change to the set. The product changed, and the set and the product share one version number.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