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bookmarkStart w:id="1" w:name="prd_forge"/>
      <w:r>
        <w:rPr>
          <w:rFonts w:ascii="Calibri" w:hAnsi="Calibri"/>
          <w:b/>
          <w:sz w:val="68"/>
        </w:rPr>
        <w:t>prd-forge</w:t>
      </w:r>
      <w:bookmarkEnd w:id="1"/>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 For this PRD the approver is Richard Hightower, the owner of the place where it is kept, named under FR-021.</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2027-02-28.</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2027-02-28.</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bookmarkStart w:id="2" w:name="prd_forge_problem_opportunity"/>
      <w:r>
        <w:t>Problem and opportunity</w:t>
      </w:r>
      <w:bookmarkEnd w:id="2"/>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a build trips over; and P-003 is why none of it is caught before it is expensive. P-002 is the engineering lead's problem, and the delivery lead, PER-004, meets it too, at the story-mapping workshop.</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bookmarkStart w:id="3" w:name="P_001"/>
      <w:r>
        <w:rPr>
          <w:rFonts w:ascii="Calibri" w:hAnsi="Calibri"/>
          <w:b/>
          <w:color w:val="1F4E79"/>
          <w:sz w:val="20"/>
        </w:rPr>
        <w:t>P-001</w:t>
      </w:r>
      <w:bookmarkEnd w:id="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grading pass found 2 of 14 functional requirements, FR-003 and FR-004, with no outcome a person could see. Both were fixed at version 0.2.0; Source: prd-forge repository, commits 5ba59cb (version 0.1.0) and 5d4d936 (version 0.2.0); As of: 2026-10-26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which means drafts written with AI help arrive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bookmarkStart w:id="4" w:name="P_002"/>
      <w:r>
        <w:rPr>
          <w:rFonts w:ascii="Calibri" w:hAnsi="Calibri"/>
          <w:b/>
          <w:color w:val="1F4E79"/>
          <w:sz w:val="20"/>
        </w:rPr>
        <w:t>P-002</w:t>
      </w:r>
      <w:bookmarkEnd w:id="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 of: 2026-10-26</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which means more backlog items are written with AI help, and each one needs the path through the product that it serves.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step a user must take to reach the goal is written down, and every gap is closed or owned before build.</w:t>
            </w:r>
          </w:p>
        </w:tc>
      </w:tr>
    </w:tbl>
    <w:p>
      <w:pPr>
        <w:spacing w:after="40"/>
      </w:pPr>
    </w:p>
    <w:p>
      <w:pPr>
        <w:keepNext/>
        <w:spacing w:before="220" w:after="60"/>
        <w:ind w:left="115"/>
        <w:pBdr>
          <w:left w:val="single" w:sz="18" w:space="0" w:color="1F4E79"/>
        </w:pBdr>
      </w:pPr>
      <w:bookmarkStart w:id="5" w:name="P_003"/>
      <w:r>
        <w:rPr>
          <w:rFonts w:ascii="Calibri" w:hAnsi="Calibri"/>
          <w:b/>
          <w:color w:val="1F4E79"/>
          <w:sz w:val="20"/>
        </w:rPr>
        <w:t>P-003</w:t>
      </w:r>
      <w:bookmarkEnd w:id="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approving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grading pass found 23 blocking defects in 8 of 18 documents; Source: prd-forge repository, commit 6f77bc0 (version 0.8.0); As of: 2026-10-27</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which means 61% of product managers judge AI drafts without that training, and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approves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knows, before deciding, which parts of the PRD a team could not build from and what is still undecided.</w:t>
            </w:r>
          </w:p>
        </w:tc>
      </w:tr>
    </w:tbl>
    <w:p>
      <w:pPr>
        <w:spacing w:after="40"/>
      </w:pPr>
    </w:p>
    <w:p>
      <w:pPr>
        <w:keepNext/>
        <w:spacing w:before="220" w:after="60"/>
        <w:ind w:left="115"/>
        <w:pBdr>
          <w:left w:val="single" w:sz="18" w:space="0" w:color="1F4E79"/>
        </w:pBdr>
      </w:pPr>
      <w:bookmarkStart w:id="6" w:name="P_004"/>
      <w:r>
        <w:rPr>
          <w:rFonts w:ascii="Calibri" w:hAnsi="Calibri"/>
          <w:b/>
          <w:color w:val="1F4E79"/>
          <w:sz w:val="20"/>
        </w:rPr>
        <w:t>P-004</w:t>
      </w:r>
      <w:bookmarkEnd w:id="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 of: 2026-10-26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which means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knows what each section is for when they write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bookmarkStart w:id="7" w:name="prd_forge_customer_market"/>
      <w:r>
        <w:t>Target customer and market</w:t>
      </w:r>
      <w:bookmarkEnd w:id="7"/>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0"/>
        <w:gridCol w:w="2546"/>
        <w:gridCol w:w="2546"/>
        <w:gridCol w:w="2546"/>
      </w:tblGrid>
      <w:tr>
        <w:tc>
          <w:tcPr>
            <w:tcW w:type="dxa" w:w="1031"/>
            <w:tcBorders>
              <w:bottom w:val="single" w:sz="12" w:space="4" w:color="16181D"/>
            </w:tcBorders>
          </w:tcPr>
          <w:p>
            <w:pPr>
              <w:spacing w:after="60"/>
            </w:pPr>
            <w:r/>
            <w:r>
              <w:rPr>
                <w:rFonts w:ascii="Calibri" w:hAnsi="Calibri"/>
                <w:b/>
                <w:caps/>
                <w:color w:val="5C6370"/>
                <w:sz w:val="15"/>
              </w:rPr>
              <w:t>ID</w:t>
            </w:r>
          </w:p>
        </w:tc>
        <w:tc>
          <w:tcPr>
            <w:tcW w:type="dxa" w:w="2546"/>
            <w:tcBorders>
              <w:bottom w:val="single" w:sz="12" w:space="4" w:color="16181D"/>
            </w:tcBorders>
          </w:tcPr>
          <w:p>
            <w:pPr>
              <w:spacing w:after="60"/>
            </w:pPr>
            <w:r/>
            <w:r>
              <w:rPr>
                <w:rFonts w:ascii="Calibri" w:hAnsi="Calibri"/>
                <w:b/>
                <w:caps/>
                <w:color w:val="5C6370"/>
                <w:sz w:val="15"/>
              </w:rPr>
              <w:t>Segment</w:t>
            </w:r>
          </w:p>
        </w:tc>
        <w:tc>
          <w:tcPr>
            <w:tcW w:type="dxa" w:w="2546"/>
            <w:tcBorders>
              <w:bottom w:val="single" w:sz="12" w:space="4" w:color="16181D"/>
            </w:tcBorders>
          </w:tcPr>
          <w:p>
            <w:pPr>
              <w:spacing w:after="60"/>
            </w:pPr>
            <w:r/>
            <w:r>
              <w:rPr>
                <w:rFonts w:ascii="Calibri" w:hAnsi="Calibri"/>
                <w:b/>
                <w:caps/>
                <w:color w:val="5C6370"/>
                <w:sz w:val="15"/>
              </w:rPr>
              <w:t>Buyer</w:t>
            </w:r>
          </w:p>
        </w:tc>
        <w:tc>
          <w:tcPr>
            <w:tcW w:type="dxa" w:w="2546"/>
            <w:tcBorders>
              <w:bottom w:val="single" w:sz="12" w:space="4" w:color="16181D"/>
            </w:tcBorders>
          </w:tcPr>
          <w:p>
            <w:pPr>
              <w:spacing w:after="60"/>
            </w:pPr>
            <w:r/>
            <w:r>
              <w:rPr>
                <w:rFonts w:ascii="Calibri" w:hAnsi="Calibri"/>
                <w:b/>
                <w:caps/>
                <w:color w:val="5C6370"/>
                <w:sz w:val="15"/>
              </w:rPr>
              <w:t>User</w:t>
            </w:r>
          </w:p>
        </w:tc>
      </w:tr>
      <w:tr>
        <w:tc>
          <w:tcPr>
            <w:tcW w:type="dxa" w:w="1031"/>
            <w:tcBorders>
              <w:bottom w:val="single" w:sz="6" w:space="4" w:color="D8DCE3"/>
            </w:tcBorders>
          </w:tcPr>
          <w:p>
            <w:pPr>
              <w:spacing w:after="60"/>
            </w:pPr>
            <w:r/>
            <w:r>
              <w:rPr>
                <w:rFonts w:ascii="Georgia" w:hAnsi="Georgia"/>
                <w:sz w:val="18"/>
              </w:rPr>
              <w:t>S-001</w:t>
            </w:r>
          </w:p>
        </w:tc>
        <w:tc>
          <w:tcPr>
            <w:tcW w:type="dxa" w:w="2546"/>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546"/>
            <w:tcBorders>
              <w:bottom w:val="single" w:sz="6" w:space="4" w:color="D8DCE3"/>
            </w:tcBorders>
          </w:tcPr>
          <w:p>
            <w:pPr>
              <w:spacing w:after="60"/>
            </w:pPr>
            <w:r/>
            <w:r>
              <w:rPr>
                <w:rFonts w:ascii="Georgia" w:hAnsi="Georgia"/>
                <w:sz w:val="18"/>
              </w:rPr>
              <w:t>Partner or director of the consultancy, the budget holder, as the sponsor</w:t>
            </w:r>
          </w:p>
        </w:tc>
        <w:tc>
          <w:tcPr>
            <w:tcW w:type="dxa" w:w="2546"/>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1"/>
            <w:tcBorders>
              <w:bottom w:val="single" w:sz="6" w:space="4" w:color="D8DCE3"/>
            </w:tcBorders>
          </w:tcPr>
          <w:p>
            <w:pPr>
              <w:spacing w:after="60"/>
            </w:pPr>
            <w:r/>
            <w:r>
              <w:rPr>
                <w:rFonts w:ascii="Georgia" w:hAnsi="Georgia"/>
                <w:sz w:val="18"/>
              </w:rPr>
              <w:t>S-002</w:t>
            </w:r>
          </w:p>
        </w:tc>
        <w:tc>
          <w:tcPr>
            <w:tcW w:type="dxa" w:w="2546"/>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546"/>
            <w:tcBorders>
              <w:bottom w:val="single" w:sz="6" w:space="4" w:color="D8DCE3"/>
            </w:tcBorders>
          </w:tcPr>
          <w:p>
            <w:pPr>
              <w:spacing w:after="60"/>
            </w:pPr>
            <w:r/>
            <w:r>
              <w:rPr>
                <w:rFonts w:ascii="Georgia" w:hAnsi="Georgia"/>
                <w:sz w:val="18"/>
              </w:rPr>
              <w:t>Director of product or transformation, the budget holder, as the sponsor</w:t>
            </w:r>
          </w:p>
        </w:tc>
        <w:tc>
          <w:tcPr>
            <w:tcW w:type="dxa" w:w="2546"/>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who already holds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are a non-goal in section 6. They already employ the product skill and want the domain, which this product does not supply.</w:t>
      </w:r>
    </w:p>
    <w:p>
      <w:pPr>
        <w:pStyle w:val="Heading3"/>
      </w:pPr>
      <w:r>
        <w:t>Why we win</w:t>
      </w:r>
    </w:p>
    <w:p>
      <w:r>
        <w:rPr>
          <w:rFonts w:ascii="Georgia" w:hAnsi="Georgia"/>
        </w:rPr>
        <w:t>The expert confirmed each sponsor's words on 2026-10-27.</w:t>
      </w:r>
    </w:p>
    <w:p>
      <w:pPr>
        <w:pStyle w:val="ListBullet"/>
        <w:spacing w:after="60"/>
      </w:pPr>
      <w:r>
        <w:rPr>
          <w:b/>
        </w:rPr>
        <w:t>S-001, the consultancy partner:</w:t>
      </w:r>
      <w:r>
        <w:t xml:space="preserve"> "Before we hand the PRD to the client's engineers, I can see which parts they could not build from, and my senior people bill fewer hours fixing it later." The partner weighs it against the consultant's billable hours.</w:t>
      </w:r>
    </w:p>
    <w:p>
      <w:pPr>
        <w:pStyle w:val="ListBullet"/>
        <w:spacing w:after="60"/>
      </w:pPr>
      <w:r>
        <w:rPr>
          <w:b/>
        </w:rPr>
        <w:t>S-002, the director:</w:t>
      </w:r>
      <w:r>
        <w:t xml:space="preserve"> "Before I approve the budget, I can see which parts of the PRD my team could not build from." The director weighs it against contracting a product manager without the domain, whose day rate is Q-013.</w:t>
      </w:r>
    </w:p>
    <w:p>
      <w:r>
        <w:rPr>
          <w:rFonts w:ascii="Georgia" w:hAnsi="Georgia"/>
        </w:rPr>
        <w:t>In S-002 the organization works under regulation, so its PRDs may cite regulations. The set states no regulation the expert did not supply (FR-006, TR-005), which is what lets such a PRD be circulated.</w:t>
      </w:r>
    </w:p>
    <w:p>
      <w:r>
        <w:rPr>
          <w:rFonts w:ascii="Georgia" w:hAnsi="Georgia"/>
          <w:b/>
        </w:rPr>
        <w:t>Honest weakness.</w:t>
      </w:r>
      <w:r>
        <w:rPr>
          <w:rFonts w:ascii="Georgia" w:hAnsi="Georgia"/>
        </w:rPr>
        <w:t xml:space="preserve"> Against a product manager who already holds the domain, we have no quality edge, only availability. Any cost edge is unproven until Q-013. A skeptical buyer is right to test that.</w:t>
      </w:r>
    </w:p>
    <w:p>
      <w:pPr>
        <w:pStyle w:val="Heading3"/>
      </w:pPr>
      <w:r>
        <w:t>Segments</w:t>
      </w:r>
    </w:p>
    <w:p>
      <w:pPr>
        <w:keepNext/>
        <w:spacing w:before="220" w:after="60"/>
        <w:ind w:left="115"/>
        <w:pBdr>
          <w:left w:val="single" w:sz="18" w:space="0" w:color="1F4E79"/>
        </w:pBdr>
      </w:pPr>
      <w:bookmarkStart w:id="8" w:name="S_001"/>
      <w:r>
        <w:rPr>
          <w:rFonts w:ascii="Calibri" w:hAnsi="Calibri"/>
          <w:b/>
          <w:color w:val="1F4E79"/>
          <w:sz w:val="20"/>
        </w:rPr>
        <w:t xml:space="preserve">S-001  </w:t>
      </w:r>
      <w:r>
        <w:rPr>
          <w:rFonts w:ascii="Calibri" w:hAnsi="Calibri"/>
          <w:b/>
          <w:sz w:val="20"/>
        </w:rPr>
        <w:t>Consultancies and advisory firms turning client domain knowledge into PRDs</w:t>
      </w:r>
      <w:bookmarkEnd w:id="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Partner or director of the consultancy,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partner review (Q-005).</w:t>
            </w:r>
          </w:p>
          <w:p>
            <w:pPr>
              <w:spacing w:after="40"/>
              <w:ind w:left="173"/>
            </w:pPr>
            <w:r>
              <w:rPr>
                <w:rFonts w:ascii="Georgia" w:hAnsi="Georgia"/>
                <w:sz w:val="19"/>
              </w:rPr>
              <w:t>• We must approve client knowledge going into the assistant session our consultants already use before anyone works that way (A-004).</w:t>
            </w:r>
          </w:p>
        </w:tc>
      </w:tr>
    </w:tbl>
    <w:p>
      <w:pPr>
        <w:spacing w:after="40"/>
      </w:pPr>
    </w:p>
    <w:p>
      <w:pPr>
        <w:keepNext/>
        <w:spacing w:before="220" w:after="60"/>
        <w:ind w:left="115"/>
        <w:pBdr>
          <w:left w:val="single" w:sz="18" w:space="0" w:color="1F4E79"/>
        </w:pBdr>
      </w:pPr>
      <w:bookmarkStart w:id="9" w:name="S_002"/>
      <w:r>
        <w:rPr>
          <w:rFonts w:ascii="Calibri" w:hAnsi="Calibri"/>
          <w:b/>
          <w:color w:val="1F4E79"/>
          <w:sz w:val="20"/>
        </w:rPr>
        <w:t xml:space="preserve">S-002  </w:t>
      </w:r>
      <w:r>
        <w:rPr>
          <w:rFonts w:ascii="Calibri" w:hAnsi="Calibri"/>
          <w:b/>
          <w:sz w:val="20"/>
        </w:rPr>
        <w:t>Regulated-industry organizations where practitioners specify their own internal software</w:t>
      </w:r>
      <w:bookmarkEnd w:id="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Director of product or transformation,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project.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review (Q-005).</w:t>
            </w:r>
          </w:p>
          <w:p>
            <w:pPr>
              <w:spacing w:after="40"/>
              <w:ind w:left="173"/>
            </w:pPr>
            <w:r>
              <w:rPr>
                <w:rFonts w:ascii="Georgia" w:hAnsi="Georgia"/>
                <w:sz w:val="19"/>
              </w:rPr>
              <w:t>• Our engineering leads may send back a PRD that names no technology (A-003).</w:t>
            </w:r>
          </w:p>
          <w:p>
            <w:pPr>
              <w:spacing w:after="40"/>
              <w:ind w:left="173"/>
            </w:pPr>
            <w:r>
              <w:rPr>
                <w:rFonts w:ascii="Georgia" w:hAnsi="Georgia"/>
                <w:sz w:val="19"/>
              </w:rPr>
              <w:t>• We cannot circulate a PRD that cites a regulation our own expert did not supply (FR-006).</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the budget is committed, the sponsor sees in one document each section's grade and every blocking defect, with the section it is in (FR-013). The sponsor can open any set written with this product and look for the same list in a ChatPRD draft.</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When the PRD is done, each fact the expert could not supply is listed with a named person and a date to settle it, and the PRD states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buying, the buyer can open any set written with this product, such as this one, and see which sections are not ready, with the quoted reason for each. A general-purpose conversation shows no such list. Writing that reads well is the failure P-003 names.</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project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buyer gets a PRD whose domain facts come from the person who holds them, rather than facts filled in by someone without the domain. Any cost advantage is unproven until Q-013 gives the day rate. The buyer can check the PRD for each fact the expert could not supply: each one has a named decider and a date.</w:t>
            </w:r>
          </w:p>
        </w:tc>
      </w:tr>
    </w:tbl>
    <w:p>
      <w:pPr>
        <w:spacing w:after="40"/>
      </w:pPr>
    </w:p>
    <w:p>
      <w:pPr>
        <w:keepNext/>
        <w:spacing w:before="220" w:after="60"/>
        <w:ind w:left="115"/>
        <w:pBdr>
          <w:left w:val="single" w:sz="18" w:space="0" w:color="1F4E79"/>
        </w:pBdr>
      </w:pPr>
      <w:r>
        <w:rPr>
          <w:rFonts w:ascii="Calibri" w:hAnsi="Calibri"/>
          <w:b/>
          <w:sz w:val="20"/>
        </w:rPr>
        <w:t>Contracting a product manager who already holds the 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Product judgement and the domain in one person,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 quality edge. The buyer gets availability only: the work starts when their own domain expert can start, with no search for a person who holds both. Any cost advantage is unproven until Q-013 gives the day rate.</w:t>
            </w:r>
          </w:p>
        </w:tc>
      </w:tr>
    </w:tbl>
    <w:p>
      <w:pPr>
        <w:spacing w:after="40"/>
      </w:pPr>
    </w:p>
    <w:p>
      <w:pPr>
        <w:keepNext/>
        <w:spacing w:before="220" w:after="60"/>
        <w:ind w:left="115"/>
        <w:pBdr>
          <w:left w:val="single" w:sz="18" w:space="0" w:color="1F4E79"/>
        </w:pBdr>
      </w:pPr>
      <w:r>
        <w:rPr>
          <w:rFonts w:ascii="Calibri" w:hAnsi="Calibri"/>
          <w:b/>
          <w:sz w:val="20"/>
        </w:rPr>
        <w:t>The status quo: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gets each fact the PRD does not yet know, with a named person and a date to settle it,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bookmarkStart w:id="10" w:name="prd_forge_objectives_metrics"/>
      <w:r>
        <w:t>Business objectives and success metrics</w:t>
      </w:r>
      <w:bookmarkEnd w:id="10"/>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2027-02-28,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reader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bookmarkStart w:id="11" w:name="O_001"/>
      <w:r>
        <w:rPr>
          <w:rFonts w:ascii="Calibri" w:hAnsi="Calibri"/>
          <w:b/>
          <w:color w:val="1F4E79"/>
          <w:sz w:val="20"/>
        </w:rPr>
        <w:t>O-001</w:t>
      </w:r>
      <w:bookmarkEnd w:id="1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bookmarkStart w:id="12" w:name="O_002"/>
      <w:r>
        <w:rPr>
          <w:rFonts w:ascii="Calibri" w:hAnsi="Calibri"/>
          <w:b/>
          <w:color w:val="1F4E79"/>
          <w:sz w:val="20"/>
        </w:rPr>
        <w:t xml:space="preserve">O-002  </w:t>
      </w:r>
      <w:r>
        <w:rPr>
          <w:rFonts w:ascii="Calibri" w:hAnsi="Calibri"/>
          <w:b/>
          <w:sz w:val="20"/>
        </w:rPr>
        <w:t>A domain expert, or a product manager who speaks for one, reaches an approved PRD in days.</w:t>
      </w:r>
      <w:bookmarkEnd w:id="1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bookmarkStart w:id="13" w:name="O_003"/>
      <w:r>
        <w:rPr>
          <w:rFonts w:ascii="Calibri" w:hAnsi="Calibri"/>
          <w:b/>
          <w:color w:val="1F4E79"/>
          <w:sz w:val="20"/>
        </w:rPr>
        <w:t>O-003</w:t>
      </w:r>
      <w:bookmarkEnd w:id="1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bookmarkStart w:id="14" w:name="prd_forge_personas"/>
      <w:r>
        <w:t>Users and personas</w:t>
      </w:r>
      <w:bookmarkEnd w:id="14"/>
    </w:p>
    <w:p>
      <w:pPr>
        <w:spacing w:after="240"/>
      </w:pPr>
      <w:r>
        <w:rPr>
          <w:rFonts w:ascii="Calibri" w:hAnsi="Calibri"/>
          <w:b/>
          <w:caps/>
          <w:color w:val="5C6370"/>
          <w:sz w:val="15"/>
        </w:rPr>
        <w:t>draft · 89/100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12"/>
        <w:gridCol w:w="1917"/>
        <w:gridCol w:w="1729"/>
        <w:gridCol w:w="1917"/>
        <w:gridCol w:w="1917"/>
      </w:tblGrid>
      <w:tr>
        <w:tc>
          <w:tcPr>
            <w:tcW w:type="dxa" w:w="1012"/>
            <w:tcBorders>
              <w:bottom w:val="single" w:sz="12" w:space="4" w:color="16181D"/>
            </w:tcBorders>
          </w:tcPr>
          <w:p>
            <w:pPr>
              <w:spacing w:after="60"/>
            </w:pPr>
            <w:r/>
            <w:r>
              <w:rPr>
                <w:rFonts w:ascii="Calibri" w:hAnsi="Calibri"/>
                <w:b/>
                <w:caps/>
                <w:color w:val="5C6370"/>
                <w:sz w:val="15"/>
              </w:rPr>
              <w:t>ID</w:t>
            </w:r>
          </w:p>
        </w:tc>
        <w:tc>
          <w:tcPr>
            <w:tcW w:type="dxa" w:w="1918"/>
            <w:tcBorders>
              <w:bottom w:val="single" w:sz="12" w:space="4" w:color="16181D"/>
            </w:tcBorders>
          </w:tcPr>
          <w:p>
            <w:pPr>
              <w:spacing w:after="60"/>
            </w:pPr>
            <w:r/>
            <w:r>
              <w:rPr>
                <w:rFonts w:ascii="Calibri" w:hAnsi="Calibri"/>
                <w:b/>
                <w:caps/>
                <w:color w:val="5C6370"/>
                <w:sz w:val="15"/>
              </w:rPr>
              <w:t>Role</w:t>
            </w:r>
          </w:p>
        </w:tc>
        <w:tc>
          <w:tcPr>
            <w:tcW w:type="dxa" w:w="1730"/>
            <w:tcBorders>
              <w:bottom w:val="single" w:sz="12" w:space="4" w:color="16181D"/>
            </w:tcBorders>
          </w:tcPr>
          <w:p>
            <w:pPr>
              <w:spacing w:after="60"/>
            </w:pPr>
            <w:r/>
            <w:r>
              <w:rPr>
                <w:rFonts w:ascii="Calibri" w:hAnsi="Calibri"/>
                <w:b/>
                <w:caps/>
                <w:color w:val="5C6370"/>
                <w:sz w:val="15"/>
              </w:rPr>
              <w:t>Per PRD</w:t>
            </w:r>
          </w:p>
        </w:tc>
        <w:tc>
          <w:tcPr>
            <w:tcW w:type="dxa" w:w="1918"/>
            <w:tcBorders>
              <w:bottom w:val="single" w:sz="12" w:space="4" w:color="16181D"/>
            </w:tcBorders>
          </w:tcPr>
          <w:p>
            <w:pPr>
              <w:spacing w:after="60"/>
            </w:pPr>
            <w:r/>
            <w:r>
              <w:rPr>
                <w:rFonts w:ascii="Calibri" w:hAnsi="Calibri"/>
                <w:b/>
                <w:caps/>
                <w:color w:val="5C6370"/>
                <w:sz w:val="15"/>
              </w:rPr>
              <w:t>Frequency</w:t>
            </w:r>
          </w:p>
        </w:tc>
        <w:tc>
          <w:tcPr>
            <w:tcW w:type="dxa" w:w="1918"/>
            <w:tcBorders>
              <w:bottom w:val="single" w:sz="12" w:space="4" w:color="16181D"/>
            </w:tcBorders>
          </w:tcPr>
          <w:p>
            <w:pPr>
              <w:spacing w:after="60"/>
            </w:pPr>
            <w:r/>
            <w:r>
              <w:rPr>
                <w:rFonts w:ascii="Calibri" w:hAnsi="Calibri"/>
                <w:b/>
                <w:caps/>
                <w:color w:val="5C6370"/>
                <w:sz w:val="15"/>
              </w:rPr>
              <w:t>Decides</w:t>
            </w:r>
          </w:p>
        </w:tc>
      </w:tr>
      <w:tr>
        <w:tc>
          <w:tcPr>
            <w:tcW w:type="dxa" w:w="1012"/>
            <w:tcBorders>
              <w:bottom w:val="single" w:sz="6" w:space="4" w:color="D8DCE3"/>
            </w:tcBorders>
          </w:tcPr>
          <w:p>
            <w:pPr>
              <w:spacing w:after="60"/>
            </w:pPr>
            <w:r/>
            <w:r>
              <w:rPr>
                <w:rFonts w:ascii="Georgia" w:hAnsi="Georgia"/>
                <w:sz w:val="18"/>
              </w:rPr>
              <w:t>PER-001</w:t>
            </w:r>
          </w:p>
        </w:tc>
        <w:tc>
          <w:tcPr>
            <w:tcW w:type="dxa" w:w="1918"/>
            <w:tcBorders>
              <w:bottom w:val="single" w:sz="6" w:space="4" w:color="D8DCE3"/>
            </w:tcBorders>
          </w:tcPr>
          <w:p>
            <w:pPr>
              <w:spacing w:after="60"/>
            </w:pPr>
            <w:r/>
            <w:r>
              <w:rPr>
                <w:rFonts w:ascii="Georgia" w:hAnsi="Georgia"/>
                <w:sz w:val="18"/>
              </w:rPr>
              <w:t>Senior product manager in a consultancy or an in-house product team: the domain expert, or a proxy who speaks for one</w:t>
            </w:r>
          </w:p>
        </w:tc>
        <w:tc>
          <w:tcPr>
            <w:tcW w:type="dxa" w:w="1730"/>
            <w:tcBorders>
              <w:bottom w:val="single" w:sz="6" w:space="4" w:color="D8DCE3"/>
            </w:tcBorders>
          </w:tcPr>
          <w:p>
            <w:pPr>
              <w:spacing w:after="60"/>
            </w:pPr>
            <w:r/>
            <w:r>
              <w:rPr>
                <w:rFonts w:ascii="Georgia" w:hAnsi="Georgia"/>
                <w:sz w:val="18"/>
              </w:rPr>
              <w:t>One; 2 PRDs at once and 6 a year per organization</w:t>
            </w:r>
          </w:p>
        </w:tc>
        <w:tc>
          <w:tcPr>
            <w:tcW w:type="dxa" w:w="1918"/>
            <w:tcBorders>
              <w:bottom w:val="single" w:sz="6" w:space="4" w:color="D8DCE3"/>
            </w:tcBorders>
          </w:tcPr>
          <w:p>
            <w:pPr>
              <w:spacing w:after="60"/>
            </w:pPr>
            <w:r/>
            <w:r>
              <w:rPr>
                <w:rFonts w:ascii="Georgia" w:hAnsi="Georgia"/>
                <w:sz w:val="18"/>
              </w:rPr>
              <w:t>3 working sittings a week of 1 to 2 hours, for 1 to 3 weeks per PRD</w:t>
            </w:r>
          </w:p>
        </w:tc>
        <w:tc>
          <w:tcPr>
            <w:tcW w:type="dxa" w:w="1918"/>
            <w:tcBorders>
              <w:bottom w:val="single" w:sz="6" w:space="4" w:color="D8DCE3"/>
            </w:tcBorders>
          </w:tcPr>
          <w:p>
            <w:pPr>
              <w:spacing w:after="60"/>
            </w:pPr>
            <w:r/>
            <w:r>
              <w:rPr>
                <w:rFonts w:ascii="Georgia" w:hAnsi="Georgia"/>
                <w:sz w:val="18"/>
              </w:rPr>
              <w:t>What the product must do, scope, the domain's terms, when an interview ends, drafts, section states, whether to accept or refute a grade, domain facts, and when the set is offered; not the PRD itself where a sponsor exists</w:t>
            </w:r>
          </w:p>
        </w:tc>
      </w:tr>
      <w:tr>
        <w:tc>
          <w:tcPr>
            <w:tcW w:type="dxa" w:w="1012"/>
            <w:tcBorders>
              <w:bottom w:val="single" w:sz="6" w:space="4" w:color="D8DCE3"/>
            </w:tcBorders>
          </w:tcPr>
          <w:p>
            <w:pPr>
              <w:spacing w:after="60"/>
            </w:pPr>
            <w:r/>
            <w:r>
              <w:rPr>
                <w:rFonts w:ascii="Georgia" w:hAnsi="Georgia"/>
                <w:sz w:val="18"/>
              </w:rPr>
              <w:t>PER-002</w:t>
            </w:r>
          </w:p>
        </w:tc>
        <w:tc>
          <w:tcPr>
            <w:tcW w:type="dxa" w:w="1918"/>
            <w:tcBorders>
              <w:bottom w:val="single" w:sz="6" w:space="4" w:color="D8DCE3"/>
            </w:tcBorders>
          </w:tcPr>
          <w:p>
            <w:pPr>
              <w:spacing w:after="60"/>
            </w:pPr>
            <w:r/>
            <w:r>
              <w:rPr>
                <w:rFonts w:ascii="Georgia" w:hAnsi="Georgia"/>
                <w:sz w:val="18"/>
              </w:rPr>
              <w:t>Engineering lead (staff or principal engineer) on the development team</w:t>
            </w:r>
          </w:p>
        </w:tc>
        <w:tc>
          <w:tcPr>
            <w:tcW w:type="dxa" w:w="1730"/>
            <w:tcBorders>
              <w:bottom w:val="single" w:sz="6" w:space="4" w:color="D8DCE3"/>
            </w:tcBorders>
          </w:tcPr>
          <w:p>
            <w:pPr>
              <w:spacing w:after="60"/>
            </w:pPr>
            <w:r/>
            <w:r>
              <w:rPr>
                <w:rFonts w:ascii="Georgia" w:hAnsi="Georgia"/>
                <w:sz w:val="18"/>
              </w:rPr>
              <w:t>One or two</w:t>
            </w:r>
          </w:p>
        </w:tc>
        <w:tc>
          <w:tcPr>
            <w:tcW w:type="dxa" w:w="1918"/>
            <w:tcBorders>
              <w:bottom w:val="single" w:sz="6" w:space="4" w:color="D8DCE3"/>
            </w:tcBorders>
          </w:tcPr>
          <w:p>
            <w:pPr>
              <w:spacing w:after="60"/>
            </w:pPr>
            <w:r/>
            <w:r>
              <w:rPr>
                <w:rFonts w:ascii="Georgia" w:hAnsi="Georgia"/>
                <w:sz w:val="18"/>
              </w:rPr>
              <w:t>At estimation and at each release planning</w:t>
            </w:r>
          </w:p>
        </w:tc>
        <w:tc>
          <w:tcPr>
            <w:tcW w:type="dxa" w:w="1918"/>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12"/>
            <w:tcBorders>
              <w:bottom w:val="single" w:sz="6" w:space="4" w:color="D8DCE3"/>
            </w:tcBorders>
          </w:tcPr>
          <w:p>
            <w:pPr>
              <w:spacing w:after="60"/>
            </w:pPr>
            <w:r/>
            <w:r>
              <w:rPr>
                <w:rFonts w:ascii="Georgia" w:hAnsi="Georgia"/>
                <w:sz w:val="18"/>
              </w:rPr>
              <w:t>PER-003</w:t>
            </w:r>
          </w:p>
        </w:tc>
        <w:tc>
          <w:tcPr>
            <w:tcW w:type="dxa" w:w="1918"/>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version, about 6 a year</w:t>
            </w:r>
          </w:p>
        </w:tc>
        <w:tc>
          <w:tcPr>
            <w:tcW w:type="dxa" w:w="1918"/>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12"/>
            <w:tcBorders>
              <w:bottom w:val="single" w:sz="6" w:space="4" w:color="D8DCE3"/>
            </w:tcBorders>
          </w:tcPr>
          <w:p>
            <w:pPr>
              <w:spacing w:after="60"/>
            </w:pPr>
            <w:r/>
            <w:r>
              <w:rPr>
                <w:rFonts w:ascii="Georgia" w:hAnsi="Georgia"/>
                <w:sz w:val="18"/>
              </w:rPr>
              <w:t>PER-004</w:t>
            </w:r>
          </w:p>
        </w:tc>
        <w:tc>
          <w:tcPr>
            <w:tcW w:type="dxa" w:w="1918"/>
            <w:tcBorders>
              <w:bottom w:val="single" w:sz="6" w:space="4" w:color="D8DCE3"/>
            </w:tcBorders>
          </w:tcPr>
          <w:p>
            <w:pPr>
              <w:spacing w:after="60"/>
            </w:pPr>
            <w:r/>
            <w:r>
              <w:rPr>
                <w:rFonts w:ascii="Georgia" w:hAnsi="Georgia"/>
                <w:sz w:val="18"/>
              </w:rPr>
              <w:t>Delivery lead (delivery manager or product owner) on the development team</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release, about 6 a year</w:t>
            </w:r>
          </w:p>
        </w:tc>
        <w:tc>
          <w:tcPr>
            <w:tcW w:type="dxa" w:w="1918"/>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Under a client contract, in segment S-001, the sponsor, the engineering lead, and the delivery lead all work for the consultancy. The client's staff only supply domain knowledge to the expert, and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No mechanism is a persona. Whatever delivers the teaching, the interview, and the grading is how the product reaches PER-001, and the set keeps it out of the requirements: section 6 makes a separate application a non-goal, and section 11 records the session as dependency D-001. What matters to this PRD is that PER-001 sees a grade they did not produce themselves.</w:t>
      </w:r>
    </w:p>
    <w:p>
      <w:pPr>
        <w:keepNext/>
        <w:spacing w:before="220" w:after="60"/>
        <w:ind w:left="115"/>
        <w:pBdr>
          <w:left w:val="single" w:sz="18" w:space="0" w:color="1F4E79"/>
        </w:pBdr>
      </w:pPr>
      <w:bookmarkStart w:id="15" w:name="PER_001"/>
      <w:r>
        <w:rPr>
          <w:rFonts w:ascii="Calibri" w:hAnsi="Calibri"/>
          <w:b/>
          <w:color w:val="1F4E79"/>
          <w:sz w:val="20"/>
        </w:rPr>
        <w:t>PER-001</w:t>
      </w:r>
      <w:bookmarkEnd w:id="1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Product manager (senior: manager to principal), in a consultancy or an in-house product team: the domain expert, or a proxy who speaks for one</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Per organization, 2 PRDs run at once and 6 start in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sittings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the session they already use, as section 11 records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Three working sittings a week of 1 to 2 hours each, for one to three weeks per PRD, about 6 to 9 sittings per PRD, then rarely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whether the set may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bookmarkStart w:id="16" w:name="PER_002"/>
      <w:r>
        <w:rPr>
          <w:rFonts w:ascii="Calibri" w:hAnsi="Calibri"/>
          <w:b/>
          <w:color w:val="1F4E79"/>
          <w:sz w:val="20"/>
        </w:rPr>
        <w:t>PER-002</w:t>
      </w:r>
      <w:bookmarkEnd w:id="1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development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 so 2 to 4 at once in an organization running 2 PRDs at once.</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each PRD at estimation and at each release planning, so at least 12 reads a year in an organization that starts 6 PRDs a year.</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bookmarkStart w:id="17" w:name="PER_003"/>
      <w:r>
        <w:rPr>
          <w:rFonts w:ascii="Calibri" w:hAnsi="Calibri"/>
          <w:b/>
          <w:color w:val="1F4E79"/>
          <w:sz w:val="20"/>
        </w:rPr>
        <w:t xml:space="preserve">PER-003  </w:t>
      </w:r>
      <w:r>
        <w:rPr>
          <w:rFonts w:ascii="Calibri" w:hAnsi="Calibri"/>
          <w:b/>
          <w:sz w:val="20"/>
        </w:rPr>
        <w:t>Sponsor: the budget holder (director or partner), who is also the approver</w:t>
      </w:r>
      <w:bookmarkEnd w:id="1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an exported copy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offered, about 6 versions a year per organization, plus any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bookmarkStart w:id="18" w:name="PER_004"/>
      <w:r>
        <w:rPr>
          <w:rFonts w:ascii="Calibri" w:hAnsi="Calibri"/>
          <w:b/>
          <w:color w:val="1F4E79"/>
          <w:sz w:val="20"/>
        </w:rPr>
        <w:t>PER-004</w:t>
      </w:r>
      <w:bookmarkEnd w:id="1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development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Q-023 tests it with three delivery leads.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about 6 workshops a year per organization,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bookmarkStart w:id="19" w:name="prd_forge_journeys"/>
      <w:r>
        <w:t>User journeys</w:t>
      </w:r>
      <w:bookmarkEnd w:id="19"/>
    </w:p>
    <w:p>
      <w:pPr>
        <w:spacing w:after="240"/>
      </w:pPr>
      <w:r>
        <w:rPr>
          <w:rFonts w:ascii="Calibri" w:hAnsi="Calibri"/>
          <w:b/>
          <w:caps/>
          <w:color w:val="5C6370"/>
          <w:sz w:val="15"/>
        </w:rPr>
        <w:t>draft · 94/100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4204631" cy="7315200"/>
            <wp:docPr id="2" name="Picture 2"/>
            <wp:cNvGraphicFramePr>
              <a:graphicFrameLocks noChangeAspect="1"/>
            </wp:cNvGraphicFramePr>
            <a:graphic>
              <a:graphicData uri="http://schemas.openxmlformats.org/drawingml/2006/picture">
                <pic:pic>
                  <pic:nvPicPr>
                    <pic:cNvPr id="0" name="J-001-overview.png"/>
                    <pic:cNvPicPr/>
                  </pic:nvPicPr>
                  <pic:blipFill>
                    <a:blip r:embed="rId10"/>
                    <a:stretch>
                      <a:fillRect/>
                    </a:stretch>
                  </pic:blipFill>
                  <pic:spPr>
                    <a:xfrm>
                      <a:off x="0" y="0"/>
                      <a:ext cx="4204631" cy="7315200"/>
                    </a:xfrm>
                    <a:prstGeom prst="rect"/>
                  </pic:spPr>
                </pic:pic>
              </a:graphicData>
            </a:graphic>
          </wp:inline>
        </w:drawing>
      </w:r>
    </w:p>
    <w:p>
      <w:pPr>
        <w:spacing w:after="200"/>
        <w:jc w:val="center"/>
      </w:pPr>
      <w:r>
        <w:rPr>
          <w:rFonts w:ascii="Georgia" w:hAnsi="Georgia"/>
          <w:color w:val="5C6370"/>
          <w:sz w:val="16"/>
        </w:rPr>
        <w:t>J-001 overview with its main alternate and exception paths</w:t>
      </w:r>
    </w:p>
    <w:p>
      <w:pPr>
        <w:jc w:val="center"/>
      </w:pPr>
      <w:r>
        <w:drawing>
          <wp:inline xmlns:a="http://schemas.openxmlformats.org/drawingml/2006/main" xmlns:pic="http://schemas.openxmlformats.org/drawingml/2006/picture">
            <wp:extent cx="5486400" cy="2032666"/>
            <wp:docPr id="3" name="Picture 3"/>
            <wp:cNvGraphicFramePr>
              <a:graphicFrameLocks noChangeAspect="1"/>
            </wp:cNvGraphicFramePr>
            <a:graphic>
              <a:graphicData uri="http://schemas.openxmlformats.org/drawingml/2006/picture">
                <pic:pic>
                  <pic:nvPicPr>
                    <pic:cNvPr id="0" name="J-001-satisfaction.png"/>
                    <pic:cNvPicPr/>
                  </pic:nvPicPr>
                  <pic:blipFill>
                    <a:blip r:embed="rId11"/>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May the set be offered to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an exported copy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4" name="Picture 4"/>
            <wp:cNvGraphicFramePr>
              <a:graphicFrameLocks noChangeAspect="1"/>
            </wp:cNvGraphicFramePr>
            <a:graphic>
              <a:graphicData uri="http://schemas.openxmlformats.org/drawingml/2006/picture">
                <pic:pic>
                  <pic:nvPicPr>
                    <pic:cNvPr id="0" name="J-002.png"/>
                    <pic:cNvPicPr/>
                  </pic:nvPicPr>
                  <pic:blipFill>
                    <a:blip r:embed="rId12"/>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5" name="Picture 5"/>
            <wp:cNvGraphicFramePr>
              <a:graphicFrameLocks noChangeAspect="1"/>
            </wp:cNvGraphicFramePr>
            <a:graphic>
              <a:graphicData uri="http://schemas.openxmlformats.org/drawingml/2006/picture">
                <pic:pic>
                  <pic:nvPicPr>
                    <pic:cNvPr id="0" name="J-002-satisfaction.png"/>
                    <pic:cNvPicPr/>
                  </pic:nvPicPr>
                  <pic:blipFill>
                    <a:blip r:embed="rId13"/>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bookmarkStart w:id="20" w:name="J_001"/>
      <w:r>
        <w:rPr>
          <w:rFonts w:ascii="Calibri" w:hAnsi="Calibri"/>
          <w:b/>
          <w:color w:val="1F4E79"/>
          <w:sz w:val="20"/>
        </w:rPr>
        <w:t>J-001</w:t>
      </w:r>
      <w:bookmarkEnd w:id="2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such as a load, a claim, or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they are told the section already meets the gate, or when they say they have nothing more to add, and they see the section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 Given one question whose premise the expert says is wrong, when they say why, then the finding behind the question is checked against the document as a refutation under FR-016, and they see whether it was dropped.; Given an expert returning after a break, when they say they want to carry on, then they resume at the first section not yet at review, and no question they already answered is put to them again.</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buildability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a buildability review of the whole set, read as an engineer would; Sees what an engineer could not build, and what they would have to guess; Sees which release-line stages have no requirement behind them; Closes each gap, or records it as an open question with a decider and a date; Offers the set to the sponsor for approval</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May the set be offered to someone who will commit to it</w:t>
            </w:r>
          </w:p>
          <w:p>
            <w:pPr>
              <w:spacing w:after="20"/>
              <w:ind w:left="173"/>
            </w:pPr>
            <w:r>
              <w:rPr>
                <w:rFonts w:ascii="Calibri" w:hAnsi="Calibri"/>
                <w:b/>
                <w:color w:val="8B93A1"/>
                <w:sz w:val="17"/>
              </w:rPr>
              <w:t xml:space="preserve">Handoff: </w:t>
            </w:r>
            <w:r>
              <w:rPr>
                <w:rFonts w:ascii="Georgia" w:hAnsi="Georgia"/>
                <w:sz w:val="19"/>
              </w:rPr>
              <w:t>Sponsor, who receives the set offered for approval as its root document or an exported copy.</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an exported copy,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 set offered for approval, as its root document or an exported copy</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bookmarkStart w:id="21" w:name="J_002"/>
      <w:r>
        <w:rPr>
          <w:rFonts w:ascii="Calibri" w:hAnsi="Calibri"/>
          <w:b/>
          <w:color w:val="1F4E79"/>
          <w:sz w:val="20"/>
        </w:rPr>
        <w:t xml:space="preserve">J-002  </w:t>
      </w:r>
      <w:r>
        <w:rPr>
          <w:rFonts w:ascii="Calibri" w:hAnsi="Calibri"/>
          <w:b/>
          <w:sz w:val="20"/>
        </w:rPr>
        <w:t>A backlog whose every story traces to a requirement the expert actually stated.</w:t>
      </w:r>
      <w:bookmarkEnd w:id="2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 Given an approved set with no journey, when the delivery lead checks it, then they see a no-go, with the reason that a backlog cannot be derived, and the workshop waits.</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bookmarkStart w:id="22" w:name="prd_forge_scenarios"/>
      <w:r>
        <w:t>Scenarios</w:t>
      </w:r>
      <w:bookmarkEnd w:id="22"/>
    </w:p>
    <w:p>
      <w:pPr>
        <w:spacing w:after="240"/>
      </w:pPr>
      <w:r>
        <w:rPr>
          <w:rFonts w:ascii="Calibri" w:hAnsi="Calibri"/>
          <w:b/>
          <w:caps/>
          <w:color w:val="5C6370"/>
          <w:sz w:val="15"/>
        </w:rPr>
        <w:t>draft · 89/100 · no blocking defects</w:t>
      </w:r>
    </w:p>
    <w:p>
      <w:pPr>
        <w:jc w:val="center"/>
      </w:pPr>
      <w:r>
        <w:drawing>
          <wp:inline xmlns:a="http://schemas.openxmlformats.org/drawingml/2006/main" xmlns:pic="http://schemas.openxmlformats.org/drawingml/2006/picture">
            <wp:extent cx="2062065" cy="7315200"/>
            <wp:docPr id="6" name="Picture 6"/>
            <wp:cNvGraphicFramePr>
              <a:graphicFrameLocks noChangeAspect="1"/>
            </wp:cNvGraphicFramePr>
            <a:graphic>
              <a:graphicData uri="http://schemas.openxmlformats.org/drawingml/2006/picture">
                <pic:pic>
                  <pic:nvPicPr>
                    <pic:cNvPr id="0" name="SC-001.png"/>
                    <pic:cNvPicPr/>
                  </pic:nvPicPr>
                  <pic:blipFill>
                    <a:blip r:embed="rId14"/>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24980" cy="7315200"/>
            <wp:docPr id="7" name="Picture 7"/>
            <wp:cNvGraphicFramePr>
              <a:graphicFrameLocks noChangeAspect="1"/>
            </wp:cNvGraphicFramePr>
            <a:graphic>
              <a:graphicData uri="http://schemas.openxmlformats.org/drawingml/2006/picture">
                <pic:pic>
                  <pic:nvPicPr>
                    <pic:cNvPr id="0" name="LC-001.png"/>
                    <pic:cNvPicPr/>
                  </pic:nvPicPr>
                  <pic:blipFill>
                    <a:blip r:embed="rId15"/>
                    <a:stretch>
                      <a:fillRect/>
                    </a:stretch>
                  </pic:blipFill>
                  <pic:spPr>
                    <a:xfrm>
                      <a:off x="0" y="0"/>
                      <a:ext cx="322498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8" name="Picture 8"/>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9" name="Picture 9"/>
            <wp:cNvGraphicFramePr>
              <a:graphicFrameLocks noChangeAspect="1"/>
            </wp:cNvGraphicFramePr>
            <a:graphic>
              <a:graphicData uri="http://schemas.openxmlformats.org/drawingml/2006/picture">
                <pic:pic>
                  <pic:nvPicPr>
                    <pic:cNvPr id="0" name="SC-002.png"/>
                    <pic:cNvPicPr/>
                  </pic:nvPicPr>
                  <pic:blipFill>
                    <a:blip r:embed="rId17"/>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10" name="Picture 10"/>
            <wp:cNvGraphicFramePr>
              <a:graphicFrameLocks noChangeAspect="1"/>
            </wp:cNvGraphicFramePr>
            <a:graphic>
              <a:graphicData uri="http://schemas.openxmlformats.org/drawingml/2006/picture">
                <pic:pic>
                  <pic:nvPicPr>
                    <pic:cNvPr id="0" name="WF-010.png"/>
                    <pic:cNvPicPr/>
                  </pic:nvPicPr>
                  <pic:blipFill>
                    <a:blip r:embed="rId18"/>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1" name="Picture 11"/>
            <wp:cNvGraphicFramePr>
              <a:graphicFrameLocks noChangeAspect="1"/>
            </wp:cNvGraphicFramePr>
            <a:graphic>
              <a:graphicData uri="http://schemas.openxmlformats.org/drawingml/2006/picture">
                <pic:pic>
                  <pic:nvPicPr>
                    <pic:cNvPr id="0" name="SC-003.png"/>
                    <pic:cNvPicPr/>
                  </pic:nvPicPr>
                  <pic:blipFill>
                    <a:blip r:embed="rId19"/>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2" name="Picture 12"/>
            <wp:cNvGraphicFramePr>
              <a:graphicFrameLocks noChangeAspect="1"/>
            </wp:cNvGraphicFramePr>
            <a:graphic>
              <a:graphicData uri="http://schemas.openxmlformats.org/drawingml/2006/picture">
                <pic:pic>
                  <pic:nvPicPr>
                    <pic:cNvPr id="0" name="SC-004.png"/>
                    <pic:cNvPicPr/>
                  </pic:nvPicPr>
                  <pic:blipFill>
                    <a:blip r:embed="rId20"/>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3" name="Picture 13"/>
            <wp:cNvGraphicFramePr>
              <a:graphicFrameLocks noChangeAspect="1"/>
            </wp:cNvGraphicFramePr>
            <a:graphic>
              <a:graphicData uri="http://schemas.openxmlformats.org/drawingml/2006/picture">
                <pic:pic>
                  <pic:nvPicPr>
                    <pic:cNvPr id="0" name="SC-008.png"/>
                    <pic:cNvPicPr/>
                  </pic:nvPicPr>
                  <pic:blipFill>
                    <a:blip r:embed="rId21"/>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214159" cy="7315200"/>
            <wp:docPr id="14" name="Picture 14"/>
            <wp:cNvGraphicFramePr>
              <a:graphicFrameLocks noChangeAspect="1"/>
            </wp:cNvGraphicFramePr>
            <a:graphic>
              <a:graphicData uri="http://schemas.openxmlformats.org/drawingml/2006/picture">
                <pic:pic>
                  <pic:nvPicPr>
                    <pic:cNvPr id="0" name="SC-005.png"/>
                    <pic:cNvPicPr/>
                  </pic:nvPicPr>
                  <pic:blipFill>
                    <a:blip r:embed="rId22"/>
                    <a:stretch>
                      <a:fillRect/>
                    </a:stretch>
                  </pic:blipFill>
                  <pic:spPr>
                    <a:xfrm>
                      <a:off x="0" y="0"/>
                      <a:ext cx="2214159"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5" name="Picture 15"/>
            <wp:cNvGraphicFramePr>
              <a:graphicFrameLocks noChangeAspect="1"/>
            </wp:cNvGraphicFramePr>
            <a:graphic>
              <a:graphicData uri="http://schemas.openxmlformats.org/drawingml/2006/picture">
                <pic:pic>
                  <pic:nvPicPr>
                    <pic:cNvPr id="0" name="WF-009.png"/>
                    <pic:cNvPicPr/>
                  </pic:nvPicPr>
                  <pic:blipFill>
                    <a:blip r:embed="rId23"/>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6" name="Picture 16"/>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7" name="Picture 17"/>
            <wp:cNvGraphicFramePr>
              <a:graphicFrameLocks noChangeAspect="1"/>
            </wp:cNvGraphicFramePr>
            <a:graphic>
              <a:graphicData uri="http://schemas.openxmlformats.org/drawingml/2006/picture">
                <pic:pic>
                  <pic:nvPicPr>
                    <pic:cNvPr id="0" name="SC-006.png"/>
                    <pic:cNvPicPr/>
                  </pic:nvPicPr>
                  <pic:blipFill>
                    <a:blip r:embed="rId25"/>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07587" cy="7315200"/>
            <wp:docPr id="18" name="Picture 18"/>
            <wp:cNvGraphicFramePr>
              <a:graphicFrameLocks noChangeAspect="1"/>
            </wp:cNvGraphicFramePr>
            <a:graphic>
              <a:graphicData uri="http://schemas.openxmlformats.org/drawingml/2006/picture">
                <pic:pic>
                  <pic:nvPicPr>
                    <pic:cNvPr id="0" name="SC-007.png"/>
                    <pic:cNvPicPr/>
                  </pic:nvPicPr>
                  <pic:blipFill>
                    <a:blip r:embed="rId26"/>
                    <a:stretch>
                      <a:fillRect/>
                    </a:stretch>
                  </pic:blipFill>
                  <pic:spPr>
                    <a:xfrm>
                      <a:off x="0" y="0"/>
                      <a:ext cx="2007587"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9" name="Picture 19"/>
            <wp:cNvGraphicFramePr>
              <a:graphicFrameLocks noChangeAspect="1"/>
            </wp:cNvGraphicFramePr>
            <a:graphic>
              <a:graphicData uri="http://schemas.openxmlformats.org/drawingml/2006/picture">
                <pic:pic>
                  <pic:nvPicPr>
                    <pic:cNvPr id="0" name="WF-007.png"/>
                    <pic:cNvPicPr/>
                  </pic:nvPicPr>
                  <pic:blipFill>
                    <a:blip r:embed="rId27"/>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20" name="Picture 20"/>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1" name="Picture 21"/>
            <wp:cNvGraphicFramePr>
              <a:graphicFrameLocks noChangeAspect="1"/>
            </wp:cNvGraphicFramePr>
            <a:graphic>
              <a:graphicData uri="http://schemas.openxmlformats.org/drawingml/2006/picture">
                <pic:pic>
                  <pic:nvPicPr>
                    <pic:cNvPr id="0" name="WF-001.png"/>
                    <pic:cNvPicPr/>
                  </pic:nvPicPr>
                  <pic:blipFill>
                    <a:blip r:embed="rId29"/>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2" name="Picture 22"/>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3" name="Picture 23"/>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4" name="Picture 24"/>
            <wp:cNvGraphicFramePr>
              <a:graphicFrameLocks noChangeAspect="1"/>
            </wp:cNvGraphicFramePr>
            <a:graphic>
              <a:graphicData uri="http://schemas.openxmlformats.org/drawingml/2006/picture">
                <pic:pic>
                  <pic:nvPicPr>
                    <pic:cNvPr id="0" name="WF-006.png"/>
                    <pic:cNvPicPr/>
                  </pic:nvPicPr>
                  <pic:blipFill>
                    <a:blip r:embed="rId30"/>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 No scenario has two experts on one set at once, which OUT-002 defers to a later release. A sponsor reading the set while the expert changes it is covered by FR-014: the change records a new version that the earlier approval does not cover.</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grading pass that cannot be refuted is one nobody believes. SC-005 is the moment the product is supposed to pay for itself.</w:t>
      </w:r>
    </w:p>
    <w:p>
      <w:pPr>
        <w:pStyle w:val="Heading3"/>
      </w:pPr>
      <w:r>
        <w:t>Scenarios</w:t>
      </w:r>
    </w:p>
    <w:p>
      <w:pPr>
        <w:keepNext/>
        <w:spacing w:before="220" w:after="60"/>
        <w:ind w:left="115"/>
        <w:pBdr>
          <w:left w:val="single" w:sz="18" w:space="0" w:color="1F4E79"/>
        </w:pBdr>
      </w:pPr>
      <w:bookmarkStart w:id="23" w:name="SC_001"/>
      <w:r>
        <w:rPr>
          <w:rFonts w:ascii="Calibri" w:hAnsi="Calibri"/>
          <w:b/>
          <w:color w:val="1F4E79"/>
          <w:sz w:val="20"/>
        </w:rPr>
        <w:t>SC-001</w:t>
      </w:r>
      <w:bookmarkEnd w:id="2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bookmarkStart w:id="24" w:name="SC_002"/>
      <w:r>
        <w:rPr>
          <w:rFonts w:ascii="Calibri" w:hAnsi="Calibri"/>
          <w:b/>
          <w:color w:val="1F4E79"/>
          <w:sz w:val="20"/>
        </w:rPr>
        <w:t>SC-002</w:t>
      </w:r>
      <w:bookmarkEnd w:id="2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gave when they began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bookmarkStart w:id="25" w:name="SC_003"/>
      <w:r>
        <w:rPr>
          <w:rFonts w:ascii="Calibri" w:hAnsi="Calibri"/>
          <w:b/>
          <w:color w:val="1F4E79"/>
          <w:sz w:val="20"/>
        </w:rPr>
        <w:t>SC-003</w:t>
      </w:r>
      <w:bookmarkEnd w:id="2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bookmarkStart w:id="26" w:name="SC_004"/>
      <w:r>
        <w:rPr>
          <w:rFonts w:ascii="Calibri" w:hAnsi="Calibri"/>
          <w:b/>
          <w:color w:val="1F4E79"/>
          <w:sz w:val="20"/>
        </w:rPr>
        <w:t>SC-004</w:t>
      </w:r>
      <w:bookmarkEnd w:id="2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bookmarkStart w:id="27" w:name="SC_008"/>
      <w:r>
        <w:rPr>
          <w:rFonts w:ascii="Calibri" w:hAnsi="Calibri"/>
          <w:b/>
          <w:color w:val="1F4E79"/>
          <w:sz w:val="20"/>
        </w:rPr>
        <w:t>SC-008</w:t>
      </w:r>
      <w:bookmarkEnd w:id="2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bookmarkStart w:id="28" w:name="SC_005"/>
      <w:r>
        <w:rPr>
          <w:rFonts w:ascii="Calibri" w:hAnsi="Calibri"/>
          <w:b/>
          <w:color w:val="1F4E79"/>
          <w:sz w:val="20"/>
        </w:rPr>
        <w:t>SC-005</w:t>
      </w:r>
      <w:bookmarkEnd w:id="2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buildability review would ask for first, in order</w:t>
            </w:r>
          </w:p>
          <w:p>
            <w:pPr>
              <w:spacing w:after="40"/>
              <w:ind w:left="173"/>
            </w:pPr>
            <w:r>
              <w:rPr>
                <w:rFonts w:ascii="Georgia" w:hAnsi="Georgia"/>
                <w:sz w:val="19"/>
              </w:rPr>
              <w:t>• They write a requirement for one of the two stages, and record the other as an open question with a decider and a date</w:t>
            </w:r>
          </w:p>
          <w:p>
            <w:pPr>
              <w:spacing w:after="40"/>
              <w:ind w:left="173"/>
            </w:pPr>
            <w:r>
              <w:rPr>
                <w:rFonts w:ascii="Georgia" w:hAnsi="Georgia"/>
                <w:sz w:val="19"/>
              </w:rPr>
              <w:t>• They fix two of the three requirements and record the third as an open question with a decider and a date</w:t>
            </w:r>
          </w:p>
          <w:p>
            <w:pPr>
              <w:spacing w:after="40"/>
              <w:ind w:left="173"/>
            </w:pPr>
            <w:r>
              <w:rPr>
                <w:rFonts w:ascii="Georgia" w:hAnsi="Georgia"/>
                <w:sz w:val="19"/>
              </w:rPr>
              <w:t>• They see each section they changed go back to draft, to be graded again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bookmarkStart w:id="29" w:name="SC_006"/>
      <w:r>
        <w:rPr>
          <w:rFonts w:ascii="Calibri" w:hAnsi="Calibri"/>
          <w:b/>
          <w:color w:val="1F4E79"/>
          <w:sz w:val="20"/>
        </w:rPr>
        <w:t>SC-006</w:t>
      </w:r>
      <w:bookmarkEnd w:id="2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bookmarkStart w:id="30" w:name="SC_007"/>
      <w:r>
        <w:rPr>
          <w:rFonts w:ascii="Calibri" w:hAnsi="Calibri"/>
          <w:b/>
          <w:color w:val="1F4E79"/>
          <w:sz w:val="20"/>
        </w:rPr>
        <w:t>SC-007</w:t>
      </w:r>
      <w:bookmarkEnd w:id="3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a date,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bookmarkStart w:id="31" w:name="LC_001"/>
      <w:r>
        <w:rPr>
          <w:rFonts w:ascii="Calibri" w:hAnsi="Calibri"/>
          <w:b/>
          <w:color w:val="1F4E79"/>
          <w:sz w:val="20"/>
        </w:rPr>
        <w:t xml:space="preserve">LC-001  </w:t>
      </w:r>
      <w:r>
        <w:rPr>
          <w:rFonts w:ascii="Calibri" w:hAnsi="Calibri"/>
          <w:b/>
          <w:sz w:val="20"/>
        </w:rPr>
        <w:t>a section of the PRD</w:t>
      </w:r>
      <w:bookmarkEnd w:id="3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because a later section shows it is incomplete</w:t>
            </w:r>
          </w:p>
          <w:p>
            <w:pPr>
              <w:spacing w:after="20"/>
              <w:ind w:left="173"/>
            </w:pPr>
            <w:r>
              <w:rPr>
                <w:rFonts w:ascii="Calibri" w:hAnsi="Calibri"/>
                <w:b/>
                <w:color w:val="8B93A1"/>
                <w:sz w:val="17"/>
              </w:rPr>
              <w:t xml:space="preserve">Rule: </w:t>
            </w:r>
            <w:r>
              <w:rPr>
                <w:rFonts w:ascii="Georgia" w:hAnsi="Georgia"/>
                <w:sz w:val="19"/>
              </w:rPr>
              <w:t>The expert's decision under TR-002. The section is graded again before it returns to review.</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after it was set final</w:t>
            </w:r>
          </w:p>
          <w:p>
            <w:pPr>
              <w:spacing w:after="20"/>
              <w:ind w:left="173"/>
            </w:pPr>
            <w:r>
              <w:rPr>
                <w:rFonts w:ascii="Calibri" w:hAnsi="Calibri"/>
                <w:b/>
                <w:color w:val="8B93A1"/>
                <w:sz w:val="17"/>
              </w:rPr>
              <w:t xml:space="preserve">Rule: </w:t>
            </w:r>
            <w:r>
              <w:rPr>
                <w:rFonts w:ascii="Georgia" w:hAnsi="Georgia"/>
                <w:sz w:val="19"/>
              </w:rPr>
              <w:t>The expert's decision under TR-002. If the set was approved, the change records a new version that the earlier approval does not cover (FR-014). A section is never retired, because ids are never reused.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bookmarkStart w:id="32" w:name="prd_forge_scope"/>
      <w:r>
        <w:t>Scope</w:t>
      </w:r>
      <w:bookmarkEnd w:id="32"/>
    </w:p>
    <w:p>
      <w:pPr>
        <w:spacing w:after="240"/>
      </w:pPr>
      <w:r>
        <w:rPr>
          <w:rFonts w:ascii="Calibri" w:hAnsi="Calibri"/>
          <w:b/>
          <w:caps/>
          <w:color w:val="5C6370"/>
          <w:sz w:val="15"/>
        </w:rPr>
        <w:t>draft · 92/100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an exported copy and gives a decision. The expert records it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and see every section and its state</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meet the gate</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see the section re-graded, and resume without repeating an answer</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 FR-015</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Name each approver, give the sponsor one document, bring back the sponsor's comments on it, and let the expert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 FR-021, FR-022</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two of the three sponsors in Q-005's spike say the root document is not enough</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works in short bursts, and a second place to open would split the work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once segment S-003 in section 2, fall under the first non-goal: the product never supplies the domain.</w:t>
      </w:r>
    </w:p>
    <w:p>
      <w:pPr>
        <w:pStyle w:val="Heading3"/>
      </w:pPr>
      <w:r>
        <w:t>In scope</w:t>
      </w:r>
    </w:p>
    <w:p>
      <w:pPr>
        <w:keepNext/>
        <w:spacing w:before="220" w:after="60"/>
        <w:ind w:left="115"/>
        <w:pBdr>
          <w:left w:val="single" w:sz="18" w:space="0" w:color="1F4E79"/>
        </w:pBdr>
      </w:pPr>
      <w:bookmarkStart w:id="33" w:name="IN_001"/>
      <w:r>
        <w:rPr>
          <w:rFonts w:ascii="Calibri" w:hAnsi="Calibri"/>
          <w:b/>
          <w:color w:val="1F4E79"/>
          <w:sz w:val="20"/>
        </w:rPr>
        <w:t>IN-001</w:t>
      </w:r>
      <w:bookmarkEnd w:id="3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and see every section of the set and its state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tc>
      </w:tr>
    </w:tbl>
    <w:p>
      <w:pPr>
        <w:spacing w:after="40"/>
      </w:pPr>
    </w:p>
    <w:p>
      <w:pPr>
        <w:keepNext/>
        <w:spacing w:before="220" w:after="60"/>
        <w:ind w:left="115"/>
        <w:pBdr>
          <w:left w:val="single" w:sz="18" w:space="0" w:color="1F4E79"/>
        </w:pBdr>
      </w:pPr>
      <w:bookmarkStart w:id="34" w:name="IN_002"/>
      <w:r>
        <w:rPr>
          <w:rFonts w:ascii="Calibri" w:hAnsi="Calibri"/>
          <w:b/>
          <w:color w:val="1F4E79"/>
          <w:sz w:val="20"/>
        </w:rPr>
        <w:t>IN-002</w:t>
      </w:r>
      <w:bookmarkEnd w:id="3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meet the gate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bookmarkStart w:id="35" w:name="IN_003"/>
      <w:r>
        <w:rPr>
          <w:rFonts w:ascii="Calibri" w:hAnsi="Calibri"/>
          <w:b/>
          <w:color w:val="1F4E79"/>
          <w:sz w:val="20"/>
        </w:rPr>
        <w:t>IN-003</w:t>
      </w:r>
      <w:bookmarkEnd w:id="3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bookmarkStart w:id="36" w:name="IN_004"/>
      <w:r>
        <w:rPr>
          <w:rFonts w:ascii="Calibri" w:hAnsi="Calibri"/>
          <w:b/>
          <w:color w:val="1F4E79"/>
          <w:sz w:val="20"/>
        </w:rPr>
        <w:t>IN-004</w:t>
      </w:r>
      <w:bookmarkEnd w:id="3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bookmarkStart w:id="37" w:name="IN_005"/>
      <w:r>
        <w:rPr>
          <w:rFonts w:ascii="Calibri" w:hAnsi="Calibri"/>
          <w:b/>
          <w:color w:val="1F4E79"/>
          <w:sz w:val="20"/>
        </w:rPr>
        <w:t>IN-005</w:t>
      </w:r>
      <w:bookmarkEnd w:id="3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see the section re-graded against the same rubric,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bookmarkStart w:id="38" w:name="IN_006"/>
      <w:r>
        <w:rPr>
          <w:rFonts w:ascii="Calibri" w:hAnsi="Calibri"/>
          <w:b/>
          <w:color w:val="1F4E79"/>
          <w:sz w:val="20"/>
        </w:rPr>
        <w:t>IN-006</w:t>
      </w:r>
      <w:bookmarkEnd w:id="3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Get a buildability review of the whole set, read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bookmarkStart w:id="39" w:name="IN_007"/>
      <w:r>
        <w:rPr>
          <w:rFonts w:ascii="Calibri" w:hAnsi="Calibri"/>
          <w:b/>
          <w:color w:val="1F4E79"/>
          <w:sz w:val="20"/>
        </w:rPr>
        <w:t>IN-007</w:t>
      </w:r>
      <w:bookmarkEnd w:id="3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Let the expert name each approver, give the sponsor one document with the summary, the scope, the grades, and the open questions, bring the sponsor's comments on an exported copy back into the set with a response to each, and let the expert record the sponsor's decision, given outside the product,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FR-021</w:t>
            </w:r>
          </w:p>
          <w:p>
            <w:pPr>
              <w:spacing w:after="40"/>
              <w:ind w:left="173"/>
            </w:pPr>
            <w:r>
              <w:rPr>
                <w:rFonts w:ascii="Georgia" w:hAnsi="Georgia"/>
                <w:sz w:val="19"/>
              </w:rPr>
              <w:t>• FR-022</w:t>
            </w:r>
          </w:p>
        </w:tc>
      </w:tr>
    </w:tbl>
    <w:p>
      <w:pPr>
        <w:spacing w:after="40"/>
      </w:pPr>
    </w:p>
    <w:p>
      <w:pPr>
        <w:pStyle w:val="Heading3"/>
      </w:pPr>
      <w:r>
        <w:t>Out of scope</w:t>
      </w:r>
    </w:p>
    <w:p>
      <w:pPr>
        <w:keepNext/>
        <w:spacing w:before="220" w:after="60"/>
        <w:ind w:left="115"/>
        <w:pBdr>
          <w:left w:val="single" w:sz="18" w:space="0" w:color="1F4E79"/>
        </w:pBdr>
      </w:pPr>
      <w:bookmarkStart w:id="40" w:name="OUT_001"/>
      <w:r>
        <w:rPr>
          <w:rFonts w:ascii="Calibri" w:hAnsi="Calibri"/>
          <w:b/>
          <w:color w:val="1F4E79"/>
          <w:sz w:val="20"/>
        </w:rPr>
        <w:t xml:space="preserve">OUT-001  </w:t>
      </w:r>
      <w:r>
        <w:rPr>
          <w:rFonts w:ascii="Calibri" w:hAnsi="Calibri"/>
          <w:b/>
          <w:sz w:val="20"/>
        </w:rPr>
        <w:t>Deriving features, epics and stories from the approved PRD - journey J-002</w:t>
      </w:r>
      <w:bookmarkEnd w:id="4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bookmarkStart w:id="41" w:name="OUT_002"/>
      <w:r>
        <w:rPr>
          <w:rFonts w:ascii="Calibri" w:hAnsi="Calibri"/>
          <w:b/>
          <w:color w:val="1F4E79"/>
          <w:sz w:val="20"/>
        </w:rPr>
        <w:t xml:space="preserve">OUT-002  </w:t>
      </w:r>
      <w:r>
        <w:rPr>
          <w:rFonts w:ascii="Calibri" w:hAnsi="Calibri"/>
          <w:b/>
          <w:sz w:val="20"/>
        </w:rPr>
        <w:t>More than one expert working on the same set at the same time</w:t>
      </w:r>
      <w:bookmarkEnd w:id="4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bookmarkStart w:id="42" w:name="OUT_004"/>
      <w:r>
        <w:rPr>
          <w:rFonts w:ascii="Calibri" w:hAnsi="Calibri"/>
          <w:b/>
          <w:color w:val="1F4E79"/>
          <w:sz w:val="20"/>
        </w:rPr>
        <w:t>OUT-004</w:t>
      </w:r>
      <w:bookmarkEnd w:id="4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bookmarkStart w:id="43" w:name="OUT_003"/>
      <w:r>
        <w:rPr>
          <w:rFonts w:ascii="Calibri" w:hAnsi="Calibri"/>
          <w:b/>
          <w:color w:val="1F4E79"/>
          <w:sz w:val="20"/>
        </w:rPr>
        <w:t>OUT-003</w:t>
      </w:r>
      <w:bookmarkEnd w:id="4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at least two of the three sponsors in Q-005's spike say the root document is not enough to decide. Until then the sponsor reads one document, the root document, which FR-013 says carries everything they need.</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bookmarkStart w:id="44" w:name="prd_forge_functional_requirements"/>
      <w:r>
        <w:t>Functional requirements</w:t>
      </w:r>
      <w:bookmarkEnd w:id="44"/>
    </w:p>
    <w:p>
      <w:pPr>
        <w:spacing w:after="240"/>
      </w:pPr>
      <w:r>
        <w:rPr>
          <w:rFonts w:ascii="Calibri" w:hAnsi="Calibri"/>
          <w:b/>
          <w:caps/>
          <w:color w:val="5C6370"/>
          <w:sz w:val="15"/>
        </w:rPr>
        <w:t>draft · 84/100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0"/>
        <w:gridCol w:w="1217"/>
        <w:gridCol w:w="3673"/>
        <w:gridCol w:w="1263"/>
        <w:gridCol w:w="1170"/>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1217"/>
            <w:tcBorders>
              <w:bottom w:val="single" w:sz="12" w:space="4" w:color="16181D"/>
            </w:tcBorders>
          </w:tcPr>
          <w:p>
            <w:pPr>
              <w:spacing w:after="60"/>
            </w:pPr>
            <w:r/>
            <w:r>
              <w:rPr>
                <w:rFonts w:ascii="Calibri" w:hAnsi="Calibri"/>
                <w:b/>
                <w:caps/>
                <w:color w:val="5C6370"/>
                <w:sz w:val="15"/>
              </w:rPr>
              <w:t>User</w:t>
            </w:r>
          </w:p>
        </w:tc>
        <w:tc>
          <w:tcPr>
            <w:tcW w:type="dxa" w:w="3673"/>
            <w:tcBorders>
              <w:bottom w:val="single" w:sz="12" w:space="4" w:color="16181D"/>
            </w:tcBorders>
          </w:tcPr>
          <w:p>
            <w:pPr>
              <w:spacing w:after="60"/>
            </w:pPr>
            <w:r/>
            <w:r>
              <w:rPr>
                <w:rFonts w:ascii="Calibri" w:hAnsi="Calibri"/>
                <w:b/>
                <w:caps/>
                <w:color w:val="5C6370"/>
                <w:sz w:val="15"/>
              </w:rPr>
              <w:t>Capability</w:t>
            </w:r>
          </w:p>
        </w:tc>
        <w:tc>
          <w:tcPr>
            <w:tcW w:type="dxa" w:w="1264"/>
            <w:tcBorders>
              <w:bottom w:val="single" w:sz="12" w:space="4" w:color="16181D"/>
            </w:tcBorders>
          </w:tcPr>
          <w:p>
            <w:pPr>
              <w:spacing w:after="60"/>
            </w:pPr>
            <w:r/>
            <w:r>
              <w:rPr>
                <w:rFonts w:ascii="Calibri" w:hAnsi="Calibri"/>
                <w:b/>
                <w:caps/>
                <w:color w:val="5C6370"/>
                <w:sz w:val="15"/>
              </w:rPr>
              <w:t>Priority</w:t>
            </w:r>
          </w:p>
        </w:tc>
        <w:tc>
          <w:tcPr>
            <w:tcW w:type="dxa" w:w="1171"/>
            <w:tcBorders>
              <w:bottom w:val="single" w:sz="12" w:space="4" w:color="16181D"/>
            </w:tcBorders>
          </w:tcPr>
          <w:p>
            <w:pPr>
              <w:spacing w:after="60"/>
            </w:pPr>
            <w:r/>
            <w:r>
              <w:rPr>
                <w:rFonts w:ascii="Calibri" w:hAnsi="Calibri"/>
                <w:b/>
                <w:caps/>
                <w:color w:val="5C6370"/>
                <w:sz w:val="15"/>
              </w:rPr>
              <w:t>Stage</w:t>
            </w:r>
          </w:p>
        </w:tc>
      </w:tr>
      <w:tr>
        <w:tc>
          <w:tcPr>
            <w:tcW w:type="dxa" w:w="1171"/>
            <w:tcBorders>
              <w:bottom w:val="single" w:sz="6" w:space="4" w:color="D8DCE3"/>
            </w:tcBorders>
          </w:tcPr>
          <w:p>
            <w:pPr>
              <w:spacing w:after="60"/>
            </w:pPr>
            <w:r/>
            <w:r>
              <w:rPr>
                <w:rFonts w:ascii="Georgia" w:hAnsi="Georgia"/>
                <w:sz w:val="18"/>
              </w:rPr>
              <w:t>FR-001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State the idea; establish the vocabulary once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whole set's state at a glance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taught the section before being asked</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FR-004</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asked one or two questions at a time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End a section and see what was left behind</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Unknown facts become open questions, never inventions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FR-007</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Technology talk converted; preference preserved</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FR-008</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Read the draft as prose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FR-009</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score, blocking defects, weakest part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asked one question, not twelve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re-grade against the same standard</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what a team could not build from it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FR-013</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See what is approved and what is open, on one page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ST-006</w:t>
            </w:r>
          </w:p>
        </w:tc>
      </w:tr>
      <w:tr>
        <w:tc>
          <w:tcPr>
            <w:tcW w:type="dxa" w:w="1171"/>
            <w:tcBorders>
              <w:bottom w:val="single" w:sz="6" w:space="4" w:color="D8DCE3"/>
            </w:tcBorders>
          </w:tcPr>
          <w:p>
            <w:pPr>
              <w:spacing w:after="60"/>
            </w:pPr>
            <w:r/>
            <w:r>
              <w:rPr>
                <w:rFonts w:ascii="Georgia" w:hAnsi="Georgia"/>
                <w:sz w:val="18"/>
              </w:rPr>
              <w:t>FR-014</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Approve, with conditions, against a version</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ST-006</w:t>
            </w:r>
          </w:p>
        </w:tc>
      </w:tr>
      <w:tr>
        <w:tc>
          <w:tcPr>
            <w:tcW w:type="dxa" w:w="1171"/>
            <w:tcBorders>
              <w:bottom w:val="single" w:sz="6" w:space="4" w:color="D8DCE3"/>
            </w:tcBorders>
          </w:tcPr>
          <w:p>
            <w:pPr>
              <w:spacing w:after="60"/>
            </w:pPr>
            <w:r/>
            <w:r>
              <w:rPr>
                <w:rFonts w:ascii="Georgia" w:hAnsi="Georgia"/>
                <w:sz w:val="18"/>
              </w:rPr>
              <w:t>FR-015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Stop and resume without being asked anything twice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Refute a finding and have it withdrawn</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FR-017</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Move to any section without losing their place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FR-018</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set as it now stands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FR-019</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Stop being asked once the section would meet the gate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FR-020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Be told when the set states one item two ways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FR-021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Name each approver before offering the set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ST-006</w:t>
            </w:r>
          </w:p>
        </w:tc>
      </w:tr>
      <w:tr>
        <w:tc>
          <w:tcPr>
            <w:tcW w:type="dxa" w:w="1171"/>
            <w:tcBorders>
              <w:bottom w:val="single" w:sz="6" w:space="4" w:color="D8DCE3"/>
            </w:tcBorders>
          </w:tcPr>
          <w:p>
            <w:pPr>
              <w:spacing w:after="60"/>
            </w:pPr>
            <w:r/>
            <w:r>
              <w:rPr>
                <w:rFonts w:ascii="Georgia" w:hAnsi="Georgia"/>
                <w:sz w:val="18"/>
              </w:rPr>
              <w:t>FR-022</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Comment on an exported copy, and see each comment's response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ST-006</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Eleven of the 22 are </w:t>
      </w:r>
      <w:r>
        <w:rPr>
          <w:rFonts w:ascii="Consolas" w:hAnsi="Consolas"/>
          <w:sz w:val="19"/>
        </w:rPr>
        <w:t>must</w:t>
      </w:r>
      <w:r>
        <w:rPr>
          <w:rFonts w:ascii="Georgia" w:hAnsi="Georgia"/>
        </w:rPr>
        <w:t xml:space="preserve">: without any one of them, REL-001 does not do what it promises. The eleven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 and set FR-021 to </w:t>
      </w:r>
      <w:r>
        <w:rPr>
          <w:rFonts w:ascii="Consolas" w:hAnsi="Consolas"/>
          <w:sz w:val="19"/>
        </w:rPr>
        <w:t>must</w:t>
      </w:r>
      <w:r>
        <w:rPr>
          <w:rFonts w:ascii="Georgia" w:hAnsi="Georgia"/>
        </w:rPr>
        <w:t xml:space="preserve"> at version 0.9.0.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The same four also wait on Q-015, who owns the rubric and the checks, because Q-009 cannot fix a version until Q-015 names its owner.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Three </w:t>
      </w:r>
      <w:r>
        <w:rPr>
          <w:rFonts w:ascii="Consolas" w:hAnsi="Consolas"/>
          <w:sz w:val="19"/>
        </w:rPr>
        <w:t>should</w:t>
      </w:r>
      <w:r>
        <w:rPr>
          <w:rFonts w:ascii="Georgia" w:hAnsi="Georgia"/>
        </w:rPr>
        <w:t xml:space="preserve"> requirements also wait: FR-011 and FR-019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r>
        <w:rPr>
          <w:rFonts w:ascii="Georgia" w:hAnsi="Georgia"/>
        </w:rPr>
        <w:t>FR-021 was added at version 0.9.0 on the expert's decision. A set records who will approve it before it is offered, so an approval names a person, not only the sponsor's role in section 10.</w:t>
      </w:r>
    </w:p>
    <w:p>
      <w:r>
        <w:rPr>
          <w:rFonts w:ascii="Georgia" w:hAnsi="Georgia"/>
        </w:rPr>
        <w:t xml:space="preserve">FR-022 was added at version 0.10.0 on the expert's decision, as a </w:t>
      </w:r>
      <w:r>
        <w:rPr>
          <w:rFonts w:ascii="Consolas" w:hAnsi="Consolas"/>
          <w:sz w:val="19"/>
        </w:rPr>
        <w:t>should</w:t>
      </w:r>
      <w:r>
        <w:rPr>
          <w:rFonts w:ascii="Georgia" w:hAnsi="Georgia"/>
        </w:rPr>
        <w:t xml:space="preserve"> in REL-001. A sponsor reads an exported copy outside the product at ST-006 and comments in it. FR-022 brings those comments back, and the next copy carries each response and what it changed. WF-011 shows that copy. A comment still without a response when the sponsor approves does not block the approval: the expert records it as a condition under FR-014, as the expert decided.</w:t>
      </w:r>
    </w:p>
    <w:p>
      <w:pPr>
        <w:pStyle w:val="Heading3"/>
      </w:pPr>
      <w:r>
        <w:t>A judgement call worth challenging</w:t>
      </w:r>
    </w:p>
    <w:p>
      <w:r>
        <w:rPr>
          <w:rFonts w:ascii="Georgia" w:hAnsi="Georgia"/>
        </w:rPr>
        <w:t>FR-002, FR-008 and FR-013 refer to "the set", "the section", "a table row" and "the root document". A reader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grading pass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bookmarkStart w:id="45" w:name="FR_001"/>
      <w:r>
        <w:rPr>
          <w:rFonts w:ascii="Calibri" w:hAnsi="Calibri"/>
          <w:b/>
          <w:color w:val="1F4E79"/>
          <w:sz w:val="20"/>
        </w:rPr>
        <w:t xml:space="preserve">FR-001  </w:t>
      </w:r>
      <w:r>
        <w:rPr>
          <w:rFonts w:ascii="Calibri" w:hAnsi="Calibri"/>
          <w:b/>
          <w:sz w:val="20"/>
        </w:rPr>
        <w:t>State the idea in their own words and establish the domain's vocabulary once</w:t>
      </w:r>
      <w:bookmarkEnd w:id="4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46" w:name="FR_002"/>
      <w:r>
        <w:rPr>
          <w:rFonts w:ascii="Calibri" w:hAnsi="Calibri"/>
          <w:b/>
          <w:color w:val="1F4E79"/>
          <w:sz w:val="20"/>
        </w:rPr>
        <w:t xml:space="preserve">FR-002  </w:t>
      </w:r>
      <w:r>
        <w:rPr>
          <w:rFonts w:ascii="Calibri" w:hAnsi="Calibri"/>
          <w:b/>
          <w:sz w:val="20"/>
        </w:rPr>
        <w:t>See every section of the set and what state each one is in, at any point</w:t>
      </w:r>
      <w:bookmarkEnd w:id="4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47" w:name="FR_003"/>
      <w:r>
        <w:rPr>
          <w:rFonts w:ascii="Calibri" w:hAnsi="Calibri"/>
          <w:b/>
          <w:color w:val="1F4E79"/>
          <w:sz w:val="20"/>
        </w:rPr>
        <w:t>FR-003</w:t>
      </w:r>
      <w:bookmarkEnd w:id="4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48" w:name="FR_004"/>
      <w:r>
        <w:rPr>
          <w:rFonts w:ascii="Calibri" w:hAnsi="Calibri"/>
          <w:b/>
          <w:color w:val="1F4E79"/>
          <w:sz w:val="20"/>
        </w:rPr>
        <w:t xml:space="preserve">FR-004  </w:t>
      </w:r>
      <w:r>
        <w:rPr>
          <w:rFonts w:ascii="Calibri" w:hAnsi="Calibri"/>
          <w:b/>
          <w:sz w:val="20"/>
        </w:rPr>
        <w:t>Be asked one or two questions at a time, never a questionnaire</w:t>
      </w:r>
      <w:bookmarkEnd w:id="4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49" w:name="FR_005"/>
      <w:r>
        <w:rPr>
          <w:rFonts w:ascii="Calibri" w:hAnsi="Calibri"/>
          <w:b/>
          <w:color w:val="1F4E79"/>
          <w:sz w:val="20"/>
        </w:rPr>
        <w:t xml:space="preserve">FR-005  </w:t>
      </w:r>
      <w:r>
        <w:rPr>
          <w:rFonts w:ascii="Calibri" w:hAnsi="Calibri"/>
          <w:b/>
          <w:sz w:val="20"/>
        </w:rPr>
        <w:t>Say that they have nothing more to add, and have that end the section's interview</w:t>
      </w:r>
      <w:bookmarkEnd w:id="4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meet the gate,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50" w:name="FR_006"/>
      <w:r>
        <w:rPr>
          <w:rFonts w:ascii="Calibri" w:hAnsi="Calibri"/>
          <w:b/>
          <w:color w:val="1F4E79"/>
          <w:sz w:val="20"/>
        </w:rPr>
        <w:t>FR-006</w:t>
      </w:r>
      <w:bookmarkEnd w:id="5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1" w:name="FR_007"/>
      <w:r>
        <w:rPr>
          <w:rFonts w:ascii="Calibri" w:hAnsi="Calibri"/>
          <w:b/>
          <w:color w:val="1F4E79"/>
          <w:sz w:val="20"/>
        </w:rPr>
        <w:t>FR-007</w:t>
      </w:r>
      <w:bookmarkEnd w:id="5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2" w:name="FR_008"/>
      <w:r>
        <w:rPr>
          <w:rFonts w:ascii="Calibri" w:hAnsi="Calibri"/>
          <w:b/>
          <w:color w:val="1F4E79"/>
          <w:sz w:val="20"/>
        </w:rPr>
        <w:t xml:space="preserve">FR-008  </w:t>
      </w:r>
      <w:r>
        <w:rPr>
          <w:rFonts w:ascii="Calibri" w:hAnsi="Calibri"/>
          <w:b/>
          <w:sz w:val="20"/>
        </w:rPr>
        <w:t>Read the drafted section as prose rather than as a filled-in form</w:t>
      </w:r>
      <w:bookmarkEnd w:id="5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reads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3" w:name="FR_009"/>
      <w:r>
        <w:rPr>
          <w:rFonts w:ascii="Calibri" w:hAnsi="Calibri"/>
          <w:b/>
          <w:color w:val="1F4E79"/>
          <w:sz w:val="20"/>
        </w:rPr>
        <w:t xml:space="preserve">FR-009  </w:t>
      </w:r>
      <w:r>
        <w:rPr>
          <w:rFonts w:ascii="Calibri" w:hAnsi="Calibri"/>
          <w:b/>
          <w:sz w:val="20"/>
        </w:rPr>
        <w:t>See a score, every blocking defect by name, and which part of the section is weakest</w:t>
      </w:r>
      <w:bookmarkEnd w:id="5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4" w:name="FR_010"/>
      <w:r>
        <w:rPr>
          <w:rFonts w:ascii="Calibri" w:hAnsi="Calibri"/>
          <w:b/>
          <w:color w:val="1F4E79"/>
          <w:sz w:val="20"/>
        </w:rPr>
        <w:t>FR-010</w:t>
      </w:r>
      <w:bookmarkEnd w:id="5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5" w:name="FR_011"/>
      <w:r>
        <w:rPr>
          <w:rFonts w:ascii="Calibri" w:hAnsi="Calibri"/>
          <w:b/>
          <w:color w:val="1F4E79"/>
          <w:sz w:val="20"/>
        </w:rPr>
        <w:t xml:space="preserve">FR-011  </w:t>
      </w:r>
      <w:r>
        <w:rPr>
          <w:rFonts w:ascii="Calibri" w:hAnsi="Calibri"/>
          <w:b/>
          <w:sz w:val="20"/>
        </w:rPr>
        <w:t>See the section re-graded against the same standard after answering</w:t>
      </w:r>
      <w:bookmarkEnd w:id="5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6" w:name="FR_012"/>
      <w:r>
        <w:rPr>
          <w:rFonts w:ascii="Calibri" w:hAnsi="Calibri"/>
          <w:b/>
          <w:color w:val="1F4E79"/>
          <w:sz w:val="20"/>
        </w:rPr>
        <w:t>FR-012</w:t>
      </w:r>
      <w:bookmarkEnd w:id="5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buildability review reports it, then the requirement is named and the document is quoted.</w:t>
            </w:r>
          </w:p>
          <w:p>
            <w:pPr>
              <w:spacing w:after="40"/>
              <w:ind w:left="173"/>
            </w:pPr>
            <w:r>
              <w:rPr>
                <w:rFonts w:ascii="Georgia" w:hAnsi="Georgia"/>
                <w:sz w:val="19"/>
              </w:rPr>
              <w:t>• Given an open question that blocks a `must` requirement, when the buildability review runs, then that requirement's wait on the question is reported.</w:t>
            </w:r>
          </w:p>
          <w:p>
            <w:pPr>
              <w:spacing w:after="40"/>
              <w:ind w:left="173"/>
            </w:pPr>
            <w:r>
              <w:rPr>
                <w:rFonts w:ascii="Georgia" w:hAnsi="Georgia"/>
                <w:sz w:val="19"/>
              </w:rPr>
              <w:t>• Given a buildability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7" w:name="FR_013"/>
      <w:r>
        <w:rPr>
          <w:rFonts w:ascii="Calibri" w:hAnsi="Calibri"/>
          <w:b/>
          <w:color w:val="1F4E79"/>
          <w:sz w:val="20"/>
        </w:rPr>
        <w:t>FR-013</w:t>
      </w:r>
      <w:bookmarkEnd w:id="5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8" w:name="FR_014"/>
      <w:r>
        <w:rPr>
          <w:rFonts w:ascii="Calibri" w:hAnsi="Calibri"/>
          <w:b/>
          <w:color w:val="1F4E79"/>
          <w:sz w:val="20"/>
        </w:rPr>
        <w:t>FR-014</w:t>
      </w:r>
      <w:bookmarkEnd w:id="5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p>
            <w:pPr>
              <w:spacing w:after="40"/>
              <w:ind w:left="173"/>
            </w:pPr>
            <w:r>
              <w:rPr>
                <w:rFonts w:ascii="Georgia" w:hAnsi="Georgia"/>
                <w:sz w:val="19"/>
              </w:rPr>
              <w:t>• Given an approver who rejects the set, when the expert records it, then the rejection, its reason, the approver, and the date are recorded against the version, and the set reads as not approved.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9" w:name="FR_015"/>
      <w:r>
        <w:rPr>
          <w:rFonts w:ascii="Calibri" w:hAnsi="Calibri"/>
          <w:b/>
          <w:color w:val="1F4E79"/>
          <w:sz w:val="20"/>
        </w:rPr>
        <w:t xml:space="preserve">FR-015  </w:t>
      </w:r>
      <w:r>
        <w:rPr>
          <w:rFonts w:ascii="Calibri" w:hAnsi="Calibri"/>
          <w:b/>
          <w:sz w:val="20"/>
        </w:rPr>
        <w:t>Stop in the middle of a set and resume days later without being asked anything twice</w:t>
      </w:r>
      <w:bookmarkEnd w:id="5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0" w:name="FR_016"/>
      <w:r>
        <w:rPr>
          <w:rFonts w:ascii="Calibri" w:hAnsi="Calibri"/>
          <w:b/>
          <w:color w:val="1F4E79"/>
          <w:sz w:val="20"/>
        </w:rPr>
        <w:t xml:space="preserve">FR-016  </w:t>
      </w:r>
      <w:r>
        <w:rPr>
          <w:rFonts w:ascii="Calibri" w:hAnsi="Calibri"/>
          <w:b/>
          <w:sz w:val="20"/>
        </w:rPr>
        <w:t>Refute a grading finding by pointing at the document, and have it withdrawn</w:t>
      </w:r>
      <w:bookmarkEnd w:id="6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61" w:name="FR_017"/>
      <w:r>
        <w:rPr>
          <w:rFonts w:ascii="Calibri" w:hAnsi="Calibri"/>
          <w:b/>
          <w:color w:val="1F4E79"/>
          <w:sz w:val="20"/>
        </w:rPr>
        <w:t>FR-017</w:t>
      </w:r>
      <w:bookmarkEnd w:id="6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2" w:name="FR_018"/>
      <w:r>
        <w:rPr>
          <w:rFonts w:ascii="Calibri" w:hAnsi="Calibri"/>
          <w:b/>
          <w:color w:val="1F4E79"/>
          <w:sz w:val="20"/>
        </w:rPr>
        <w:t xml:space="preserve">FR-018  </w:t>
      </w:r>
      <w:r>
        <w:rPr>
          <w:rFonts w:ascii="Calibri" w:hAnsi="Calibri"/>
          <w:b/>
          <w:sz w:val="20"/>
        </w:rPr>
        <w:t>See the set as it now stands after it was changed outside the view in front of them</w:t>
      </w:r>
      <w:bookmarkEnd w:id="6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3" w:name="FR_019"/>
      <w:r>
        <w:rPr>
          <w:rFonts w:ascii="Calibri" w:hAnsi="Calibri"/>
          <w:b/>
          <w:color w:val="1F4E79"/>
          <w:sz w:val="20"/>
        </w:rPr>
        <w:t xml:space="preserve">FR-019  </w:t>
      </w:r>
      <w:r>
        <w:rPr>
          <w:rFonts w:ascii="Calibri" w:hAnsi="Calibri"/>
          <w:b/>
          <w:sz w:val="20"/>
        </w:rPr>
        <w:t>Stop being asked once the section would already meet the gate</w:t>
      </w:r>
      <w:bookmarkEnd w:id="6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64" w:name="FR_020"/>
      <w:r>
        <w:rPr>
          <w:rFonts w:ascii="Calibri" w:hAnsi="Calibri"/>
          <w:b/>
          <w:color w:val="1F4E79"/>
          <w:sz w:val="20"/>
        </w:rPr>
        <w:t xml:space="preserve">FR-020  </w:t>
      </w:r>
      <w:r>
        <w:rPr>
          <w:rFonts w:ascii="Calibri" w:hAnsi="Calibri"/>
          <w:b/>
          <w:sz w:val="20"/>
        </w:rPr>
        <w:t>Be told when the set states one item two different ways</w:t>
      </w:r>
      <w:bookmarkEnd w:id="6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65" w:name="FR_021"/>
      <w:r>
        <w:rPr>
          <w:rFonts w:ascii="Calibri" w:hAnsi="Calibri"/>
          <w:b/>
          <w:color w:val="1F4E79"/>
          <w:sz w:val="20"/>
        </w:rPr>
        <w:t xml:space="preserve">FR-021  </w:t>
      </w:r>
      <w:r>
        <w:rPr>
          <w:rFonts w:ascii="Calibri" w:hAnsi="Calibri"/>
          <w:b/>
          <w:sz w:val="20"/>
        </w:rPr>
        <w:t>Name each approver of a set, by name and role, before offering it for approval</w:t>
      </w:r>
      <w:bookmarkEnd w:id="6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set records who will approve it, and nobody else's decision counts as an approval.</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the expert is about to offer for approval, when they name an approver, then the set records that approver's name and role, and the root document shows them.</w:t>
            </w:r>
          </w:p>
          <w:p>
            <w:pPr>
              <w:spacing w:after="40"/>
              <w:ind w:left="173"/>
            </w:pPr>
            <w:r>
              <w:rPr>
                <w:rFonts w:ascii="Georgia" w:hAnsi="Georgia"/>
                <w:sz w:val="19"/>
              </w:rPr>
              <w:t>• Given a set with no approver named, when the expert asks to offer it for approval, then it is not offered, and they are told an approver must be named first.</w:t>
            </w:r>
          </w:p>
          <w:p>
            <w:pPr>
              <w:spacing w:after="40"/>
              <w:ind w:left="173"/>
            </w:pPr>
            <w:r>
              <w:rPr>
                <w:rFonts w:ascii="Georgia" w:hAnsi="Georgia"/>
                <w:sz w:val="19"/>
              </w:rPr>
              <w:t>• Given a decision from someone the set does not name as an approver, when the expert records it, then it is not recorded as an approval.</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6" w:name="FR_022"/>
      <w:r>
        <w:rPr>
          <w:rFonts w:ascii="Calibri" w:hAnsi="Calibri"/>
          <w:b/>
          <w:color w:val="1F4E79"/>
          <w:sz w:val="20"/>
        </w:rPr>
        <w:t>FR-022</w:t>
      </w:r>
      <w:bookmarkEnd w:id="6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Comment on an exported copy of the set without using the product, and see each comment answered in the next copy</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 sponsor who never opens the product has a response to every comment, recorded as accepted, declined, or answered, and reads the response and what changed in the next copy.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sponsor who comments on an item in an exported copy, when the expert brings the copy's comments into the set, then each comment is recorded against that item with the sponsor's name, the date, and the text they marked.</w:t>
            </w:r>
          </w:p>
          <w:p>
            <w:pPr>
              <w:spacing w:after="40"/>
              <w:ind w:left="173"/>
            </w:pPr>
            <w:r>
              <w:rPr>
                <w:rFonts w:ascii="Georgia" w:hAnsi="Georgia"/>
                <w:sz w:val="19"/>
              </w:rPr>
              <w:t>• Given a copy whose comments were already brought in, when the expert brings it in again, then no comment is recorded twice.</w:t>
            </w:r>
          </w:p>
          <w:p>
            <w:pPr>
              <w:spacing w:after="40"/>
              <w:ind w:left="173"/>
            </w:pPr>
            <w:r>
              <w:rPr>
                <w:rFonts w:ascii="Georgia" w:hAnsi="Georgia"/>
                <w:sz w:val="19"/>
              </w:rPr>
              <w:t>• Given a comment that marks no text, when the expert brings the copy's comments into the set, then it is recorded against the section it sits in.</w:t>
            </w:r>
          </w:p>
          <w:p>
            <w:pPr>
              <w:spacing w:after="40"/>
              <w:ind w:left="173"/>
            </w:pPr>
            <w:r>
              <w:rPr>
                <w:rFonts w:ascii="Georgia" w:hAnsi="Georgia"/>
                <w:sz w:val="19"/>
              </w:rPr>
              <w:t>• Given a sponsor who approves while a comment has no response, when the expert records the approval, then each such comment is recorded as a condition on it, with the comment's id and a date.</w:t>
            </w:r>
          </w:p>
          <w:p>
            <w:pPr>
              <w:spacing w:after="40"/>
              <w:ind w:left="173"/>
            </w:pPr>
            <w:r>
              <w:rPr>
                <w:rFonts w:ascii="Georgia" w:hAnsi="Georgia"/>
                <w:sz w:val="19"/>
              </w:rPr>
              <w:t>• Given a comment the expert responded to, when the sponsor reads the next exported copy, then they see the comment, its status, the response, and the ids it changed.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bookmarkStart w:id="67" w:name="prd_forge_wireframes"/>
      <w:r>
        <w:t>Wireframes</w:t>
      </w:r>
      <w:bookmarkEnd w:id="67"/>
    </w:p>
    <w:p>
      <w:pPr>
        <w:spacing w:after="240"/>
      </w:pPr>
      <w:r>
        <w:rPr>
          <w:rFonts w:ascii="Calibri" w:hAnsi="Calibri"/>
          <w:b/>
          <w:caps/>
          <w:color w:val="5C6370"/>
          <w:sz w:val="15"/>
        </w:rPr>
        <w:t>draft · 91/100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A third, the answered review comments, is what the sponsor reads in the next exported copy.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5" name="Picture 25"/>
            <wp:cNvGraphicFramePr>
              <a:graphicFrameLocks noChangeAspect="1"/>
            </wp:cNvGraphicFramePr>
            <a:graphic>
              <a:graphicData uri="http://schemas.openxmlformats.org/drawingml/2006/picture">
                <pic:pic>
                  <pic:nvPicPr>
                    <pic:cNvPr id="0" name="WF-001.png"/>
                    <pic:cNvPicPr/>
                  </pic:nvPicPr>
                  <pic:blipFill>
                    <a:blip r:embed="rId29"/>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6" name="Picture 26"/>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7" name="Picture 27"/>
            <wp:cNvGraphicFramePr>
              <a:graphicFrameLocks noChangeAspect="1"/>
            </wp:cNvGraphicFramePr>
            <a:graphic>
              <a:graphicData uri="http://schemas.openxmlformats.org/drawingml/2006/picture">
                <pic:pic>
                  <pic:nvPicPr>
                    <pic:cNvPr id="0" name="WF-003.png"/>
                    <pic:cNvPicPr/>
                  </pic:nvPicPr>
                  <pic:blipFill>
                    <a:blip r:embed="rId31"/>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8" name="Picture 28"/>
            <wp:cNvGraphicFramePr>
              <a:graphicFrameLocks noChangeAspect="1"/>
            </wp:cNvGraphicFramePr>
            <a:graphic>
              <a:graphicData uri="http://schemas.openxmlformats.org/drawingml/2006/picture">
                <pic:pic>
                  <pic:nvPicPr>
                    <pic:cNvPr id="0" name="WF-004.png"/>
                    <pic:cNvPicPr/>
                  </pic:nvPicPr>
                  <pic:blipFill>
                    <a:blip r:embed="rId32"/>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9" name="Picture 29"/>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30" name="Picture 30"/>
            <wp:cNvGraphicFramePr>
              <a:graphicFrameLocks noChangeAspect="1"/>
            </wp:cNvGraphicFramePr>
            <a:graphic>
              <a:graphicData uri="http://schemas.openxmlformats.org/drawingml/2006/picture">
                <pic:pic>
                  <pic:nvPicPr>
                    <pic:cNvPr id="0" name="WF-006.png"/>
                    <pic:cNvPicPr/>
                  </pic:nvPicPr>
                  <pic:blipFill>
                    <a:blip r:embed="rId30"/>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1" name="Picture 31"/>
            <wp:cNvGraphicFramePr>
              <a:graphicFrameLocks noChangeAspect="1"/>
            </wp:cNvGraphicFramePr>
            <a:graphic>
              <a:graphicData uri="http://schemas.openxmlformats.org/drawingml/2006/picture">
                <pic:pic>
                  <pic:nvPicPr>
                    <pic:cNvPr id="0" name="WF-007.png"/>
                    <pic:cNvPicPr/>
                  </pic:nvPicPr>
                  <pic:blipFill>
                    <a:blip r:embed="rId27"/>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2" name="Picture 32"/>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buildability review that finds work missing: two release-line stages have no must requirement behind them. The gaps are named first, before anything else in the buildability review.</w:t>
      </w:r>
    </w:p>
    <w:p>
      <w:pPr>
        <w:jc w:val="center"/>
      </w:pPr>
      <w:r>
        <w:drawing>
          <wp:inline xmlns:a="http://schemas.openxmlformats.org/drawingml/2006/main" xmlns:pic="http://schemas.openxmlformats.org/drawingml/2006/picture">
            <wp:extent cx="4533900" cy="2273300"/>
            <wp:docPr id="33" name="Picture 33"/>
            <wp:cNvGraphicFramePr>
              <a:graphicFrameLocks noChangeAspect="1"/>
            </wp:cNvGraphicFramePr>
            <a:graphic>
              <a:graphicData uri="http://schemas.openxmlformats.org/drawingml/2006/picture">
                <pic:pic>
                  <pic:nvPicPr>
                    <pic:cNvPr id="0" name="WF-009.png"/>
                    <pic:cNvPicPr/>
                  </pic:nvPicPr>
                  <pic:blipFill>
                    <a:blip r:embed="rId23"/>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4" name="Picture 34"/>
            <wp:cNvGraphicFramePr>
              <a:graphicFrameLocks noChangeAspect="1"/>
            </wp:cNvGraphicFramePr>
            <a:graphic>
              <a:graphicData uri="http://schemas.openxmlformats.org/drawingml/2006/picture">
                <pic:pic>
                  <pic:nvPicPr>
                    <pic:cNvPr id="0" name="WF-010.png"/>
                    <pic:cNvPicPr/>
                  </pic:nvPicPr>
                  <pic:blipFill>
                    <a:blip r:embed="rId18"/>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pStyle w:val="Heading3"/>
      </w:pPr>
      <w:r>
        <w:t>WF-011 Review comments answered in the next exported copy</w:t>
      </w:r>
    </w:p>
    <w:p>
      <w:r>
        <w:rPr>
          <w:rFonts w:ascii="Georgia" w:hAnsi="Georgia"/>
        </w:rPr>
        <w:t>Illustration, not a design. Illustrates FR-022. PER-003 sees it at ST-006.</w:t>
      </w:r>
    </w:p>
    <w:p>
      <w:r>
        <w:rPr>
          <w:rFonts w:ascii="Georgia" w:hAnsi="Georgia"/>
        </w:rPr>
        <w:t>The sponsor commented on an earlier copy, and this is the copy they read next. Each marked text is the item's own wording. The comments, responses, and dates are invented, to show the form.</w:t>
      </w:r>
    </w:p>
    <w:p>
      <w:pPr>
        <w:jc w:val="center"/>
      </w:pPr>
      <w:r>
        <w:drawing>
          <wp:inline xmlns:a="http://schemas.openxmlformats.org/drawingml/2006/main" xmlns:pic="http://schemas.openxmlformats.org/drawingml/2006/picture">
            <wp:extent cx="5486400" cy="3086804"/>
            <wp:docPr id="35" name="Picture 35"/>
            <wp:cNvGraphicFramePr>
              <a:graphicFrameLocks noChangeAspect="1"/>
            </wp:cNvGraphicFramePr>
            <a:graphic>
              <a:graphicData uri="http://schemas.openxmlformats.org/drawingml/2006/picture">
                <pic:pic>
                  <pic:nvPicPr>
                    <pic:cNvPr id="0" name="WF-011.png"/>
                    <pic:cNvPicPr/>
                  </pic:nvPicPr>
                  <pic:blipFill>
                    <a:blip r:embed="rId33"/>
                    <a:stretch>
                      <a:fillRect/>
                    </a:stretch>
                  </pic:blipFill>
                  <pic:spPr>
                    <a:xfrm>
                      <a:off x="0" y="0"/>
                      <a:ext cx="5486400" cy="3086804"/>
                    </a:xfrm>
                    <a:prstGeom prst="rect"/>
                  </pic:spPr>
                </pic:pic>
              </a:graphicData>
            </a:graphic>
          </wp:inline>
        </w:drawing>
      </w:r>
    </w:p>
    <w:p>
      <w:pPr>
        <w:spacing w:after="200"/>
        <w:jc w:val="center"/>
      </w:pPr>
      <w:r>
        <w:rPr>
          <w:rFonts w:ascii="Georgia" w:hAnsi="Georgia"/>
          <w:color w:val="5C6370"/>
          <w:sz w:val="16"/>
        </w:rPr>
        <w:t>WF-011 drawing</w:t>
      </w:r>
    </w:p>
    <w:p>
      <w:pPr>
        <w:keepNext/>
        <w:spacing w:before="220" w:after="60"/>
        <w:ind w:left="115"/>
        <w:pBdr>
          <w:left w:val="single" w:sz="18" w:space="0" w:color="1F4E79"/>
        </w:pBdr>
      </w:pPr>
      <w:bookmarkStart w:id="68" w:name="WF_001"/>
      <w:r>
        <w:rPr>
          <w:rFonts w:ascii="Calibri" w:hAnsi="Calibri"/>
          <w:b/>
          <w:color w:val="1F4E79"/>
          <w:sz w:val="20"/>
        </w:rPr>
        <w:t xml:space="preserve">WF-001  </w:t>
      </w:r>
      <w:r>
        <w:rPr>
          <w:rFonts w:ascii="Calibri" w:hAnsi="Calibri"/>
          <w:b/>
          <w:sz w:val="20"/>
        </w:rPr>
        <w:t>The set with one section open</w:t>
      </w:r>
      <w:bookmarkEnd w:id="6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bookmarkStart w:id="69" w:name="WF_002"/>
      <w:r>
        <w:rPr>
          <w:rFonts w:ascii="Calibri" w:hAnsi="Calibri"/>
          <w:b/>
          <w:color w:val="1F4E79"/>
          <w:sz w:val="20"/>
        </w:rPr>
        <w:t xml:space="preserve">WF-002  </w:t>
      </w:r>
      <w:r>
        <w:rPr>
          <w:rFonts w:ascii="Calibri" w:hAnsi="Calibri"/>
          <w:b/>
          <w:sz w:val="20"/>
        </w:rPr>
        <w:t>A new set, before the first interview</w:t>
      </w:r>
      <w:bookmarkEnd w:id="6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bookmarkStart w:id="70" w:name="WF_003"/>
      <w:r>
        <w:rPr>
          <w:rFonts w:ascii="Calibri" w:hAnsi="Calibri"/>
          <w:b/>
          <w:color w:val="1F4E79"/>
          <w:sz w:val="20"/>
        </w:rPr>
        <w:t xml:space="preserve">WF-003  </w:t>
      </w:r>
      <w:r>
        <w:rPr>
          <w:rFonts w:ascii="Calibri" w:hAnsi="Calibri"/>
          <w:b/>
          <w:sz w:val="20"/>
        </w:rPr>
        <w:t>Why a section got its grade</w:t>
      </w:r>
      <w:bookmarkEnd w:id="7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bookmarkStart w:id="71" w:name="WF_004"/>
      <w:r>
        <w:rPr>
          <w:rFonts w:ascii="Calibri" w:hAnsi="Calibri"/>
          <w:b/>
          <w:color w:val="1F4E79"/>
          <w:sz w:val="20"/>
        </w:rPr>
        <w:t xml:space="preserve">WF-004  </w:t>
      </w:r>
      <w:r>
        <w:rPr>
          <w:rFonts w:ascii="Calibri" w:hAnsi="Calibri"/>
          <w:b/>
          <w:sz w:val="20"/>
        </w:rPr>
        <w:t>The standard a section is graded against</w:t>
      </w:r>
      <w:bookmarkEnd w:id="7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bookmarkStart w:id="72" w:name="WF_005"/>
      <w:r>
        <w:rPr>
          <w:rFonts w:ascii="Calibri" w:hAnsi="Calibri"/>
          <w:b/>
          <w:color w:val="1F4E79"/>
          <w:sz w:val="20"/>
        </w:rPr>
        <w:t xml:space="preserve">WF-005  </w:t>
      </w:r>
      <w:r>
        <w:rPr>
          <w:rFonts w:ascii="Calibri" w:hAnsi="Calibri"/>
          <w:b/>
          <w:sz w:val="20"/>
        </w:rPr>
        <w:t>What a team could not build from this set</w:t>
      </w:r>
      <w:bookmarkEnd w:id="7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the buildability review read,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buildability review would ask for first</w:t>
            </w:r>
          </w:p>
        </w:tc>
      </w:tr>
    </w:tbl>
    <w:p>
      <w:pPr>
        <w:spacing w:after="40"/>
      </w:pPr>
    </w:p>
    <w:p>
      <w:pPr>
        <w:keepNext/>
        <w:spacing w:before="220" w:after="60"/>
        <w:ind w:left="115"/>
        <w:pBdr>
          <w:left w:val="single" w:sz="18" w:space="0" w:color="1F4E79"/>
        </w:pBdr>
      </w:pPr>
      <w:bookmarkStart w:id="73" w:name="WF_006"/>
      <w:r>
        <w:rPr>
          <w:rFonts w:ascii="Calibri" w:hAnsi="Calibri"/>
          <w:b/>
          <w:color w:val="1F4E79"/>
          <w:sz w:val="20"/>
        </w:rPr>
        <w:t xml:space="preserve">WF-006  </w:t>
      </w:r>
      <w:r>
        <w:rPr>
          <w:rFonts w:ascii="Calibri" w:hAnsi="Calibri"/>
          <w:b/>
          <w:sz w:val="20"/>
        </w:rPr>
        <w:t>What the approver is asked to approve</w:t>
      </w:r>
      <w:bookmarkEnd w:id="7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bookmarkStart w:id="74" w:name="WF_007"/>
      <w:r>
        <w:rPr>
          <w:rFonts w:ascii="Calibri" w:hAnsi="Calibri"/>
          <w:b/>
          <w:color w:val="1F4E79"/>
          <w:sz w:val="20"/>
        </w:rPr>
        <w:t xml:space="preserve">WF-007  </w:t>
      </w:r>
      <w:r>
        <w:rPr>
          <w:rFonts w:ascii="Calibri" w:hAnsi="Calibri"/>
          <w:b/>
          <w:sz w:val="20"/>
        </w:rPr>
        <w:t>Before any set exists</w:t>
      </w:r>
      <w:bookmarkEnd w:id="7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bookmarkStart w:id="75" w:name="WF_008"/>
      <w:r>
        <w:rPr>
          <w:rFonts w:ascii="Calibri" w:hAnsi="Calibri"/>
          <w:b/>
          <w:color w:val="1F4E79"/>
          <w:sz w:val="20"/>
        </w:rPr>
        <w:t xml:space="preserve">WF-008  </w:t>
      </w:r>
      <w:r>
        <w:rPr>
          <w:rFonts w:ascii="Calibri" w:hAnsi="Calibri"/>
          <w:b/>
          <w:sz w:val="20"/>
        </w:rPr>
        <w:t>A section re-graded after one answer</w:t>
      </w:r>
      <w:bookmarkEnd w:id="7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bookmarkStart w:id="76" w:name="WF_009"/>
      <w:r>
        <w:rPr>
          <w:rFonts w:ascii="Calibri" w:hAnsi="Calibri"/>
          <w:b/>
          <w:color w:val="1F4E79"/>
          <w:sz w:val="20"/>
        </w:rPr>
        <w:t xml:space="preserve">WF-009  </w:t>
      </w:r>
      <w:r>
        <w:rPr>
          <w:rFonts w:ascii="Calibri" w:hAnsi="Calibri"/>
          <w:b/>
          <w:sz w:val="20"/>
        </w:rPr>
        <w:t>A buildability review that finds gaps</w:t>
      </w:r>
      <w:bookmarkEnd w:id="7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bookmarkStart w:id="77" w:name="WF_010"/>
      <w:r>
        <w:rPr>
          <w:rFonts w:ascii="Calibri" w:hAnsi="Calibri"/>
          <w:b/>
          <w:color w:val="1F4E79"/>
          <w:sz w:val="20"/>
        </w:rPr>
        <w:t xml:space="preserve">WF-010  </w:t>
      </w:r>
      <w:r>
        <w:rPr>
          <w:rFonts w:ascii="Calibri" w:hAnsi="Calibri"/>
          <w:b/>
          <w:sz w:val="20"/>
        </w:rPr>
        <w:t>Resuming a set after a week away</w:t>
      </w:r>
      <w:bookmarkEnd w:id="7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pPr>
        <w:keepNext/>
        <w:spacing w:before="220" w:after="60"/>
        <w:ind w:left="115"/>
        <w:pBdr>
          <w:left w:val="single" w:sz="18" w:space="0" w:color="1F4E79"/>
        </w:pBdr>
      </w:pPr>
      <w:bookmarkStart w:id="78" w:name="WF_011"/>
      <w:r>
        <w:rPr>
          <w:rFonts w:ascii="Calibri" w:hAnsi="Calibri"/>
          <w:b/>
          <w:color w:val="1F4E79"/>
          <w:sz w:val="20"/>
        </w:rPr>
        <w:t xml:space="preserve">WF-011  </w:t>
      </w:r>
      <w:r>
        <w:rPr>
          <w:rFonts w:ascii="Calibri" w:hAnsi="Calibri"/>
          <w:b/>
          <w:sz w:val="20"/>
        </w:rPr>
        <w:t>Review comments answered in the next exported copy</w:t>
      </w:r>
      <w:bookmarkEnd w:id="7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FR-022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comments, together in the copy</w:t>
            </w:r>
          </w:p>
          <w:p>
            <w:pPr>
              <w:spacing w:after="40"/>
              <w:ind w:left="173"/>
            </w:pPr>
            <w:r>
              <w:rPr>
                <w:rFonts w:ascii="Georgia" w:hAnsi="Georgia"/>
                <w:sz w:val="19"/>
              </w:rPr>
              <w:t>• Each comment, with what it is about, who left it, when, and the text they marked</w:t>
            </w:r>
          </w:p>
          <w:p>
            <w:pPr>
              <w:spacing w:after="40"/>
              <w:ind w:left="173"/>
            </w:pPr>
            <w:r>
              <w:rPr>
                <w:rFonts w:ascii="Georgia" w:hAnsi="Georgia"/>
                <w:sz w:val="19"/>
              </w:rPr>
              <w:t>• Its status, accepted, declined, or answered</w:t>
            </w:r>
          </w:p>
          <w:p>
            <w:pPr>
              <w:spacing w:after="40"/>
              <w:ind w:left="173"/>
            </w:pPr>
            <w:r>
              <w:rPr>
                <w:rFonts w:ascii="Georgia" w:hAnsi="Georgia"/>
                <w:sz w:val="19"/>
              </w:rPr>
              <w:t>• The response, and what changed because of it</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bookmarkStart w:id="79" w:name="prd_forge_nonfunctional_requirements"/>
      <w:r>
        <w:t>Non-functional requirements</w:t>
      </w:r>
      <w:bookmarkEnd w:id="79"/>
    </w:p>
    <w:p>
      <w:pPr>
        <w:spacing w:after="240"/>
      </w:pPr>
      <w:r>
        <w:rPr>
          <w:rFonts w:ascii="Calibri" w:hAnsi="Calibri"/>
          <w:b/>
          <w:caps/>
          <w:color w:val="5C6370"/>
          <w:sz w:val="15"/>
        </w:rPr>
        <w:t>draft · 86/100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the session, not the product, carries simultaneous users;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session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 for NFR-006 and Q-021 for NFR-012.</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bookmarkStart w:id="80" w:name="NFR_001"/>
      <w:r>
        <w:rPr>
          <w:rFonts w:ascii="Calibri" w:hAnsi="Calibri"/>
          <w:b/>
          <w:color w:val="1F4E79"/>
          <w:sz w:val="20"/>
        </w:rPr>
        <w:t>NFR-001</w:t>
      </w:r>
      <w:bookmarkEnd w:id="8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bookmarkStart w:id="81" w:name="NFR_002"/>
      <w:r>
        <w:rPr>
          <w:rFonts w:ascii="Calibri" w:hAnsi="Calibri"/>
          <w:b/>
          <w:color w:val="1F4E79"/>
          <w:sz w:val="20"/>
        </w:rPr>
        <w:t xml:space="preserve">NFR-002  </w:t>
      </w:r>
      <w:r>
        <w:rPr>
          <w:rFonts w:ascii="Calibri" w:hAnsi="Calibri"/>
          <w:b/>
          <w:sz w:val="20"/>
        </w:rPr>
        <w:t>A grading pass does not make the expert wait so long that they stop asking for one.</w:t>
      </w:r>
      <w:bookmarkEnd w:id="8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bookmarkStart w:id="82" w:name="NFR_003"/>
      <w:r>
        <w:rPr>
          <w:rFonts w:ascii="Calibri" w:hAnsi="Calibri"/>
          <w:b/>
          <w:color w:val="1F4E79"/>
          <w:sz w:val="20"/>
        </w:rPr>
        <w:t xml:space="preserve">NFR-003  </w:t>
      </w:r>
      <w:r>
        <w:rPr>
          <w:rFonts w:ascii="Calibri" w:hAnsi="Calibri"/>
          <w:b/>
          <w:sz w:val="20"/>
        </w:rPr>
        <w:t>A set stays workable at the size real products reach.</w:t>
      </w:r>
      <w:bookmarkEnd w:id="8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meets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3" w:name="NFR_004"/>
      <w:r>
        <w:rPr>
          <w:rFonts w:ascii="Calibri" w:hAnsi="Calibri"/>
          <w:b/>
          <w:color w:val="1F4E79"/>
          <w:sz w:val="20"/>
        </w:rPr>
        <w:t xml:space="preserve">NFR-004  </w:t>
      </w:r>
      <w:r>
        <w:rPr>
          <w:rFonts w:ascii="Calibri" w:hAnsi="Calibri"/>
          <w:b/>
          <w:sz w:val="20"/>
        </w:rPr>
        <w:t>Work survives the expert stopping, and survives the tool they were using going away.</w:t>
      </w:r>
      <w:bookmarkEnd w:id="8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bookmarkStart w:id="84" w:name="NFR_005"/>
      <w:r>
        <w:rPr>
          <w:rFonts w:ascii="Calibri" w:hAnsi="Calibri"/>
          <w:b/>
          <w:color w:val="1F4E79"/>
          <w:sz w:val="20"/>
        </w:rPr>
        <w:t>NFR-005</w:t>
      </w:r>
      <w:bookmarkEnd w:id="8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sittings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5" w:name="NFR_006"/>
      <w:r>
        <w:rPr>
          <w:rFonts w:ascii="Calibri" w:hAnsi="Calibri"/>
          <w:b/>
          <w:color w:val="1F4E79"/>
          <w:sz w:val="20"/>
        </w:rPr>
        <w:t>NFR-006</w:t>
      </w:r>
      <w:bookmarkEnd w:id="8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6" w:name="NFR_007"/>
      <w:r>
        <w:rPr>
          <w:rFonts w:ascii="Calibri" w:hAnsi="Calibri"/>
          <w:b/>
          <w:color w:val="1F4E79"/>
          <w:sz w:val="20"/>
        </w:rPr>
        <w:t xml:space="preserve">NFR-007  </w:t>
      </w:r>
      <w:r>
        <w:rPr>
          <w:rFonts w:ascii="Calibri" w:hAnsi="Calibri"/>
          <w:b/>
          <w:sz w:val="20"/>
        </w:rPr>
        <w:t>An expert can tell why a section received the score it did, after the fact.</w:t>
      </w:r>
      <w:bookmarkEnd w:id="8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bookmarkStart w:id="87" w:name="NFR_008"/>
      <w:r>
        <w:rPr>
          <w:rFonts w:ascii="Calibri" w:hAnsi="Calibri"/>
          <w:b/>
          <w:color w:val="1F4E79"/>
          <w:sz w:val="20"/>
        </w:rPr>
        <w:t>NFR-008</w:t>
      </w:r>
      <w:bookmarkEnd w:id="8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8" w:name="NFR_009"/>
      <w:r>
        <w:rPr>
          <w:rFonts w:ascii="Calibri" w:hAnsi="Calibri"/>
          <w:b/>
          <w:color w:val="1F4E79"/>
          <w:sz w:val="20"/>
        </w:rPr>
        <w:t xml:space="preserve">NFR-009  </w:t>
      </w:r>
      <w:r>
        <w:rPr>
          <w:rFonts w:ascii="Calibri" w:hAnsi="Calibri"/>
          <w:b/>
          <w:sz w:val="20"/>
        </w:rPr>
        <w:t>A set written by an earlier version is still readable and still gradable by a later one.</w:t>
      </w:r>
      <w:bookmarkEnd w:id="8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bookmarkStart w:id="89" w:name="NFR_010"/>
      <w:r>
        <w:rPr>
          <w:rFonts w:ascii="Calibri" w:hAnsi="Calibri"/>
          <w:b/>
          <w:color w:val="1F4E79"/>
          <w:sz w:val="20"/>
        </w:rPr>
        <w:t>NFR-010</w:t>
      </w:r>
      <w:bookmarkEnd w:id="8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bookmarkStart w:id="90" w:name="NFR_011"/>
      <w:r>
        <w:rPr>
          <w:rFonts w:ascii="Calibri" w:hAnsi="Calibri"/>
          <w:b/>
          <w:color w:val="1F4E79"/>
          <w:sz w:val="20"/>
        </w:rPr>
        <w:t>NFR-011</w:t>
      </w:r>
      <w:bookmarkEnd w:id="9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bookmarkStart w:id="91" w:name="NFR_012"/>
      <w:r>
        <w:rPr>
          <w:rFonts w:ascii="Calibri" w:hAnsi="Calibri"/>
          <w:b/>
          <w:color w:val="1F4E79"/>
          <w:sz w:val="20"/>
        </w:rPr>
        <w:t>NFR-012</w:t>
      </w:r>
      <w:bookmarkEnd w:id="9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bookmarkStart w:id="92" w:name="prd_forge_constraints"/>
      <w:r>
        <w:t>Constraints</w:t>
      </w:r>
      <w:bookmarkEnd w:id="92"/>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bookmarkStart w:id="93" w:name="prd_forge_decision_rights"/>
      <w:r>
        <w:t>Decision rights and trust rules</w:t>
      </w:r>
      <w:bookmarkEnd w:id="93"/>
    </w:p>
    <w:p>
      <w:pPr>
        <w:spacing w:after="240"/>
      </w:pPr>
      <w:r>
        <w:rPr>
          <w:rFonts w:ascii="Calibri" w:hAnsi="Calibri"/>
          <w:b/>
          <w:caps/>
          <w:color w:val="5C6370"/>
          <w:sz w:val="15"/>
        </w:rPr>
        <w:t>draft · 91/100 · no blocking defects</w:t>
      </w:r>
    </w:p>
    <w:p>
      <w:pPr>
        <w:jc w:val="center"/>
      </w:pPr>
      <w:r>
        <w:drawing>
          <wp:inline xmlns:a="http://schemas.openxmlformats.org/drawingml/2006/main" xmlns:pic="http://schemas.openxmlformats.org/drawingml/2006/picture">
            <wp:extent cx="4186120" cy="7315200"/>
            <wp:docPr id="36" name="Picture 36"/>
            <wp:cNvGraphicFramePr>
              <a:graphicFrameLocks noChangeAspect="1"/>
            </wp:cNvGraphicFramePr>
            <a:graphic>
              <a:graphicData uri="http://schemas.openxmlformats.org/drawingml/2006/picture">
                <pic:pic>
                  <pic:nvPicPr>
                    <pic:cNvPr id="0" name="decision-rights.png"/>
                    <pic:cNvPicPr/>
                  </pic:nvPicPr>
                  <pic:blipFill>
                    <a:blip r:embed="rId34"/>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4"/>
        <w:gridCol w:w="2861"/>
        <w:gridCol w:w="1220"/>
        <w:gridCol w:w="1642"/>
        <w:gridCol w:w="1596"/>
      </w:tblGrid>
      <w:tr>
        <w:tc>
          <w:tcPr>
            <w:tcW w:type="dxa" w:w="1174"/>
            <w:tcBorders>
              <w:bottom w:val="single" w:sz="12" w:space="4" w:color="16181D"/>
            </w:tcBorders>
          </w:tcPr>
          <w:p>
            <w:pPr>
              <w:spacing w:after="60"/>
            </w:pPr>
            <w:r/>
            <w:r>
              <w:rPr>
                <w:rFonts w:ascii="Calibri" w:hAnsi="Calibri"/>
                <w:b/>
                <w:caps/>
                <w:color w:val="5C6370"/>
                <w:sz w:val="15"/>
              </w:rPr>
              <w:t>ID</w:t>
            </w:r>
          </w:p>
        </w:tc>
        <w:tc>
          <w:tcPr>
            <w:tcW w:type="dxa" w:w="2862"/>
            <w:tcBorders>
              <w:bottom w:val="single" w:sz="12" w:space="4" w:color="16181D"/>
            </w:tcBorders>
          </w:tcPr>
          <w:p>
            <w:pPr>
              <w:spacing w:after="60"/>
            </w:pPr>
            <w:r/>
            <w:r>
              <w:rPr>
                <w:rFonts w:ascii="Calibri" w:hAnsi="Calibri"/>
                <w:b/>
                <w:caps/>
                <w:color w:val="5C6370"/>
                <w:sz w:val="15"/>
              </w:rPr>
              <w:t>Decision</w:t>
            </w:r>
          </w:p>
        </w:tc>
        <w:tc>
          <w:tcPr>
            <w:tcW w:type="dxa" w:w="1221"/>
            <w:tcBorders>
              <w:bottom w:val="single" w:sz="12" w:space="4" w:color="16181D"/>
            </w:tcBorders>
          </w:tcPr>
          <w:p>
            <w:pPr>
              <w:spacing w:after="60"/>
            </w:pPr>
            <w:r/>
            <w:r>
              <w:rPr>
                <w:rFonts w:ascii="Calibri" w:hAnsi="Calibri"/>
                <w:b/>
                <w:caps/>
                <w:color w:val="5C6370"/>
                <w:sz w:val="15"/>
              </w:rPr>
              <w:t>Decider</w:t>
            </w:r>
          </w:p>
        </w:tc>
        <w:tc>
          <w:tcPr>
            <w:tcW w:type="dxa" w:w="1643"/>
            <w:tcBorders>
              <w:bottom w:val="single" w:sz="12" w:space="4" w:color="16181D"/>
            </w:tcBorders>
          </w:tcPr>
          <w:p>
            <w:pPr>
              <w:spacing w:after="60"/>
            </w:pPr>
            <w:r/>
            <w:r>
              <w:rPr>
                <w:rFonts w:ascii="Calibri" w:hAnsi="Calibri"/>
                <w:b/>
                <w:caps/>
                <w:color w:val="5C6370"/>
                <w:sz w:val="15"/>
              </w:rPr>
              <w:t>Agent may decide</w:t>
            </w:r>
          </w:p>
        </w:tc>
        <w:tc>
          <w:tcPr>
            <w:tcW w:type="dxa" w:w="1596"/>
            <w:tcBorders>
              <w:bottom w:val="single" w:sz="12" w:space="4" w:color="16181D"/>
            </w:tcBorders>
          </w:tcPr>
          <w:p>
            <w:pPr>
              <w:spacing w:after="60"/>
            </w:pPr>
            <w:r/>
            <w:r>
              <w:rPr>
                <w:rFonts w:ascii="Calibri" w:hAnsi="Calibri"/>
                <w:b/>
                <w:caps/>
                <w:color w:val="5C6370"/>
                <w:sz w:val="15"/>
              </w:rPr>
              <w:t>Never delegated</w:t>
            </w:r>
          </w:p>
        </w:tc>
      </w:tr>
      <w:tr>
        <w:tc>
          <w:tcPr>
            <w:tcW w:type="dxa" w:w="1174"/>
            <w:tcBorders>
              <w:bottom w:val="single" w:sz="6" w:space="4" w:color="D8DCE3"/>
            </w:tcBorders>
          </w:tcPr>
          <w:p>
            <w:pPr>
              <w:spacing w:after="60"/>
            </w:pPr>
            <w:r/>
            <w:r>
              <w:rPr>
                <w:rFonts w:ascii="Georgia" w:hAnsi="Georgia"/>
                <w:sz w:val="18"/>
              </w:rPr>
              <w:t>TR-001</w:t>
            </w:r>
          </w:p>
        </w:tc>
        <w:tc>
          <w:tcPr>
            <w:tcW w:type="dxa" w:w="2862"/>
            <w:tcBorders>
              <w:bottom w:val="single" w:sz="6" w:space="4" w:color="D8DCE3"/>
            </w:tcBorders>
          </w:tcPr>
          <w:p>
            <w:pPr>
              <w:spacing w:after="60"/>
            </w:pPr>
            <w:r/>
            <w:r>
              <w:rPr>
                <w:rFonts w:ascii="Georgia" w:hAnsi="Georgia"/>
                <w:sz w:val="18"/>
              </w:rPr>
              <w:t>Approve a PRD for a release</w:t>
            </w:r>
          </w:p>
        </w:tc>
        <w:tc>
          <w:tcPr>
            <w:tcW w:type="dxa" w:w="1221"/>
            <w:tcBorders>
              <w:bottom w:val="single" w:sz="6" w:space="4" w:color="D8DCE3"/>
            </w:tcBorders>
          </w:tcPr>
          <w:p>
            <w:pPr>
              <w:spacing w:after="60"/>
            </w:pPr>
            <w:r/>
            <w:r>
              <w:rPr>
                <w:rFonts w:ascii="Georgia" w:hAnsi="Georgia"/>
                <w:sz w:val="18"/>
              </w:rPr>
              <w:t>PER-003</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TR-002</w:t>
            </w:r>
          </w:p>
        </w:tc>
        <w:tc>
          <w:tcPr>
            <w:tcW w:type="dxa" w:w="2862"/>
            <w:tcBorders>
              <w:bottom w:val="single" w:sz="6" w:space="4" w:color="D8DCE3"/>
            </w:tcBorders>
          </w:tcPr>
          <w:p>
            <w:pPr>
              <w:spacing w:after="60"/>
            </w:pPr>
            <w:r/>
            <w:r>
              <w:rPr>
                <w:rFonts w:ascii="Georgia" w:hAnsi="Georgia"/>
                <w:sz w:val="18"/>
              </w:rPr>
              <w:t>Set a section to final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TR-003</w:t>
            </w:r>
          </w:p>
        </w:tc>
        <w:tc>
          <w:tcPr>
            <w:tcW w:type="dxa" w:w="2862"/>
            <w:tcBorders>
              <w:bottom w:val="single" w:sz="6" w:space="4" w:color="D8DCE3"/>
            </w:tcBorders>
          </w:tcPr>
          <w:p>
            <w:pPr>
              <w:spacing w:after="60"/>
            </w:pPr>
            <w:r/>
            <w:r>
              <w:rPr>
                <w:rFonts w:ascii="Georgia" w:hAnsi="Georgia"/>
                <w:sz w:val="18"/>
              </w:rPr>
              <w:t>Produce a section's score and findings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TR-004</w:t>
            </w:r>
          </w:p>
        </w:tc>
        <w:tc>
          <w:tcPr>
            <w:tcW w:type="dxa" w:w="2862"/>
            <w:tcBorders>
              <w:bottom w:val="single" w:sz="6" w:space="4" w:color="D8DCE3"/>
            </w:tcBorders>
          </w:tcPr>
          <w:p>
            <w:pPr>
              <w:spacing w:after="60"/>
            </w:pPr>
            <w:r/>
            <w:r>
              <w:rPr>
                <w:rFonts w:ascii="Georgia" w:hAnsi="Georgia"/>
                <w:sz w:val="18"/>
              </w:rPr>
              <w:t>Decide scope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TR-005</w:t>
            </w:r>
          </w:p>
        </w:tc>
        <w:tc>
          <w:tcPr>
            <w:tcW w:type="dxa" w:w="2862"/>
            <w:tcBorders>
              <w:bottom w:val="single" w:sz="6" w:space="4" w:color="D8DCE3"/>
            </w:tcBorders>
          </w:tcPr>
          <w:p>
            <w:pPr>
              <w:spacing w:after="60"/>
            </w:pPr>
            <w:r/>
            <w:r>
              <w:rPr>
                <w:rFonts w:ascii="Georgia" w:hAnsi="Georgia"/>
                <w:sz w:val="18"/>
              </w:rPr>
              <w:t>State a domain fact as true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TR-006</w:t>
            </w:r>
          </w:p>
        </w:tc>
        <w:tc>
          <w:tcPr>
            <w:tcW w:type="dxa" w:w="2862"/>
            <w:tcBorders>
              <w:bottom w:val="single" w:sz="6" w:space="4" w:color="D8DCE3"/>
            </w:tcBorders>
          </w:tcPr>
          <w:p>
            <w:pPr>
              <w:spacing w:after="60"/>
            </w:pPr>
            <w:r/>
            <w:r>
              <w:rPr>
                <w:rFonts w:ascii="Georgia" w:hAnsi="Georgia"/>
                <w:sz w:val="18"/>
              </w:rPr>
              <w:t>Judge buildability, and report the gaps</w:t>
            </w:r>
          </w:p>
        </w:tc>
        <w:tc>
          <w:tcPr>
            <w:tcW w:type="dxa" w:w="1221"/>
            <w:tcBorders>
              <w:bottom w:val="single" w:sz="6" w:space="4" w:color="D8DCE3"/>
            </w:tcBorders>
          </w:tcPr>
          <w:p>
            <w:pPr>
              <w:spacing w:after="60"/>
            </w:pPr>
            <w:r/>
            <w:r>
              <w:rPr>
                <w:rFonts w:ascii="Georgia" w:hAnsi="Georgia"/>
                <w:sz w:val="18"/>
              </w:rPr>
              <w:t>PER-002</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TR-007</w:t>
            </w:r>
          </w:p>
        </w:tc>
        <w:tc>
          <w:tcPr>
            <w:tcW w:type="dxa" w:w="2862"/>
            <w:tcBorders>
              <w:bottom w:val="single" w:sz="6" w:space="4" w:color="D8DCE3"/>
            </w:tcBorders>
          </w:tcPr>
          <w:p>
            <w:pPr>
              <w:spacing w:after="60"/>
            </w:pPr>
            <w:r/>
            <w:r>
              <w:rPr>
                <w:rFonts w:ascii="Georgia" w:hAnsi="Georgia"/>
                <w:sz w:val="18"/>
              </w:rPr>
              <w:t>Decide the domain's own terms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TR-008</w:t>
            </w:r>
          </w:p>
        </w:tc>
        <w:tc>
          <w:tcPr>
            <w:tcW w:type="dxa" w:w="2862"/>
            <w:tcBorders>
              <w:bottom w:val="single" w:sz="6" w:space="4" w:color="D8DCE3"/>
            </w:tcBorders>
          </w:tcPr>
          <w:p>
            <w:pPr>
              <w:spacing w:after="60"/>
            </w:pPr>
            <w:r/>
            <w:r>
              <w:rPr>
                <w:rFonts w:ascii="Georgia" w:hAnsi="Georgia"/>
                <w:sz w:val="18"/>
              </w:rPr>
              <w:t>Decide a section's interview is finished</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TR-009</w:t>
            </w:r>
          </w:p>
        </w:tc>
        <w:tc>
          <w:tcPr>
            <w:tcW w:type="dxa" w:w="2862"/>
            <w:tcBorders>
              <w:bottom w:val="single" w:sz="6" w:space="4" w:color="D8DCE3"/>
            </w:tcBorders>
          </w:tcPr>
          <w:p>
            <w:pPr>
              <w:spacing w:after="60"/>
            </w:pPr>
            <w:r/>
            <w:r>
              <w:rPr>
                <w:rFonts w:ascii="Georgia" w:hAnsi="Georgia"/>
                <w:sz w:val="18"/>
              </w:rPr>
              <w:t>Decide a section may be left at draft</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TR-010</w:t>
            </w:r>
          </w:p>
        </w:tc>
        <w:tc>
          <w:tcPr>
            <w:tcW w:type="dxa" w:w="2862"/>
            <w:tcBorders>
              <w:bottom w:val="single" w:sz="6" w:space="4" w:color="D8DCE3"/>
            </w:tcBorders>
          </w:tcPr>
          <w:p>
            <w:pPr>
              <w:spacing w:after="60"/>
            </w:pPr>
            <w:r/>
            <w:r>
              <w:rPr>
                <w:rFonts w:ascii="Georgia" w:hAnsi="Georgia"/>
                <w:sz w:val="18"/>
              </w:rPr>
              <w:t>Decide the set may be offered for approval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TR-011</w:t>
            </w:r>
          </w:p>
        </w:tc>
        <w:tc>
          <w:tcPr>
            <w:tcW w:type="dxa" w:w="2862"/>
            <w:tcBorders>
              <w:bottom w:val="single" w:sz="6" w:space="4" w:color="D8DCE3"/>
            </w:tcBorders>
          </w:tcPr>
          <w:p>
            <w:pPr>
              <w:spacing w:after="60"/>
            </w:pPr>
            <w:r/>
            <w:r>
              <w:rPr>
                <w:rFonts w:ascii="Georgia" w:hAnsi="Georgia"/>
                <w:sz w:val="18"/>
              </w:rPr>
              <w:t>Decide a backlog can be mapped</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TR-012</w:t>
            </w:r>
          </w:p>
        </w:tc>
        <w:tc>
          <w:tcPr>
            <w:tcW w:type="dxa" w:w="2862"/>
            <w:tcBorders>
              <w:bottom w:val="single" w:sz="6" w:space="4" w:color="D8DCE3"/>
            </w:tcBorders>
          </w:tcPr>
          <w:p>
            <w:pPr>
              <w:spacing w:after="60"/>
            </w:pPr>
            <w:r/>
            <w:r>
              <w:rPr>
                <w:rFonts w:ascii="Georgia" w:hAnsi="Georgia"/>
                <w:sz w:val="18"/>
              </w:rPr>
              <w:t>Decide which epics come first</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TR-013</w:t>
            </w:r>
          </w:p>
        </w:tc>
        <w:tc>
          <w:tcPr>
            <w:tcW w:type="dxa" w:w="2862"/>
            <w:tcBorders>
              <w:bottom w:val="single" w:sz="6" w:space="4" w:color="D8DCE3"/>
            </w:tcBorders>
          </w:tcPr>
          <w:p>
            <w:pPr>
              <w:spacing w:after="60"/>
            </w:pPr>
            <w:r/>
            <w:r>
              <w:rPr>
                <w:rFonts w:ascii="Georgia" w:hAnsi="Georgia"/>
                <w:sz w:val="18"/>
              </w:rPr>
              <w:t>Accept or correct a drafted section</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TR-014</w:t>
            </w:r>
          </w:p>
        </w:tc>
        <w:tc>
          <w:tcPr>
            <w:tcW w:type="dxa" w:w="2862"/>
            <w:tcBorders>
              <w:bottom w:val="single" w:sz="6" w:space="4" w:color="D8DCE3"/>
            </w:tcBorders>
          </w:tcPr>
          <w:p>
            <w:pPr>
              <w:spacing w:after="60"/>
            </w:pPr>
            <w:r/>
            <w:r>
              <w:rPr>
                <w:rFonts w:ascii="Georgia" w:hAnsi="Georgia"/>
                <w:sz w:val="18"/>
              </w:rPr>
              <w:t>Accept or refute a section's score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r>
        <w:rPr>
          <w:rFonts w:ascii="Georgia" w:hAnsi="Georgia"/>
        </w:rPr>
        <w:t>TR-001's decider is the sponsor's role, PER-003. FR-021 names the person: before a set is offered for approval, the expert names each approver by name and role, and only a named approver's decision counts as an approval.</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bookmarkStart w:id="94" w:name="TR_001"/>
      <w:r>
        <w:rPr>
          <w:rFonts w:ascii="Calibri" w:hAnsi="Calibri"/>
          <w:b/>
          <w:color w:val="1F4E79"/>
          <w:sz w:val="20"/>
        </w:rPr>
        <w:t xml:space="preserve">TR-001  </w:t>
      </w:r>
      <w:r>
        <w:rPr>
          <w:rFonts w:ascii="Calibri" w:hAnsi="Calibri"/>
          <w:b/>
          <w:sz w:val="20"/>
        </w:rPr>
        <w:t>Approve a PRD for a release</w:t>
      </w:r>
      <w:bookmarkEnd w:id="9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 A rejection goes back to the expert with its reason, and the set reads as not approved until a later version is approved.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fit to approve.</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rejects the set, when the decision is recorded, then the rejection carries its reason, and the set reads as not approved.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bookmarkStart w:id="95" w:name="TR_002"/>
      <w:r>
        <w:rPr>
          <w:rFonts w:ascii="Calibri" w:hAnsi="Calibri"/>
          <w:b/>
          <w:color w:val="1F4E79"/>
          <w:sz w:val="20"/>
        </w:rPr>
        <w:t xml:space="preserve">TR-002  </w:t>
      </w:r>
      <w:r>
        <w:rPr>
          <w:rFonts w:ascii="Calibri" w:hAnsi="Calibri"/>
          <w:b/>
          <w:sz w:val="20"/>
        </w:rPr>
        <w:t>Set a section's state to final</w:t>
      </w:r>
      <w:bookmarkEnd w:id="9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bookmarkStart w:id="96" w:name="TR_003"/>
      <w:r>
        <w:rPr>
          <w:rFonts w:ascii="Calibri" w:hAnsi="Calibri"/>
          <w:b/>
          <w:color w:val="1F4E79"/>
          <w:sz w:val="20"/>
        </w:rPr>
        <w:t xml:space="preserve">TR-003  </w:t>
      </w:r>
      <w:r>
        <w:rPr>
          <w:rFonts w:ascii="Calibri" w:hAnsi="Calibri"/>
          <w:b/>
          <w:sz w:val="20"/>
        </w:rPr>
        <w:t>Produce a section's score and findings against its rubric</w:t>
      </w:r>
      <w:bookmarkEnd w:id="9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bookmarkStart w:id="97" w:name="TR_004"/>
      <w:r>
        <w:rPr>
          <w:rFonts w:ascii="Calibri" w:hAnsi="Calibri"/>
          <w:b/>
          <w:color w:val="1F4E79"/>
          <w:sz w:val="20"/>
        </w:rPr>
        <w:t xml:space="preserve">TR-004  </w:t>
      </w:r>
      <w:r>
        <w:rPr>
          <w:rFonts w:ascii="Calibri" w:hAnsi="Calibri"/>
          <w:b/>
          <w:sz w:val="20"/>
        </w:rPr>
        <w:t>Decide what the product is for and what is out of scope</w:t>
      </w:r>
      <w:bookmarkEnd w:id="9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bookmarkStart w:id="98" w:name="TR_005"/>
      <w:r>
        <w:rPr>
          <w:rFonts w:ascii="Calibri" w:hAnsi="Calibri"/>
          <w:b/>
          <w:color w:val="1F4E79"/>
          <w:sz w:val="20"/>
        </w:rPr>
        <w:t xml:space="preserve">TR-005  </w:t>
      </w:r>
      <w:r>
        <w:rPr>
          <w:rFonts w:ascii="Calibri" w:hAnsi="Calibri"/>
          <w:b/>
          <w:sz w:val="20"/>
        </w:rPr>
        <w:t>State a domain fact, figure, regulation or citation as true</w:t>
      </w:r>
      <w:bookmarkEnd w:id="9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bookmarkStart w:id="99" w:name="TR_006"/>
      <w:r>
        <w:rPr>
          <w:rFonts w:ascii="Calibri" w:hAnsi="Calibri"/>
          <w:b/>
          <w:color w:val="1F4E79"/>
          <w:sz w:val="20"/>
        </w:rPr>
        <w:t xml:space="preserve">TR-006  </w:t>
      </w:r>
      <w:r>
        <w:rPr>
          <w:rFonts w:ascii="Calibri" w:hAnsi="Calibri"/>
          <w:b/>
          <w:sz w:val="20"/>
        </w:rPr>
        <w:t>Judge whether a set can be built from, and report the gaps</w:t>
      </w:r>
      <w:bookmarkEnd w:id="9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bookmarkStart w:id="100" w:name="TR_007"/>
      <w:r>
        <w:rPr>
          <w:rFonts w:ascii="Calibri" w:hAnsi="Calibri"/>
          <w:b/>
          <w:color w:val="1F4E79"/>
          <w:sz w:val="20"/>
        </w:rPr>
        <w:t xml:space="preserve">TR-007  </w:t>
      </w:r>
      <w:r>
        <w:rPr>
          <w:rFonts w:ascii="Calibri" w:hAnsi="Calibri"/>
          <w:b/>
          <w:sz w:val="20"/>
        </w:rPr>
        <w:t>Decide the domain's own terms, and what each one means</w:t>
      </w:r>
      <w:bookmarkEnd w:id="10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bookmarkStart w:id="101" w:name="TR_008"/>
      <w:r>
        <w:rPr>
          <w:rFonts w:ascii="Calibri" w:hAnsi="Calibri"/>
          <w:b/>
          <w:color w:val="1F4E79"/>
          <w:sz w:val="20"/>
        </w:rPr>
        <w:t xml:space="preserve">TR-008  </w:t>
      </w:r>
      <w:r>
        <w:rPr>
          <w:rFonts w:ascii="Calibri" w:hAnsi="Calibri"/>
          <w:b/>
          <w:sz w:val="20"/>
        </w:rPr>
        <w:t>Decide the interview on a section is finished</w:t>
      </w:r>
      <w:bookmarkEnd w:id="10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bookmarkStart w:id="102" w:name="TR_009"/>
      <w:r>
        <w:rPr>
          <w:rFonts w:ascii="Calibri" w:hAnsi="Calibri"/>
          <w:b/>
          <w:color w:val="1F4E79"/>
          <w:sz w:val="20"/>
        </w:rPr>
        <w:t xml:space="preserve">TR-009  </w:t>
      </w:r>
      <w:r>
        <w:rPr>
          <w:rFonts w:ascii="Calibri" w:hAnsi="Calibri"/>
          <w:b/>
          <w:sz w:val="20"/>
        </w:rPr>
        <w:t>Decide a section may be left at draft and moved on from</w:t>
      </w:r>
      <w:bookmarkEnd w:id="10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bookmarkStart w:id="103" w:name="TR_010"/>
      <w:r>
        <w:rPr>
          <w:rFonts w:ascii="Calibri" w:hAnsi="Calibri"/>
          <w:b/>
          <w:color w:val="1F4E79"/>
          <w:sz w:val="20"/>
        </w:rPr>
        <w:t xml:space="preserve">TR-010  </w:t>
      </w:r>
      <w:r>
        <w:rPr>
          <w:rFonts w:ascii="Calibri" w:hAnsi="Calibri"/>
          <w:b/>
          <w:sz w:val="20"/>
        </w:rPr>
        <w:t>Decide the set may be offered for approval</w:t>
      </w:r>
      <w:bookmarkEnd w:id="10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review's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bookmarkStart w:id="104" w:name="TR_011"/>
      <w:r>
        <w:rPr>
          <w:rFonts w:ascii="Calibri" w:hAnsi="Calibri"/>
          <w:b/>
          <w:color w:val="1F4E79"/>
          <w:sz w:val="20"/>
        </w:rPr>
        <w:t xml:space="preserve">TR-011  </w:t>
      </w:r>
      <w:r>
        <w:rPr>
          <w:rFonts w:ascii="Calibri" w:hAnsi="Calibri"/>
          <w:b/>
          <w:sz w:val="20"/>
        </w:rPr>
        <w:t>Decide a backlog can be mapped from the set</w:t>
      </w:r>
      <w:bookmarkEnd w:id="10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and an override is recorded with its reason.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p>
            <w:pPr>
              <w:spacing w:after="40"/>
              <w:ind w:left="173"/>
            </w:pPr>
            <w:r>
              <w:rPr>
                <w:rFonts w:ascii="Georgia" w:hAnsi="Georgia"/>
                <w:sz w:val="19"/>
              </w:rPr>
              <w:t>• Given a reported verdict the delivery lead disagrees with, when they record their own, then their verdict stands and the override and its reason are recorded beside the report.</w:t>
            </w:r>
          </w:p>
        </w:tc>
      </w:tr>
    </w:tbl>
    <w:p>
      <w:pPr>
        <w:spacing w:after="40"/>
      </w:pPr>
    </w:p>
    <w:p>
      <w:pPr>
        <w:keepNext/>
        <w:spacing w:before="220" w:after="60"/>
        <w:ind w:left="115"/>
        <w:pBdr>
          <w:left w:val="single" w:sz="18" w:space="0" w:color="1F4E79"/>
        </w:pBdr>
      </w:pPr>
      <w:bookmarkStart w:id="105" w:name="TR_012"/>
      <w:r>
        <w:rPr>
          <w:rFonts w:ascii="Calibri" w:hAnsi="Calibri"/>
          <w:b/>
          <w:color w:val="1F4E79"/>
          <w:sz w:val="20"/>
        </w:rPr>
        <w:t xml:space="preserve">TR-012  </w:t>
      </w:r>
      <w:r>
        <w:rPr>
          <w:rFonts w:ascii="Calibri" w:hAnsi="Calibri"/>
          <w:b/>
          <w:sz w:val="20"/>
        </w:rPr>
        <w:t>Decide which epics come first</w:t>
      </w:r>
      <w:bookmarkEnd w:id="10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bookmarkStart w:id="106" w:name="TR_013"/>
      <w:r>
        <w:rPr>
          <w:rFonts w:ascii="Calibri" w:hAnsi="Calibri"/>
          <w:b/>
          <w:color w:val="1F4E79"/>
          <w:sz w:val="20"/>
        </w:rPr>
        <w:t xml:space="preserve">TR-013  </w:t>
      </w:r>
      <w:r>
        <w:rPr>
          <w:rFonts w:ascii="Calibri" w:hAnsi="Calibri"/>
          <w:b/>
          <w:sz w:val="20"/>
        </w:rPr>
        <w:t>Accept a drafted section as saying what the expert meant, or correct it</w:t>
      </w:r>
      <w:bookmarkEnd w:id="10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bookmarkStart w:id="107" w:name="TR_014"/>
      <w:r>
        <w:rPr>
          <w:rFonts w:ascii="Calibri" w:hAnsi="Calibri"/>
          <w:b/>
          <w:color w:val="1F4E79"/>
          <w:sz w:val="20"/>
        </w:rPr>
        <w:t xml:space="preserve">TR-014  </w:t>
      </w:r>
      <w:r>
        <w:rPr>
          <w:rFonts w:ascii="Calibri" w:hAnsi="Calibri"/>
          <w:b/>
          <w:sz w:val="20"/>
        </w:rPr>
        <w:t>Accept or refute a section's score</w:t>
      </w:r>
      <w:bookmarkEnd w:id="10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bookmarkStart w:id="108" w:name="prd_forge_assumptions_risks_dependencies"/>
      <w:r>
        <w:t>Assumptions, risks and dependencies</w:t>
      </w:r>
      <w:bookmarkEnd w:id="108"/>
    </w:p>
    <w:p>
      <w:pPr>
        <w:spacing w:after="240"/>
      </w:pPr>
      <w:r>
        <w:rPr>
          <w:rFonts w:ascii="Calibri" w:hAnsi="Calibri"/>
          <w:b/>
          <w:caps/>
          <w:color w:val="5C6370"/>
          <w:sz w:val="15"/>
        </w:rPr>
        <w:t>draft · 96/100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sittings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 and the professional network</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requested and both due by 2027-01-31, two months before REL-001's target in section 13. The questions they answer are due by 2027-02-28, so REL-001 can use the results. Q-019 and Q-022 decide, by 2027-01-31, whether REL-001 keeps its date and what happens to it if either slips.</w:t>
      </w:r>
    </w:p>
    <w:p>
      <w:pPr>
        <w:pStyle w:val="Heading3"/>
      </w:pPr>
      <w:r>
        <w:t>Assumptions</w:t>
      </w:r>
    </w:p>
    <w:p>
      <w:pPr>
        <w:keepNext/>
        <w:spacing w:before="220" w:after="60"/>
        <w:ind w:left="115"/>
        <w:pBdr>
          <w:left w:val="single" w:sz="18" w:space="0" w:color="1F4E79"/>
        </w:pBdr>
      </w:pPr>
      <w:bookmarkStart w:id="109" w:name="A_001"/>
      <w:r>
        <w:rPr>
          <w:rFonts w:ascii="Calibri" w:hAnsi="Calibri"/>
          <w:b/>
          <w:color w:val="1F4E79"/>
          <w:sz w:val="20"/>
        </w:rPr>
        <w:t>A-001</w:t>
      </w:r>
      <w:bookmarkEnd w:id="10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sittings with 10 first-time experts, counting where they stop, the same sittings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10" w:name="A_002"/>
      <w:r>
        <w:rPr>
          <w:rFonts w:ascii="Calibri" w:hAnsi="Calibri"/>
          <w:b/>
          <w:color w:val="1F4E79"/>
          <w:sz w:val="20"/>
        </w:rPr>
        <w:t xml:space="preserve">A-002  </w:t>
      </w:r>
      <w:r>
        <w:rPr>
          <w:rFonts w:ascii="Calibri" w:hAnsi="Calibri"/>
          <w:b/>
          <w:sz w:val="20"/>
        </w:rPr>
        <w:t>An expert will act on a grade they did not produce, rather than dismissing it.</w:t>
      </w:r>
      <w:bookmarkEnd w:id="11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sittings,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11" w:name="A_003"/>
      <w:r>
        <w:rPr>
          <w:rFonts w:ascii="Calibri" w:hAnsi="Calibri"/>
          <w:b/>
          <w:color w:val="1F4E79"/>
          <w:sz w:val="20"/>
        </w:rPr>
        <w:t>A-003</w:t>
      </w:r>
      <w:bookmarkEnd w:id="11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12" w:name="A_004"/>
      <w:r>
        <w:rPr>
          <w:rFonts w:ascii="Calibri" w:hAnsi="Calibri"/>
          <w:b/>
          <w:color w:val="1F4E79"/>
          <w:sz w:val="20"/>
        </w:rPr>
        <w:t xml:space="preserve">A-004  </w:t>
      </w:r>
      <w:r>
        <w:rPr>
          <w:rFonts w:ascii="Calibri" w:hAnsi="Calibri"/>
          <w:b/>
          <w:sz w:val="20"/>
        </w:rPr>
        <w:t>Organizations will let a PRD for their product be drafted inside an assistant session.</w:t>
      </w:r>
      <w:bookmarkEnd w:id="11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bookmarkStart w:id="113" w:name="A_005"/>
      <w:r>
        <w:rPr>
          <w:rFonts w:ascii="Calibri" w:hAnsi="Calibri"/>
          <w:b/>
          <w:color w:val="1F4E79"/>
          <w:sz w:val="20"/>
        </w:rPr>
        <w:t>A-005</w:t>
      </w:r>
      <w:bookmarkEnd w:id="11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bookmarkStart w:id="114" w:name="R_001"/>
      <w:r>
        <w:rPr>
          <w:rFonts w:ascii="Calibri" w:hAnsi="Calibri"/>
          <w:b/>
          <w:color w:val="1F4E79"/>
          <w:sz w:val="20"/>
        </w:rPr>
        <w:t>R-001</w:t>
      </w:r>
      <w:bookmarkEnd w:id="11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5" w:name="R_002"/>
      <w:r>
        <w:rPr>
          <w:rFonts w:ascii="Calibri" w:hAnsi="Calibri"/>
          <w:b/>
          <w:color w:val="1F4E79"/>
          <w:sz w:val="20"/>
        </w:rPr>
        <w:t>R-002</w:t>
      </w:r>
      <w:bookmarkEnd w:id="11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6" w:name="R_003"/>
      <w:r>
        <w:rPr>
          <w:rFonts w:ascii="Calibri" w:hAnsi="Calibri"/>
          <w:b/>
          <w:color w:val="1F4E79"/>
          <w:sz w:val="20"/>
        </w:rPr>
        <w:t>R-003</w:t>
      </w:r>
      <w:bookmarkEnd w:id="11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reader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7" w:name="R_004"/>
      <w:r>
        <w:rPr>
          <w:rFonts w:ascii="Calibri" w:hAnsi="Calibri"/>
          <w:b/>
          <w:color w:val="1F4E79"/>
          <w:sz w:val="20"/>
        </w:rPr>
        <w:t>R-004</w:t>
      </w:r>
      <w:bookmarkEnd w:id="11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and Q-020 count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8" w:name="R_005"/>
      <w:r>
        <w:rPr>
          <w:rFonts w:ascii="Calibri" w:hAnsi="Calibri"/>
          <w:b/>
          <w:color w:val="1F4E79"/>
          <w:sz w:val="20"/>
        </w:rPr>
        <w:t>R-005</w:t>
      </w:r>
      <w:bookmarkEnd w:id="11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bookmarkStart w:id="119" w:name="D_001"/>
      <w:r>
        <w:rPr>
          <w:rFonts w:ascii="Calibri" w:hAnsi="Calibri"/>
          <w:b/>
          <w:color w:val="1F4E79"/>
          <w:sz w:val="20"/>
        </w:rPr>
        <w:t>D-001</w:t>
      </w:r>
      <w:bookmarkEnd w:id="11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bookmarkStart w:id="120" w:name="D_002"/>
      <w:r>
        <w:rPr>
          <w:rFonts w:ascii="Calibri" w:hAnsi="Calibri"/>
          <w:b/>
          <w:color w:val="1F4E79"/>
          <w:sz w:val="20"/>
        </w:rPr>
        <w:t xml:space="preserve">D-002  </w:t>
      </w:r>
      <w:r>
        <w:rPr>
          <w:rFonts w:ascii="Calibri" w:hAnsi="Calibri"/>
          <w:b/>
          <w:sz w:val="20"/>
        </w:rPr>
        <w:t>Ten first-time domain experts willing to be observed completing a PRD.</w:t>
      </w:r>
      <w:bookmarkEnd w:id="12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bookmarkStart w:id="121" w:name="D_003"/>
      <w:r>
        <w:rPr>
          <w:rFonts w:ascii="Calibri" w:hAnsi="Calibri"/>
          <w:b/>
          <w:color w:val="1F4E79"/>
          <w:sz w:val="20"/>
        </w:rPr>
        <w:t>D-003</w:t>
      </w:r>
      <w:bookmarkEnd w:id="12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bookmarkStart w:id="122" w:name="prd_forge_open_questions"/>
      <w:r>
        <w:t>Open questions</w:t>
      </w:r>
      <w:bookmarkEnd w:id="122"/>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 xml:space="preserve">Does FR-013 stay </w:t>
            </w:r>
            <w:r>
              <w:rPr>
                <w:rFonts w:ascii="Consolas" w:hAnsi="Consolas"/>
                <w:sz w:val="18"/>
              </w:rPr>
              <w:t>must</w:t>
            </w:r>
            <w:r>
              <w:rPr>
                <w:rFonts w:ascii="Georgia" w:hAnsi="Georgia"/>
                <w:sz w:val="18"/>
              </w:rPr>
              <w:t>, given what sponsors say about grades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 OUT-003</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 R-004</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ST-004 keep its loop-back, given what experts say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2027-01-15</w:t>
            </w:r>
          </w:p>
        </w:tc>
        <w:tc>
          <w:tcPr>
            <w:tcW w:type="dxa" w:w="2287"/>
            <w:tcBorders>
              <w:bottom w:val="single" w:sz="6" w:space="4" w:color="D8DCE3"/>
            </w:tcBorders>
          </w:tcPr>
          <w:p>
            <w:pPr>
              <w:spacing w:after="60"/>
            </w:pPr>
            <w:r/>
            <w:r>
              <w:rPr>
                <w:rFonts w:ascii="Georgia" w:hAnsi="Georgia"/>
                <w:sz w:val="18"/>
              </w:rPr>
              <w:t>FR-004, FR-009 to FR-012, FR-019</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Will D-002 and D-003 commit in writing to report by 2027-01-31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Q-020</w:t>
            </w:r>
          </w:p>
        </w:tc>
        <w:tc>
          <w:tcPr>
            <w:tcW w:type="dxa" w:w="2712"/>
            <w:tcBorders>
              <w:bottom w:val="single" w:sz="6" w:space="4" w:color="D8DCE3"/>
            </w:tcBorders>
          </w:tcPr>
          <w:p>
            <w:pPr>
              <w:spacing w:after="60"/>
            </w:pPr>
            <w:r/>
            <w:r>
              <w:rPr>
                <w:rFonts w:ascii="Georgia" w:hAnsi="Georgia"/>
                <w:sz w:val="18"/>
              </w:rPr>
              <w:t>Which section experts stop at most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Q-021</w:t>
            </w:r>
          </w:p>
        </w:tc>
        <w:tc>
          <w:tcPr>
            <w:tcW w:type="dxa" w:w="2712"/>
            <w:tcBorders>
              <w:bottom w:val="single" w:sz="6" w:space="4" w:color="D8DCE3"/>
            </w:tcBorders>
          </w:tcPr>
          <w:p>
            <w:pPr>
              <w:spacing w:after="60"/>
            </w:pPr>
            <w:r/>
            <w:r>
              <w:rPr>
                <w:rFonts w:ascii="Georgia" w:hAnsi="Georgia"/>
                <w:sz w:val="18"/>
              </w:rPr>
              <w:t>Who owns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NFR-012</w:t>
            </w:r>
          </w:p>
        </w:tc>
      </w:tr>
      <w:tr>
        <w:tc>
          <w:tcPr>
            <w:tcW w:type="dxa" w:w="1044"/>
            <w:tcBorders>
              <w:bottom w:val="single" w:sz="6" w:space="4" w:color="D8DCE3"/>
            </w:tcBorders>
          </w:tcPr>
          <w:p>
            <w:pPr>
              <w:spacing w:after="60"/>
            </w:pPr>
            <w:r/>
            <w:r>
              <w:rPr>
                <w:rFonts w:ascii="Georgia" w:hAnsi="Georgia"/>
                <w:sz w:val="18"/>
              </w:rPr>
              <w:t>Q-022</w:t>
            </w:r>
          </w:p>
        </w:tc>
        <w:tc>
          <w:tcPr>
            <w:tcW w:type="dxa" w:w="2712"/>
            <w:tcBorders>
              <w:bottom w:val="single" w:sz="6" w:space="4" w:color="D8DCE3"/>
            </w:tcBorders>
          </w:tcPr>
          <w:p>
            <w:pPr>
              <w:spacing w:after="60"/>
            </w:pPr>
            <w:r/>
            <w:r>
              <w:rPr>
                <w:rFonts w:ascii="Georgia" w:hAnsi="Georgia"/>
                <w:sz w:val="18"/>
              </w:rPr>
              <w:t>Does REL-001 move or ship as an experiment if D-002 or D-003 is late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Q-023</w:t>
            </w:r>
          </w:p>
        </w:tc>
        <w:tc>
          <w:tcPr>
            <w:tcW w:type="dxa" w:w="2712"/>
            <w:tcBorders>
              <w:bottom w:val="single" w:sz="6" w:space="4" w:color="D8DCE3"/>
            </w:tcBorders>
          </w:tcPr>
          <w:p>
            <w:pPr>
              <w:spacing w:after="60"/>
            </w:pPr>
            <w:r/>
            <w:r>
              <w:rPr>
                <w:rFonts w:ascii="Georgia" w:hAnsi="Georgia"/>
                <w:sz w:val="18"/>
              </w:rPr>
              <w:t>Does the delivery lead persona hold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2027-05-31</w:t>
            </w:r>
          </w:p>
        </w:tc>
        <w:tc>
          <w:tcPr>
            <w:tcW w:type="dxa" w:w="2287"/>
            <w:tcBorders>
              <w:bottom w:val="single" w:sz="6" w:space="4" w:color="D8DCE3"/>
            </w:tcBorders>
          </w:tcPr>
          <w:p>
            <w:pPr>
              <w:spacing w:after="60"/>
            </w:pPr>
            <w:r/>
            <w:r>
              <w:rPr>
                <w:rFonts w:ascii="Georgia" w:hAnsi="Georgia"/>
                <w:sz w:val="18"/>
              </w:rPr>
              <w:t>PER-004</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They are due by 2027-02-28, a month before REL-001, so its exit criteria are fixed before it ships. Until they are answered, section 3's targets are provisional. Nothing should be committed to a plan on the strength of them.</w:t>
      </w:r>
    </w:p>
    <w:p>
      <w:r>
        <w:rPr>
          <w:rFonts w:ascii="Georgia" w:hAnsi="Georgia"/>
          <w:b/>
        </w:rPr>
        <w:t>Q-015, Q-009, and Q-010 block the most.</w:t>
      </w:r>
      <w:r>
        <w:rPr>
          <w:rFonts w:ascii="Georgia" w:hAnsi="Georgia"/>
        </w:rPr>
        <w:t xml:space="preserve"> Q-015, who owns the rubric and the checks, is due first, by 2027-01-15, because Q-009 cannot fix a version without an owner. It blocks the same six requirements as Q-009.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and Q-022 are the schedule.</w:t>
      </w:r>
      <w:r>
        <w:rPr>
          <w:rFonts w:ascii="Georgia" w:hAnsi="Georgia"/>
        </w:rPr>
        <w:t xml:space="preserve"> D-002 and D-003 report by 2027-01-31, and the questions they answer are due by 2027-02-28, a month before REL-001. Q-019 decides whether REL-001 keeps its date, and Q-022 decides what happens if either dependency is late.</w:t>
      </w:r>
    </w:p>
    <w:p>
      <w:r>
        <w:rPr>
          <w:rFonts w:ascii="Georgia" w:hAnsi="Georgia"/>
          <w:b/>
        </w:rPr>
        <w:t>Q-008 tests the fifth of the five tests in the glossary: a requirement names no technology.</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bookmarkStart w:id="123" w:name="Q_001"/>
      <w:r>
        <w:rPr>
          <w:rFonts w:ascii="Calibri" w:hAnsi="Calibri"/>
          <w:b/>
          <w:color w:val="1F4E79"/>
          <w:sz w:val="20"/>
        </w:rPr>
        <w:t>Q-001</w:t>
      </w:r>
      <w:bookmarkEnd w:id="12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client projects done without this product,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bookmarkStart w:id="124" w:name="Q_002"/>
      <w:r>
        <w:rPr>
          <w:rFonts w:ascii="Calibri" w:hAnsi="Calibri"/>
          <w:b/>
          <w:color w:val="1F4E79"/>
          <w:sz w:val="20"/>
        </w:rPr>
        <w:t>Q-002</w:t>
      </w:r>
      <w:bookmarkEnd w:id="12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projects done without this product. Time-boxed to 2 days.</w:t>
            </w:r>
          </w:p>
        </w:tc>
      </w:tr>
    </w:tbl>
    <w:p>
      <w:pPr>
        <w:spacing w:after="40"/>
      </w:pPr>
    </w:p>
    <w:p>
      <w:pPr>
        <w:keepNext/>
        <w:spacing w:before="220" w:after="60"/>
        <w:ind w:left="115"/>
        <w:pBdr>
          <w:left w:val="single" w:sz="18" w:space="0" w:color="1F4E79"/>
        </w:pBdr>
      </w:pPr>
      <w:bookmarkStart w:id="125" w:name="Q_003"/>
      <w:r>
        <w:rPr>
          <w:rFonts w:ascii="Calibri" w:hAnsi="Calibri"/>
          <w:b/>
          <w:color w:val="1F4E79"/>
          <w:sz w:val="20"/>
        </w:rPr>
        <w:t>Q-003</w:t>
      </w:r>
      <w:bookmarkEnd w:id="12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bookmarkStart w:id="126" w:name="Q_004"/>
      <w:r>
        <w:rPr>
          <w:rFonts w:ascii="Calibri" w:hAnsi="Calibri"/>
          <w:b/>
          <w:color w:val="1F4E79"/>
          <w:sz w:val="20"/>
        </w:rPr>
        <w:t xml:space="preserve">Q-004  </w:t>
      </w:r>
      <w:r>
        <w:rPr>
          <w:rFonts w:ascii="Calibri" w:hAnsi="Calibri"/>
          <w:b/>
          <w:sz w:val="20"/>
        </w:rPr>
        <w:t>How many organizations are in each segment in section 2?</w:t>
      </w:r>
      <w:bookmarkEnd w:id="12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bookmarkStart w:id="127" w:name="Q_005"/>
      <w:r>
        <w:rPr>
          <w:rFonts w:ascii="Calibri" w:hAnsi="Calibri"/>
          <w:b/>
          <w:color w:val="1F4E79"/>
          <w:sz w:val="20"/>
        </w:rPr>
        <w:t>Q-005</w:t>
      </w:r>
      <w:bookmarkEnd w:id="12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Given what three sponsors say about a set shown with and without grades, does FR-013 stay </w:t>
            </w:r>
            <w:r>
              <w:rPr>
                <w:rFonts w:ascii="Consolas" w:hAnsi="Consolas"/>
                <w:sz w:val="19"/>
              </w:rPr>
              <w:t>must</w:t>
            </w:r>
            <w:r>
              <w:rPr>
                <w:rFonts w:ascii="Georgia" w:hAnsi="Georgia"/>
                <w:sz w:val="19"/>
              </w:rPr>
              <w:t>, with each section's grade shown to the sponsor?</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p>
            <w:pPr>
              <w:spacing w:after="40"/>
              <w:ind w:left="173"/>
            </w:pPr>
            <w:r>
              <w:rPr>
                <w:rFonts w:ascii="Georgia" w:hAnsi="Georgia"/>
                <w:sz w:val="19"/>
              </w:rPr>
              <w:t>• OUT-003</w:t>
            </w:r>
          </w:p>
          <w:p>
            <w:pPr>
              <w:spacing w:after="40"/>
              <w:ind w:left="173"/>
            </w:pPr>
            <w:r>
              <w:rPr>
                <w:rFonts w:ascii="Georgia" w:hAnsi="Georgia"/>
                <w:sz w:val="19"/>
              </w:rPr>
              <w:t>• PER-003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bookmarkStart w:id="128" w:name="Q_006"/>
      <w:r>
        <w:rPr>
          <w:rFonts w:ascii="Calibri" w:hAnsi="Calibri"/>
          <w:b/>
          <w:color w:val="1F4E79"/>
          <w:sz w:val="20"/>
        </w:rPr>
        <w:t xml:space="preserve">Q-006  </w:t>
      </w:r>
      <w:r>
        <w:rPr>
          <w:rFonts w:ascii="Calibri" w:hAnsi="Calibri"/>
          <w:b/>
          <w:sz w:val="20"/>
        </w:rPr>
        <w:t>How many sections does an expert complete in one sitting before stopping?</w:t>
      </w:r>
      <w:bookmarkEnd w:id="12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29" w:name="Q_007"/>
      <w:r>
        <w:rPr>
          <w:rFonts w:ascii="Calibri" w:hAnsi="Calibri"/>
          <w:b/>
          <w:color w:val="1F4E79"/>
          <w:sz w:val="20"/>
        </w:rPr>
        <w:t xml:space="preserve">Q-007  </w:t>
      </w:r>
      <w:r>
        <w:rPr>
          <w:rFonts w:ascii="Calibri" w:hAnsi="Calibri"/>
          <w:b/>
          <w:sz w:val="20"/>
        </w:rPr>
        <w:t>Does writing the requirements send an expert back to the journeys?</w:t>
      </w:r>
      <w:bookmarkEnd w:id="12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p>
            <w:pPr>
              <w:spacing w:after="40"/>
              <w:ind w:left="173"/>
            </w:pP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D-002's ten observed sittings, held by 2027-01-31. The answer is yes if at least 3 of the 10 sittings loop back. Time-boxed to 1 day after the sittings.</w:t>
            </w:r>
          </w:p>
        </w:tc>
      </w:tr>
    </w:tbl>
    <w:p>
      <w:pPr>
        <w:spacing w:after="40"/>
      </w:pPr>
    </w:p>
    <w:p>
      <w:pPr>
        <w:keepNext/>
        <w:spacing w:before="220" w:after="60"/>
        <w:ind w:left="115"/>
        <w:pBdr>
          <w:left w:val="single" w:sz="18" w:space="0" w:color="1F4E79"/>
        </w:pBdr>
      </w:pPr>
      <w:bookmarkStart w:id="130" w:name="Q_008"/>
      <w:r>
        <w:rPr>
          <w:rFonts w:ascii="Calibri" w:hAnsi="Calibri"/>
          <w:b/>
          <w:color w:val="1F4E79"/>
          <w:sz w:val="20"/>
        </w:rPr>
        <w:t>Q-008</w:t>
      </w:r>
      <w:bookmarkEnd w:id="13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bookmarkStart w:id="131" w:name="Q_009"/>
      <w:r>
        <w:rPr>
          <w:rFonts w:ascii="Calibri" w:hAnsi="Calibri"/>
          <w:b/>
          <w:color w:val="1F4E79"/>
          <w:sz w:val="20"/>
        </w:rPr>
        <w:t>Q-009</w:t>
      </w:r>
      <w:bookmarkEnd w:id="13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ST-002 to ST-005 can be scaffolded and not finished.</w:t>
            </w:r>
          </w:p>
        </w:tc>
      </w:tr>
    </w:tbl>
    <w:p>
      <w:pPr>
        <w:spacing w:after="40"/>
      </w:pPr>
    </w:p>
    <w:p>
      <w:pPr>
        <w:keepNext/>
        <w:spacing w:before="220" w:after="60"/>
        <w:ind w:left="115"/>
        <w:pBdr>
          <w:left w:val="single" w:sz="18" w:space="0" w:color="1F4E79"/>
        </w:pBdr>
      </w:pPr>
      <w:bookmarkStart w:id="132" w:name="Q_010"/>
      <w:r>
        <w:rPr>
          <w:rFonts w:ascii="Calibri" w:hAnsi="Calibri"/>
          <w:b/>
          <w:color w:val="1F4E79"/>
          <w:sz w:val="20"/>
        </w:rPr>
        <w:t>Q-010</w:t>
      </w:r>
      <w:bookmarkEnd w:id="13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what an expert must find when they come back after a break (FR-015), and check each item against A-005's boundary. The answer is yes if any item the expert must find is an answer not yet drafted.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bookmarkStart w:id="133" w:name="Q_011"/>
      <w:r>
        <w:rPr>
          <w:rFonts w:ascii="Calibri" w:hAnsi="Calibri"/>
          <w:b/>
          <w:color w:val="1F4E79"/>
          <w:sz w:val="20"/>
        </w:rPr>
        <w:t>Q-011</w:t>
      </w:r>
      <w:bookmarkEnd w:id="13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an exported copy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bookmarkStart w:id="134" w:name="Q_012"/>
      <w:r>
        <w:rPr>
          <w:rFonts w:ascii="Calibri" w:hAnsi="Calibri"/>
          <w:b/>
          <w:color w:val="1F4E79"/>
          <w:sz w:val="20"/>
        </w:rPr>
        <w:t xml:space="preserve">Q-012  </w:t>
      </w:r>
      <w:r>
        <w:rPr>
          <w:rFonts w:ascii="Calibri" w:hAnsi="Calibri"/>
          <w:b/>
          <w:sz w:val="20"/>
        </w:rPr>
        <w:t>Which segment in section 2 converts first?</w:t>
      </w:r>
      <w:bookmarkEnd w:id="13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the first ten buyers spoken to in each segment, count how many buy by 2027-06-30, and compare the two counts. Time-boxed to 1 day at that date.</w:t>
            </w:r>
          </w:p>
        </w:tc>
      </w:tr>
    </w:tbl>
    <w:p>
      <w:pPr>
        <w:spacing w:after="40"/>
      </w:pPr>
    </w:p>
    <w:p>
      <w:pPr>
        <w:keepNext/>
        <w:spacing w:before="220" w:after="60"/>
        <w:ind w:left="115"/>
        <w:pBdr>
          <w:left w:val="single" w:sz="18" w:space="0" w:color="1F4E79"/>
        </w:pBdr>
      </w:pPr>
      <w:bookmarkStart w:id="135" w:name="Q_013"/>
      <w:r>
        <w:rPr>
          <w:rFonts w:ascii="Calibri" w:hAnsi="Calibri"/>
          <w:b/>
          <w:color w:val="1F4E79"/>
          <w:sz w:val="20"/>
        </w:rPr>
        <w:t xml:space="preserve">Q-013  </w:t>
      </w:r>
      <w:r>
        <w:rPr>
          <w:rFonts w:ascii="Calibri" w:hAnsi="Calibri"/>
          <w:b/>
          <w:sz w:val="20"/>
        </w:rPr>
        <w:t>What day rate does a buyer pay to contract a product manager for the writing of one set?</w:t>
      </w:r>
      <w:bookmarkEnd w:id="13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bookmarkStart w:id="136" w:name="Q_014"/>
      <w:r>
        <w:rPr>
          <w:rFonts w:ascii="Calibri" w:hAnsi="Calibri"/>
          <w:b/>
          <w:color w:val="1F4E79"/>
          <w:sz w:val="20"/>
        </w:rPr>
        <w:t>Q-014</w:t>
      </w:r>
      <w:bookmarkEnd w:id="13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Given how experts describe a loop-back in D-002's sittings, does ST-004 keep its step that sends the expert back to an earlier section?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37" w:name="Q_015"/>
      <w:r>
        <w:rPr>
          <w:rFonts w:ascii="Calibri" w:hAnsi="Calibri"/>
          <w:b/>
          <w:color w:val="1F4E79"/>
          <w:sz w:val="20"/>
        </w:rPr>
        <w:t xml:space="preserve">Q-015  </w:t>
      </w:r>
      <w:r>
        <w:rPr>
          <w:rFonts w:ascii="Calibri" w:hAnsi="Calibri"/>
          <w:b/>
          <w:sz w:val="20"/>
        </w:rPr>
        <w:t>Who owns the rubric and the eleven derivability checks?</w:t>
      </w:r>
      <w:bookmarkEnd w:id="13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2027-01-15</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person accountable for the content of the rubric and the checks, and confirm with that person that they accept it, before Q-009 fixes a version. Time-boxed to 1 day.</w:t>
            </w:r>
          </w:p>
        </w:tc>
      </w:tr>
    </w:tbl>
    <w:p>
      <w:pPr>
        <w:spacing w:after="40"/>
      </w:pPr>
    </w:p>
    <w:p>
      <w:pPr>
        <w:keepNext/>
        <w:spacing w:before="220" w:after="60"/>
        <w:ind w:left="115"/>
        <w:pBdr>
          <w:left w:val="single" w:sz="18" w:space="0" w:color="1F4E79"/>
        </w:pBdr>
      </w:pPr>
      <w:bookmarkStart w:id="138" w:name="Q_016"/>
      <w:r>
        <w:rPr>
          <w:rFonts w:ascii="Calibri" w:hAnsi="Calibri"/>
          <w:b/>
          <w:color w:val="1F4E79"/>
          <w:sz w:val="20"/>
        </w:rPr>
        <w:t xml:space="preserve">Q-016  </w:t>
      </w:r>
      <w:r>
        <w:rPr>
          <w:rFonts w:ascii="Calibri" w:hAnsi="Calibri"/>
          <w:b/>
          <w:sz w:val="20"/>
        </w:rPr>
        <w:t>Must a grade show which version of the rubric it was made against?</w:t>
      </w:r>
      <w:bookmarkEnd w:id="13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bookmarkStart w:id="139" w:name="Q_017"/>
      <w:r>
        <w:rPr>
          <w:rFonts w:ascii="Calibri" w:hAnsi="Calibri"/>
          <w:b/>
          <w:color w:val="1F4E79"/>
          <w:sz w:val="20"/>
        </w:rPr>
        <w:t>Q-017</w:t>
      </w:r>
      <w:bookmarkEnd w:id="13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NFR-006's accessibility, given that the product's output is read in places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place the product's output is read and who controls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bookmarkStart w:id="140" w:name="Q_018"/>
      <w:r>
        <w:rPr>
          <w:rFonts w:ascii="Calibri" w:hAnsi="Calibri"/>
          <w:b/>
          <w:color w:val="1F4E79"/>
          <w:sz w:val="20"/>
        </w:rPr>
        <w:t xml:space="preserve">Q-018  </w:t>
      </w:r>
      <w:r>
        <w:rPr>
          <w:rFonts w:ascii="Calibri" w:hAnsi="Calibri"/>
          <w:b/>
          <w:sz w:val="20"/>
        </w:rPr>
        <w:t>What does each problem in section 1 cost, as one counted case per problem?</w:t>
      </w:r>
      <w:bookmarkEnd w:id="14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project done without this product,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bookmarkStart w:id="141" w:name="Q_019"/>
      <w:r>
        <w:rPr>
          <w:rFonts w:ascii="Calibri" w:hAnsi="Calibri"/>
          <w:b/>
          <w:color w:val="1F4E79"/>
          <w:sz w:val="20"/>
        </w:rPr>
        <w:t>Q-019</w:t>
      </w:r>
      <w:bookmarkEnd w:id="14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both parties behind D-002 and D-003 commit in writing to report by 2027-01-31, so that REL-001 keeps 2027-03-31?</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party behind D-002 and D-003 for a written date. The answer is yes if both written dates are 2027-01-31 or earlier, and no otherwise, in which case Q-022 decides. Time-boxed to 1 day.</w:t>
            </w:r>
          </w:p>
        </w:tc>
      </w:tr>
    </w:tbl>
    <w:p>
      <w:pPr>
        <w:spacing w:after="40"/>
      </w:pPr>
    </w:p>
    <w:p>
      <w:pPr>
        <w:keepNext/>
        <w:spacing w:before="220" w:after="60"/>
        <w:ind w:left="115"/>
        <w:pBdr>
          <w:left w:val="single" w:sz="18" w:space="0" w:color="1F4E79"/>
        </w:pBdr>
      </w:pPr>
      <w:bookmarkStart w:id="142" w:name="Q_020"/>
      <w:r>
        <w:rPr>
          <w:rFonts w:ascii="Calibri" w:hAnsi="Calibri"/>
          <w:b/>
          <w:color w:val="1F4E79"/>
          <w:sz w:val="20"/>
        </w:rPr>
        <w:t xml:space="preserve">Q-020  </w:t>
      </w:r>
      <w:r>
        <w:rPr>
          <w:rFonts w:ascii="Calibri" w:hAnsi="Calibri"/>
          <w:b/>
          <w:sz w:val="20"/>
        </w:rPr>
        <w:t>Which section do experts stop at most often?</w:t>
      </w:r>
      <w:bookmarkEnd w:id="14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Note the section at each stop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43" w:name="Q_021"/>
      <w:r>
        <w:rPr>
          <w:rFonts w:ascii="Calibri" w:hAnsi="Calibri"/>
          <w:b/>
          <w:color w:val="1F4E79"/>
          <w:sz w:val="20"/>
        </w:rPr>
        <w:t>Q-021</w:t>
      </w:r>
      <w:bookmarkEnd w:id="14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NFR-012's access control, given that a set is stored where the organization already stores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every path by which someone can read a set and who grants access to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bookmarkStart w:id="144" w:name="Q_022"/>
      <w:r>
        <w:rPr>
          <w:rFonts w:ascii="Calibri" w:hAnsi="Calibri"/>
          <w:b/>
          <w:color w:val="1F4E79"/>
          <w:sz w:val="20"/>
        </w:rPr>
        <w:t xml:space="preserve">Q-022  </w:t>
      </w:r>
      <w:r>
        <w:rPr>
          <w:rFonts w:ascii="Calibri" w:hAnsi="Calibri"/>
          <w:b/>
          <w:sz w:val="20"/>
        </w:rPr>
        <w:t>If D-002 or D-003 reports after 2027-01-31, does REL-001 move or ship as an experiment?</w:t>
      </w:r>
      <w:bookmarkEnd w:id="14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each outcome, list which of REL-001's exit criteria can still be judged with the late results, and choose the outcome that leaves more of them judgeable. Time-boxed to 1 day.</w:t>
            </w:r>
          </w:p>
        </w:tc>
      </w:tr>
    </w:tbl>
    <w:p>
      <w:pPr>
        <w:spacing w:after="40"/>
      </w:pPr>
    </w:p>
    <w:p>
      <w:pPr>
        <w:keepNext/>
        <w:spacing w:before="220" w:after="60"/>
        <w:ind w:left="115"/>
        <w:pBdr>
          <w:left w:val="single" w:sz="18" w:space="0" w:color="1F4E79"/>
        </w:pBdr>
      </w:pPr>
      <w:bookmarkStart w:id="145" w:name="Q_023"/>
      <w:r>
        <w:rPr>
          <w:rFonts w:ascii="Calibri" w:hAnsi="Calibri"/>
          <w:b/>
          <w:color w:val="1F4E79"/>
          <w:sz w:val="20"/>
        </w:rPr>
        <w:t>Q-023</w:t>
      </w:r>
      <w:bookmarkEnd w:id="14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 delivery leads run a story-mapping workshop about once per release and want a backbone agreed before it, as PER-004 assumes?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2027-05-31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three delivery leads how often they run the workshop and what they need agreed before it. Time-boxed to 2 days.</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bookmarkStart w:id="146" w:name="prd_forge_release_plan"/>
      <w:r>
        <w:t>Release plan</w:t>
      </w:r>
      <w:bookmarkEnd w:id="146"/>
    </w:p>
    <w:p>
      <w:pPr>
        <w:spacing w:after="240"/>
      </w:pPr>
      <w:r>
        <w:rPr>
          <w:rFonts w:ascii="Calibri" w:hAnsi="Calibri"/>
          <w:b/>
          <w:caps/>
          <w:color w:val="5C6370"/>
          <w:sz w:val="15"/>
        </w:rPr>
        <w:t>draft · 92/100 · no blocking defects</w:t>
      </w:r>
    </w:p>
    <w:p>
      <w:pPr>
        <w:jc w:val="center"/>
      </w:pPr>
      <w:r>
        <w:drawing>
          <wp:inline xmlns:a="http://schemas.openxmlformats.org/drawingml/2006/main" xmlns:pic="http://schemas.openxmlformats.org/drawingml/2006/picture">
            <wp:extent cx="5486399" cy="6599075"/>
            <wp:docPr id="37" name="Picture 37"/>
            <wp:cNvGraphicFramePr>
              <a:graphicFrameLocks noChangeAspect="1"/>
            </wp:cNvGraphicFramePr>
            <a:graphic>
              <a:graphicData uri="http://schemas.openxmlformats.org/drawingml/2006/picture">
                <pic:pic>
                  <pic:nvPicPr>
                    <pic:cNvPr id="0" name="release-line.png"/>
                    <pic:cNvPicPr/>
                  </pic:nvPicPr>
                  <pic:blipFill>
                    <a:blip r:embed="rId35"/>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PRD with its buildability review.</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 A sponsor can already comment on an exported copy in REL-001, under FR-022. REL-003 adds comments inside the set, by a reviewer who does not hold the pen.</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due by 2027-01-31 and are only *requested*. The questions they answer are due by 2027-02-28, a month before REL-001, so REL-001 can use what they find. If either slips, REL-001 moves or ships knowingly as an experiment. Q-019 decides whether the date holds, Q-022 decides what happens if it does not, and Richard Hightower decides both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bookmarkStart w:id="147" w:name="REL_001"/>
      <w:r>
        <w:rPr>
          <w:rFonts w:ascii="Calibri" w:hAnsi="Calibri"/>
          <w:b/>
          <w:color w:val="1F4E79"/>
          <w:sz w:val="20"/>
        </w:rPr>
        <w:t xml:space="preserve">REL-001  </w:t>
      </w:r>
      <w:r>
        <w:rPr>
          <w:rFonts w:ascii="Calibri" w:hAnsi="Calibri"/>
          <w:b/>
          <w:sz w:val="20"/>
        </w:rPr>
        <w:t>Single-expert PRD authoring</w:t>
      </w:r>
      <w:bookmarkEnd w:id="14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reading, comments, and decision at ST-006 happen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p>
            <w:pPr>
              <w:spacing w:after="40"/>
              <w:ind w:left="173"/>
            </w:pPr>
            <w:r>
              <w:rPr>
                <w:rFonts w:ascii="Georgia" w:hAnsi="Georgia"/>
                <w:sz w:val="19"/>
              </w:rPr>
              <w:t>• FR-021</w:t>
            </w:r>
          </w:p>
          <w:p>
            <w:pPr>
              <w:spacing w:after="40"/>
              <w:ind w:left="173"/>
            </w:pPr>
            <w:r>
              <w:rPr>
                <w:rFonts w:ascii="Georgia" w:hAnsi="Georgia"/>
                <w:sz w:val="19"/>
              </w:rPr>
              <w:t>• FR-022</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p>
            <w:pPr>
              <w:spacing w:after="40"/>
              <w:ind w:left="173"/>
            </w:pPr>
            <w:r>
              <w:rPr>
                <w:rFonts w:ascii="Georgia" w:hAnsi="Georgia"/>
                <w:sz w:val="19"/>
              </w:rPr>
              <w:t>• Q-019</w:t>
            </w:r>
          </w:p>
          <w:p>
            <w:pPr>
              <w:spacing w:after="40"/>
              <w:ind w:left="173"/>
            </w:pPr>
            <w:r>
              <w:rPr>
                <w:rFonts w:ascii="Georgia" w:hAnsi="Georgia"/>
                <w:sz w:val="19"/>
              </w:rPr>
              <w:t>• Q-022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bookmarkStart w:id="148" w:name="REL_002"/>
      <w:r>
        <w:rPr>
          <w:rFonts w:ascii="Calibri" w:hAnsi="Calibri"/>
          <w:b/>
          <w:color w:val="1F4E79"/>
          <w:sz w:val="20"/>
        </w:rPr>
        <w:t xml:space="preserve">REL-002  </w:t>
      </w:r>
      <w:r>
        <w:rPr>
          <w:rFonts w:ascii="Calibri" w:hAnsi="Calibri"/>
          <w:b/>
          <w:sz w:val="20"/>
        </w:rPr>
        <w:t>Backlog derivation</w:t>
      </w:r>
      <w:bookmarkEnd w:id="14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A delivery lead sees every story name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bookmarkStart w:id="149" w:name="REL_003"/>
      <w:r>
        <w:rPr>
          <w:rFonts w:ascii="Calibri" w:hAnsi="Calibri"/>
          <w:b/>
          <w:color w:val="1F4E79"/>
          <w:sz w:val="20"/>
        </w:rPr>
        <w:t xml:space="preserve">REL-003  </w:t>
      </w:r>
      <w:r>
        <w:rPr>
          <w:rFonts w:ascii="Calibri" w:hAnsi="Calibri"/>
          <w:b/>
          <w:sz w:val="20"/>
        </w:rPr>
        <w:t>More than one author</w:t>
      </w:r>
      <w:bookmarkEnd w:id="14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reviewer, such as the engineering lead (PER-002), can comment on a section inside the set, not on an exported copy,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bookmarkStart w:id="150" w:name="prd_forge_glossary"/>
      <w:r>
        <w:t>Glossary</w:t>
      </w:r>
      <w:bookmarkEnd w:id="150"/>
    </w:p>
    <w:p>
      <w:pPr>
        <w:spacing w:after="240"/>
      </w:pPr>
      <w:r>
        <w:rPr>
          <w:rFonts w:ascii="Calibri" w:hAnsi="Calibri"/>
          <w:b/>
          <w:caps/>
          <w:color w:val="5C6370"/>
          <w:sz w:val="15"/>
        </w:rPr>
        <w:t>draft · 85/100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Pass</w:t>
            </w:r>
          </w:p>
        </w:tc>
        <w:tc>
          <w:tcPr>
            <w:tcW w:type="dxa" w:w="5249"/>
            <w:tcBorders>
              <w:bottom w:val="single" w:sz="6" w:space="4" w:color="D8DCE3"/>
            </w:tcBorders>
          </w:tcPr>
          <w:p>
            <w:pPr>
              <w:spacing w:after="60"/>
            </w:pPr>
            <w:r/>
            <w:r>
              <w:rPr>
                <w:rFonts w:ascii="Georgia" w:hAnsi="Georgia"/>
                <w:sz w:val="18"/>
              </w:rPr>
              <w:t>Meeting the gate</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Offered for approval</w:t>
            </w:r>
          </w:p>
        </w:tc>
      </w:tr>
      <w:tr>
        <w:tc>
          <w:tcPr>
            <w:tcW w:type="dxa" w:w="3766"/>
            <w:tcBorders>
              <w:bottom w:val="single" w:sz="6" w:space="4" w:color="D8DCE3"/>
            </w:tcBorders>
          </w:tcPr>
          <w:p>
            <w:pPr>
              <w:spacing w:after="60"/>
            </w:pPr>
            <w:r/>
            <w:r>
              <w:rPr>
                <w:rFonts w:ascii="Georgia" w:hAnsi="Georgia"/>
                <w:sz w:val="18"/>
              </w:rPr>
              <w:t>Offered for approval</w:t>
            </w:r>
          </w:p>
        </w:tc>
        <w:tc>
          <w:tcPr>
            <w:tcW w:type="dxa" w:w="5249"/>
            <w:tcBorders>
              <w:bottom w:val="single" w:sz="6" w:space="4" w:color="D8DCE3"/>
            </w:tcBorders>
          </w:tcPr>
          <w:p>
            <w:pPr>
              <w:spacing w:after="60"/>
            </w:pPr>
            <w:r/>
            <w:r>
              <w:rPr>
                <w:rFonts w:ascii="Georgia" w:hAnsi="Georgia"/>
                <w:sz w:val="18"/>
              </w:rPr>
              <w:t>Ready</w:t>
            </w:r>
          </w:p>
        </w:tc>
      </w:tr>
      <w:tr>
        <w:tc>
          <w:tcPr>
            <w:tcW w:type="dxa" w:w="3766"/>
            <w:tcBorders>
              <w:bottom w:val="single" w:sz="6" w:space="4" w:color="D8DCE3"/>
            </w:tcBorders>
          </w:tcPr>
          <w:p>
            <w:pPr>
              <w:spacing w:after="60"/>
            </w:pPr>
            <w:r/>
            <w:r>
              <w:rPr>
                <w:rFonts w:ascii="Georgia" w:hAnsi="Georgia"/>
                <w:sz w:val="18"/>
              </w:rPr>
              <w:t>Sitting</w:t>
            </w:r>
          </w:p>
        </w:tc>
        <w:tc>
          <w:tcPr>
            <w:tcW w:type="dxa" w:w="5249"/>
            <w:tcBorders>
              <w:bottom w:val="single" w:sz="6" w:space="4" w:color="D8DCE3"/>
            </w:tcBorders>
          </w:tcPr>
          <w:p>
            <w:pPr>
              <w:spacing w:after="60"/>
            </w:pPr>
            <w:r/>
            <w:r>
              <w:rPr>
                <w:rFonts w:ascii="Georgia" w:hAnsi="Georgia"/>
                <w:sz w:val="18"/>
              </w:rPr>
              <w:t>A session</w:t>
            </w:r>
          </w:p>
        </w:tc>
      </w:tr>
      <w:tr>
        <w:tc>
          <w:tcPr>
            <w:tcW w:type="dxa" w:w="3766"/>
            <w:tcBorders>
              <w:bottom w:val="single" w:sz="6" w:space="4" w:color="D8DCE3"/>
            </w:tcBorders>
          </w:tcPr>
          <w:p>
            <w:pPr>
              <w:spacing w:after="60"/>
            </w:pPr>
            <w:r/>
            <w:r>
              <w:rPr>
                <w:rFonts w:ascii="Georgia" w:hAnsi="Georgia"/>
                <w:sz w:val="18"/>
              </w:rPr>
              <w:t>Experiment</w:t>
            </w:r>
          </w:p>
        </w:tc>
        <w:tc>
          <w:tcPr>
            <w:tcW w:type="dxa" w:w="5249"/>
            <w:tcBorders>
              <w:bottom w:val="single" w:sz="6" w:space="4" w:color="D8DCE3"/>
            </w:tcBorders>
          </w:tcPr>
          <w:p>
            <w:pPr>
              <w:spacing w:after="60"/>
            </w:pPr>
            <w:r/>
            <w:r>
              <w:rPr>
                <w:rFonts w:ascii="Georgia" w:hAnsi="Georgia"/>
                <w:sz w:val="18"/>
              </w:rPr>
              <w:t>A spike</w:t>
            </w:r>
          </w:p>
        </w:tc>
      </w:tr>
      <w:tr>
        <w:tc>
          <w:tcPr>
            <w:tcW w:type="dxa" w:w="3766"/>
            <w:tcBorders>
              <w:bottom w:val="single" w:sz="6" w:space="4" w:color="D8DCE3"/>
            </w:tcBorders>
          </w:tcPr>
          <w:p>
            <w:pPr>
              <w:spacing w:after="60"/>
            </w:pPr>
            <w:r/>
            <w:r>
              <w:rPr>
                <w:rFonts w:ascii="Georgia" w:hAnsi="Georgia"/>
                <w:sz w:val="18"/>
              </w:rPr>
              <w:t>Agent</w:t>
            </w:r>
          </w:p>
        </w:tc>
        <w:tc>
          <w:tcPr>
            <w:tcW w:type="dxa" w:w="5249"/>
            <w:tcBorders>
              <w:bottom w:val="single" w:sz="6" w:space="4" w:color="D8DCE3"/>
            </w:tcBorders>
          </w:tcPr>
          <w:p>
            <w:pPr>
              <w:spacing w:after="60"/>
            </w:pPr>
            <w:r/>
            <w:r>
              <w:rPr>
                <w:rFonts w:ascii="Georgia" w:hAnsi="Georgia"/>
                <w:sz w:val="18"/>
              </w:rPr>
              <w:t>A person</w:t>
            </w:r>
          </w:p>
        </w:tc>
      </w:tr>
      <w:tr>
        <w:tc>
          <w:tcPr>
            <w:tcW w:type="dxa" w:w="3766"/>
            <w:tcBorders>
              <w:bottom w:val="single" w:sz="6" w:space="4" w:color="D8DCE3"/>
            </w:tcBorders>
          </w:tcPr>
          <w:p>
            <w:pPr>
              <w:spacing w:after="60"/>
            </w:pPr>
            <w:r/>
            <w:r>
              <w:rPr>
                <w:rFonts w:ascii="Georgia" w:hAnsi="Georgia"/>
                <w:sz w:val="18"/>
              </w:rPr>
              <w:t>Exported copy</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Review comment</w:t>
            </w:r>
          </w:p>
        </w:tc>
        <w:tc>
          <w:tcPr>
            <w:tcW w:type="dxa" w:w="5249"/>
            <w:tcBorders>
              <w:bottom w:val="single" w:sz="6" w:space="4" w:color="D8DCE3"/>
            </w:tcBorders>
          </w:tcPr>
          <w:p>
            <w:pPr>
              <w:spacing w:after="60"/>
            </w:pPr>
            <w:r/>
            <w:r>
              <w:rPr>
                <w:rFonts w:ascii="Georgia" w:hAnsi="Georgia"/>
                <w:sz w:val="18"/>
              </w:rPr>
              <w:t>A finding</w:t>
            </w:r>
          </w:p>
        </w:tc>
      </w:tr>
      <w:tr>
        <w:tc>
          <w:tcPr>
            <w:tcW w:type="dxa" w:w="3766"/>
            <w:tcBorders>
              <w:bottom w:val="single" w:sz="6" w:space="4" w:color="D8DCE3"/>
            </w:tcBorders>
          </w:tcPr>
          <w:p>
            <w:pPr>
              <w:spacing w:after="60"/>
            </w:pPr>
            <w:r/>
            <w:r>
              <w:rPr>
                <w:rFonts w:ascii="Georgia" w:hAnsi="Georgia"/>
                <w:sz w:val="18"/>
              </w:rPr>
              <w:t>Capability</w:t>
            </w:r>
          </w:p>
        </w:tc>
        <w:tc>
          <w:tcPr>
            <w:tcW w:type="dxa" w:w="5249"/>
            <w:tcBorders>
              <w:bottom w:val="single" w:sz="6" w:space="4" w:color="D8DCE3"/>
            </w:tcBorders>
          </w:tcPr>
          <w:p>
            <w:pPr>
              <w:spacing w:after="60"/>
            </w:pPr>
            <w:r/>
            <w:r>
              <w:rPr>
                <w:rFonts w:ascii="Georgia" w:hAnsi="Georgia"/>
                <w:sz w:val="18"/>
              </w:rPr>
              <w:t>A capability the system needs</w:t>
            </w:r>
          </w:p>
        </w:tc>
      </w:tr>
      <w:tr>
        <w:tc>
          <w:tcPr>
            <w:tcW w:type="dxa" w:w="3766"/>
            <w:tcBorders>
              <w:bottom w:val="single" w:sz="6" w:space="4" w:color="D8DCE3"/>
            </w:tcBorders>
          </w:tcPr>
          <w:p>
            <w:pPr>
              <w:spacing w:after="60"/>
            </w:pPr>
            <w:r/>
            <w:r>
              <w:rPr>
                <w:rFonts w:ascii="Georgia" w:hAnsi="Georgia"/>
                <w:sz w:val="18"/>
              </w:rPr>
              <w:t>Delegated</w:t>
            </w:r>
          </w:p>
        </w:tc>
        <w:tc>
          <w:tcPr>
            <w:tcW w:type="dxa" w:w="5249"/>
            <w:tcBorders>
              <w:bottom w:val="single" w:sz="6" w:space="4" w:color="D8DCE3"/>
            </w:tcBorders>
          </w:tcPr>
          <w:p>
            <w:pPr>
              <w:spacing w:after="60"/>
            </w:pPr>
            <w:r/>
            <w:r>
              <w:rPr>
                <w:rFonts w:ascii="Georgia" w:hAnsi="Georgia"/>
                <w:sz w:val="18"/>
              </w:rPr>
              <w:t>A person deciding on someone's behalf</w:t>
            </w:r>
          </w:p>
        </w:tc>
      </w:tr>
      <w:tr>
        <w:tc>
          <w:tcPr>
            <w:tcW w:type="dxa" w:w="3766"/>
            <w:tcBorders>
              <w:bottom w:val="single" w:sz="6" w:space="4" w:color="D8DCE3"/>
            </w:tcBorders>
          </w:tcPr>
          <w:p>
            <w:pPr>
              <w:spacing w:after="60"/>
            </w:pPr>
            <w:r/>
            <w:r>
              <w:rPr>
                <w:rFonts w:ascii="Georgia" w:hAnsi="Georgia"/>
                <w:sz w:val="18"/>
              </w:rPr>
              <w:t>Verdict</w:t>
            </w:r>
          </w:p>
        </w:tc>
        <w:tc>
          <w:tcPr>
            <w:tcW w:type="dxa" w:w="5249"/>
            <w:tcBorders>
              <w:bottom w:val="single" w:sz="6" w:space="4" w:color="D8DCE3"/>
            </w:tcBorders>
          </w:tcPr>
          <w:p>
            <w:pPr>
              <w:spacing w:after="60"/>
            </w:pPr>
            <w:r/>
            <w:r>
              <w:rPr>
                <w:rFonts w:ascii="Georgia" w:hAnsi="Georgia"/>
                <w:sz w:val="18"/>
              </w:rPr>
              <w:t>A grade</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r>
        <w:tc>
          <w:tcPr>
            <w:tcW w:type="dxa" w:w="3766"/>
            <w:tcBorders>
              <w:bottom w:val="single" w:sz="6" w:space="4" w:color="D8DCE3"/>
            </w:tcBorders>
          </w:tcPr>
          <w:p>
            <w:pPr>
              <w:spacing w:after="60"/>
            </w:pPr>
            <w:r/>
            <w:r>
              <w:rPr>
                <w:rFonts w:ascii="Georgia" w:hAnsi="Georgia"/>
                <w:sz w:val="18"/>
              </w:rPr>
              <w:t>Risk</w:t>
            </w:r>
          </w:p>
        </w:tc>
        <w:tc>
          <w:tcPr>
            <w:tcW w:type="dxa" w:w="5249"/>
            <w:tcBorders>
              <w:bottom w:val="single" w:sz="6" w:space="4" w:color="D8DCE3"/>
            </w:tcBorders>
          </w:tcPr>
          <w:p>
            <w:pPr>
              <w:spacing w:after="60"/>
            </w:pPr>
            <w:r/>
            <w:r>
              <w:rPr>
                <w:rFonts w:ascii="Georgia" w:hAnsi="Georgia"/>
                <w:sz w:val="18"/>
              </w:rPr>
              <w:t>An assumption</w:t>
            </w:r>
          </w:p>
        </w:tc>
      </w:tr>
      <w:tr>
        <w:tc>
          <w:tcPr>
            <w:tcW w:type="dxa" w:w="3766"/>
            <w:tcBorders>
              <w:bottom w:val="single" w:sz="6" w:space="4" w:color="D8DCE3"/>
            </w:tcBorders>
          </w:tcPr>
          <w:p>
            <w:pPr>
              <w:spacing w:after="60"/>
            </w:pPr>
            <w:r/>
            <w:r>
              <w:rPr>
                <w:rFonts w:ascii="Georgia" w:hAnsi="Georgia"/>
                <w:sz w:val="18"/>
              </w:rPr>
              <w:t>Decider</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Review</w:t>
            </w:r>
          </w:p>
        </w:tc>
        <w:tc>
          <w:tcPr>
            <w:tcW w:type="dxa" w:w="5249"/>
            <w:tcBorders>
              <w:bottom w:val="single" w:sz="6" w:space="4" w:color="D8DCE3"/>
            </w:tcBorders>
          </w:tcPr>
          <w:p>
            <w:pPr>
              <w:spacing w:after="60"/>
            </w:pPr>
            <w:r/>
            <w:r>
              <w:rPr>
                <w:rFonts w:ascii="Georgia" w:hAnsi="Georgia"/>
                <w:sz w:val="18"/>
              </w:rPr>
              <w:t>The buildability review</w:t>
            </w:r>
          </w:p>
        </w:tc>
      </w:tr>
      <w:tr>
        <w:tc>
          <w:tcPr>
            <w:tcW w:type="dxa" w:w="3766"/>
            <w:tcBorders>
              <w:bottom w:val="single" w:sz="6" w:space="4" w:color="D8DCE3"/>
            </w:tcBorders>
          </w:tcPr>
          <w:p>
            <w:pPr>
              <w:spacing w:after="60"/>
            </w:pPr>
            <w:r/>
            <w:r>
              <w:rPr>
                <w:rFonts w:ascii="Georgia" w:hAnsi="Georgia"/>
                <w:sz w:val="18"/>
              </w:rPr>
              <w:t>Exit criteria</w:t>
            </w:r>
          </w:p>
        </w:tc>
        <w:tc>
          <w:tcPr>
            <w:tcW w:type="dxa" w:w="5249"/>
            <w:tcBorders>
              <w:bottom w:val="single" w:sz="6" w:space="4" w:color="D8DCE3"/>
            </w:tcBorders>
          </w:tcPr>
          <w:p>
            <w:pPr>
              <w:spacing w:after="60"/>
            </w:pPr>
            <w:r/>
            <w:r>
              <w:rPr>
                <w:rFonts w:ascii="Georgia" w:hAnsi="Georgia"/>
                <w:sz w:val="18"/>
              </w:rPr>
              <w:t>Acceptance criteria</w:t>
            </w:r>
          </w:p>
        </w:tc>
      </w:tr>
      <w:tr>
        <w:tc>
          <w:tcPr>
            <w:tcW w:type="dxa" w:w="3766"/>
            <w:tcBorders>
              <w:bottom w:val="single" w:sz="6" w:space="4" w:color="D8DCE3"/>
            </w:tcBorders>
          </w:tcPr>
          <w:p>
            <w:pPr>
              <w:spacing w:after="60"/>
            </w:pPr>
            <w:r/>
            <w:r>
              <w:rPr>
                <w:rFonts w:ascii="Georgia" w:hAnsi="Georgia"/>
                <w:sz w:val="18"/>
              </w:rPr>
              <w:t>Unit of work</w:t>
            </w:r>
          </w:p>
        </w:tc>
        <w:tc>
          <w:tcPr>
            <w:tcW w:type="dxa" w:w="5249"/>
            <w:tcBorders>
              <w:bottom w:val="single" w:sz="6" w:space="4" w:color="D8DCE3"/>
            </w:tcBorders>
          </w:tcPr>
          <w:p>
            <w:pPr>
              <w:spacing w:after="60"/>
            </w:pPr>
            <w:r/>
            <w:r>
              <w:rPr>
                <w:rFonts w:ascii="Georgia" w:hAnsi="Georgia"/>
                <w:sz w:val="18"/>
              </w:rPr>
              <w:t>An engagement</w:t>
            </w:r>
          </w:p>
        </w:tc>
      </w:tr>
      <w:tr>
        <w:tc>
          <w:tcPr>
            <w:tcW w:type="dxa" w:w="3766"/>
            <w:tcBorders>
              <w:bottom w:val="single" w:sz="6" w:space="4" w:color="D8DCE3"/>
            </w:tcBorders>
          </w:tcPr>
          <w:p>
            <w:pPr>
              <w:spacing w:after="60"/>
            </w:pPr>
            <w:r/>
            <w:r>
              <w:rPr>
                <w:rFonts w:ascii="Georgia" w:hAnsi="Georgia"/>
                <w:sz w:val="18"/>
              </w:rPr>
              <w:t>Gap</w:t>
            </w:r>
          </w:p>
        </w:tc>
        <w:tc>
          <w:tcPr>
            <w:tcW w:type="dxa" w:w="5249"/>
            <w:tcBorders>
              <w:bottom w:val="single" w:sz="6" w:space="4" w:color="D8DCE3"/>
            </w:tcBorders>
          </w:tcPr>
          <w:p>
            <w:pPr>
              <w:spacing w:after="60"/>
            </w:pPr>
            <w:r/>
            <w:r>
              <w:rPr>
                <w:rFonts w:ascii="Georgia" w:hAnsi="Georgia"/>
                <w:sz w:val="18"/>
              </w:rPr>
              <w:t>A finding, a blocking defect</w:t>
            </w:r>
          </w:p>
        </w:tc>
      </w:tr>
      <w:tr>
        <w:tc>
          <w:tcPr>
            <w:tcW w:type="dxa" w:w="3766"/>
            <w:tcBorders>
              <w:bottom w:val="single" w:sz="6" w:space="4" w:color="D8DCE3"/>
            </w:tcBorders>
          </w:tcPr>
          <w:p>
            <w:pPr>
              <w:spacing w:after="60"/>
            </w:pPr>
            <w:r/>
            <w:r>
              <w:rPr>
                <w:rFonts w:ascii="Georgia" w:hAnsi="Georgia"/>
                <w:sz w:val="18"/>
              </w:rPr>
              <w:t>Wireframe</w:t>
            </w:r>
          </w:p>
        </w:tc>
        <w:tc>
          <w:tcPr>
            <w:tcW w:type="dxa" w:w="5249"/>
            <w:tcBorders>
              <w:bottom w:val="single" w:sz="6" w:space="4" w:color="D8DCE3"/>
            </w:tcBorders>
          </w:tcPr>
          <w:p>
            <w:pPr>
              <w:spacing w:after="60"/>
            </w:pPr>
            <w:r/>
            <w:r>
              <w:rPr>
                <w:rFonts w:ascii="Georgia" w:hAnsi="Georgia"/>
                <w:sz w:val="18"/>
              </w:rPr>
              <w:t>A design</w:t>
            </w:r>
          </w:p>
        </w:tc>
      </w:tr>
      <w:tr>
        <w:tc>
          <w:tcPr>
            <w:tcW w:type="dxa" w:w="3766"/>
            <w:tcBorders>
              <w:bottom w:val="single" w:sz="6" w:space="4" w:color="D8DCE3"/>
            </w:tcBorders>
          </w:tcPr>
          <w:p>
            <w:pPr>
              <w:spacing w:after="60"/>
            </w:pPr>
            <w:r/>
            <w:r>
              <w:rPr>
                <w:rFonts w:ascii="Georgia" w:hAnsi="Georgia"/>
                <w:sz w:val="18"/>
              </w:rPr>
              <w:t>Session</w:t>
            </w:r>
          </w:p>
        </w:tc>
        <w:tc>
          <w:tcPr>
            <w:tcW w:type="dxa" w:w="5249"/>
            <w:tcBorders>
              <w:bottom w:val="single" w:sz="6" w:space="4" w:color="D8DCE3"/>
            </w:tcBorders>
          </w:tcPr>
          <w:p>
            <w:pPr>
              <w:spacing w:after="60"/>
            </w:pPr>
            <w:r/>
            <w:r>
              <w:rPr>
                <w:rFonts w:ascii="Georgia" w:hAnsi="Georgia"/>
                <w:sz w:val="18"/>
              </w:rPr>
              <w:t>A sitting</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Abbreviation</w:t>
            </w:r>
          </w:p>
        </w:tc>
        <w:tc>
          <w:tcPr>
            <w:tcW w:type="dxa" w:w="7070"/>
          </w:tcPr>
          <w:p>
            <w:pPr>
              <w:spacing w:after="60"/>
            </w:pPr>
            <w:r/>
            <w:r>
              <w:rPr>
                <w:rFonts w:ascii="Georgia" w:hAnsi="Georgia"/>
                <w:sz w:val="19"/>
              </w:rPr>
              <w:t>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part of a journey, naming a person, an input, an output and a decision, and holding its steps.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properties a statement must have to be a requirement, numbered 1 to 5 in this order: a named user, an outcome a person can see, a pass-or-fail acceptance test, a priority, and no named component or technology.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 This set widens the source because some of its open questions ask what people will accept, as Q-005 does, and only work with those people answers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run inside a dependency's observed sittings, as Q-006 and Q-007 run in D-002's.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one user goes through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the state pending,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or </w:t>
            </w:r>
            <w:r>
              <w:rPr>
                <w:rFonts w:ascii="Consolas" w:hAnsi="Consolas"/>
                <w:sz w:val="19"/>
              </w:rPr>
              <w:t>final</w:t>
            </w:r>
            <w:r>
              <w:rPr>
                <w:rFonts w:ascii="Georgia" w:hAnsi="Georgia"/>
                <w:sz w:val="19"/>
              </w:rPr>
              <w:t>, set by the expert under TR-002. LC-001 in section 5 shows each move.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buildability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grade. A grade scores one section against its rubric, and a verdict is the buildability review's conclusion on the whole set.</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version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engagement. An engagement is the writing of one set with this product, and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A wireframe is labeled an illustration, and the development team decides how the screen looks.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the set names, by name and role under FR-021, who approves, approves with conditions, or rejects the whole set for a release under TR-001. A set names one or more approvers: the sponsor, or the expert when no sponsor exists. Only a named approver's decision counts. A set approved with conditions reads that way until the approver who stated each condition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meets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 The set departs because it writes Given/When/Then on one stage or one requirement, and it needs a separate word for a walk across several stages with real values, which section 5 calls a scenario.</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finding or a blocking defect. A finding is anything a review reports, and a blocking defect is a finding that stops a section moving on. A gap is a thing the set leaves unsaid.</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after reading what the section is for. It ends as the question list says. Only the expert answers in it, so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 so every story traces to the backbone, which in this set is the journey stages.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 so that each release's backlog is one group a delivery lead can plan, as ST-008's epics scoped by the release line need.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 so every story carries the requirement id it came from, which is J-002's need.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release, such as REL-001, with its outcomes, its exit criteria, and the journey stages it completes when it has any.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because a story map needs an order of work to hang its stories on.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when the list is finished, when the expert says they have nothing more to add, or earlier, when the expert's answers would already meet the gate.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meet to move to its next state. For </w:t>
            </w:r>
            <w:r>
              <w:rPr>
                <w:rFonts w:ascii="Consolas" w:hAnsi="Consolas"/>
                <w:sz w:val="19"/>
              </w:rPr>
              <w:t>review</w:t>
            </w:r>
            <w:r>
              <w:rPr>
                <w:rFonts w:ascii="Georgia" w:hAnsi="Georgia"/>
                <w:sz w:val="19"/>
              </w:rPr>
              <w:t>, a score at or above the threshold with no blocking defect, in a set that checks clean.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The session shows what the product shows, and it carries any number of people working at once.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sitting, which is a stretch of time spent on the work and can span more than one session.</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meets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Offered for approval. Ready describes one section. The expert decides, under TR-010, whether the whole set may be offered for approval.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capability the system needs, as the backbone's source uses the word. In this set a capability belongs to one user, and the backbone is the journey stages.</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with this product,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p>
            <w:pPr>
              <w:spacing w:after="40"/>
              <w:ind w:left="173"/>
            </w:pPr>
            <w:r>
              <w:rPr>
                <w:rFonts w:ascii="Georgia" w:hAnsi="Georgia"/>
                <w:sz w:val="19"/>
              </w:rPr>
              <w:t>• agent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Decided by a person on someone else's behalf. A person who decides while the decider is away does so under the rule's escalation, and that is not delegation.</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Only that first verdict counts, so no gap fixed after it changes the result.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comments on a section inside the set without being able to change it, as REL-003 plans. No persona in release 1 is a reviewer. In release 1 a sponsor comments on an exported copy instead, as a review comment.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development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state </w:t>
            </w:r>
            <w:r>
              <w:rPr>
                <w:rFonts w:ascii="Consolas" w:hAnsi="Consolas"/>
                <w:sz w:val="19"/>
              </w:rPr>
              <w:t>review</w:t>
            </w:r>
            <w:r>
              <w:rPr>
                <w:rFonts w:ascii="Georgia" w:hAnsi="Georgia"/>
                <w:sz w:val="19"/>
              </w:rPr>
              <w:t>: a section ready for someone else to read.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buildability review, which is its own term, or the expert reading a draft, which the set calls reading.</w:t>
            </w:r>
          </w:p>
        </w:tc>
      </w:tr>
    </w:tbl>
    <w:p>
      <w:pPr>
        <w:spacing w:after="40"/>
      </w:pPr>
    </w:p>
    <w:p>
      <w:pPr>
        <w:keepNext/>
        <w:spacing w:before="220" w:after="60"/>
        <w:ind w:left="115"/>
        <w:pBdr>
          <w:left w:val="single" w:sz="18" w:space="0" w:color="1F4E79"/>
        </w:pBdr>
      </w:pPr>
      <w:r>
        <w:rPr>
          <w:rFonts w:ascii="Calibri" w:hAnsi="Calibri"/>
          <w:b/>
          <w:sz w:val="20"/>
        </w:rPr>
        <w:t>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PRD passes the buildability review when its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as O-001 defines.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verdict</w:t>
            </w:r>
          </w:p>
          <w:p>
            <w:pPr>
              <w:spacing w:after="40"/>
              <w:ind w:left="173"/>
            </w:pPr>
            <w:r>
              <w:rPr>
                <w:rFonts w:ascii="Georgia" w:hAnsi="Georgia"/>
                <w:sz w:val="19"/>
              </w:rPr>
              <w:t>• first submission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Meeting the gate, or a grading pass. A section meets the gate, a grading pass is one run of the rubric, and a PRD passes the buildability review.</w:t>
            </w:r>
          </w:p>
        </w:tc>
      </w:tr>
    </w:tbl>
    <w:p>
      <w:pPr>
        <w:spacing w:after="40"/>
      </w:pPr>
    </w:p>
    <w:p>
      <w:pPr>
        <w:keepNext/>
        <w:spacing w:before="220" w:after="60"/>
        <w:ind w:left="115"/>
        <w:pBdr>
          <w:left w:val="single" w:sz="18" w:space="0" w:color="1F4E79"/>
        </w:pBdr>
      </w:pPr>
      <w:r>
        <w:rPr>
          <w:rFonts w:ascii="Calibri" w:hAnsi="Calibri"/>
          <w:b/>
          <w:sz w:val="20"/>
        </w:rPr>
        <w:t>Indicative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release date the plan aims at and has not committed to, marked indicative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Follow-up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further question about the answer just given, asked before the next topic opens, when the answer leaves something the section needs unanswered or could be written into the section in two ways.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topic</w:t>
            </w:r>
          </w:p>
        </w:tc>
      </w:tr>
    </w:tbl>
    <w:p>
      <w:pPr>
        <w:spacing w:after="40"/>
      </w:pPr>
    </w:p>
    <w:p>
      <w:pPr>
        <w:keepNext/>
        <w:spacing w:before="220" w:after="60"/>
        <w:ind w:left="115"/>
        <w:pBdr>
          <w:left w:val="single" w:sz="18" w:space="0" w:color="1F4E79"/>
        </w:pBdr>
      </w:pPr>
      <w:r>
        <w:rPr>
          <w:rFonts w:ascii="Calibri" w:hAnsi="Calibri"/>
          <w:b/>
          <w:sz w:val="20"/>
        </w:rPr>
        <w:t>Specification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In the general sense only: a requirements document written without this method, as section 1 and Q-001 use the word. This set calls itself a PRD, and calls the documents that make it up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p>
            <w:pPr>
              <w:spacing w:after="40"/>
              <w:ind w:left="173"/>
            </w:pP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Development team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people who build from an approved set: the engineering lead, the delivery lead, and the engineers, as section 4 names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delivery lead</w:t>
            </w:r>
          </w:p>
          <w:p>
            <w:pPr>
              <w:spacing w:after="40"/>
              <w:ind w:left="173"/>
            </w:pPr>
            <w:r>
              <w:rPr>
                <w:rFonts w:ascii="Georgia" w:hAnsi="Georgia"/>
                <w:sz w:val="19"/>
              </w:rPr>
              <w:t>• engineer</w:t>
            </w:r>
          </w:p>
        </w:tc>
      </w:tr>
    </w:tbl>
    <w:p>
      <w:pPr>
        <w:spacing w:after="40"/>
      </w:pPr>
    </w:p>
    <w:p>
      <w:pPr>
        <w:keepNext/>
        <w:spacing w:before="220" w:after="60"/>
        <w:ind w:left="115"/>
        <w:pBdr>
          <w:left w:val="single" w:sz="18" w:space="0" w:color="1F4E79"/>
        </w:pBdr>
      </w:pPr>
      <w:r>
        <w:rPr>
          <w:rFonts w:ascii="Calibri" w:hAnsi="Calibri"/>
          <w:b/>
          <w:sz w:val="20"/>
        </w:rPr>
        <w:t>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set the expert has decided, under TR-010 in stage ST-005, may go to the approver, as its root document or an exported copy. A set offered for approval reads as not approved until the approver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ready</w:t>
            </w:r>
          </w:p>
          <w:p>
            <w:pPr>
              <w:spacing w:after="40"/>
              <w:ind w:left="173"/>
            </w:pPr>
            <w:r>
              <w:rPr>
                <w:rFonts w:ascii="Georgia" w:hAnsi="Georgia"/>
                <w:sz w:val="19"/>
              </w:rPr>
              <w:t>• approver</w:t>
            </w:r>
          </w:p>
          <w:p>
            <w:pPr>
              <w:spacing w:after="40"/>
              <w:ind w:left="173"/>
            </w:pPr>
            <w:r>
              <w:rPr>
                <w:rFonts w:ascii="Georgia" w:hAnsi="Georgia"/>
                <w:sz w:val="19"/>
              </w:rPr>
              <w:t>• exported copy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Ready. Ready describes one section, and a set is offered for approval as a whole.</w:t>
            </w:r>
          </w:p>
        </w:tc>
      </w:tr>
    </w:tbl>
    <w:p>
      <w:pPr>
        <w:spacing w:after="40"/>
      </w:pPr>
    </w:p>
    <w:p>
      <w:pPr>
        <w:keepNext/>
        <w:spacing w:before="220" w:after="60"/>
        <w:ind w:left="115"/>
        <w:pBdr>
          <w:left w:val="single" w:sz="18" w:space="0" w:color="1F4E79"/>
        </w:pBdr>
      </w:pPr>
      <w:r>
        <w:rPr>
          <w:rFonts w:ascii="Calibri" w:hAnsi="Calibri"/>
          <w:b/>
          <w:sz w:val="20"/>
        </w:rPr>
        <w:t>Sitting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stretch of time an expert spends on the work, such as one of the 6 to 9 working sittings per PRD in section 4, or one of D-002's ten observed sittings. One sitting can span more than one session.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session. A session is the assistant conversation the product works inside.</w:t>
            </w:r>
          </w:p>
        </w:tc>
      </w:tr>
    </w:tbl>
    <w:p>
      <w:pPr>
        <w:spacing w:after="40"/>
      </w:pPr>
    </w:p>
    <w:p>
      <w:pPr>
        <w:keepNext/>
        <w:spacing w:before="220" w:after="60"/>
        <w:ind w:left="115"/>
        <w:pBdr>
          <w:left w:val="single" w:sz="18" w:space="0" w:color="1F4E79"/>
        </w:pBdr>
      </w:pPr>
      <w:r>
        <w:rPr>
          <w:rFonts w:ascii="Calibri" w:hAnsi="Calibri"/>
          <w:b/>
          <w:sz w:val="20"/>
        </w:rPr>
        <w:t>Loop-back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return to an earlier section because a later one showed it was incomplete, such as writing the requirements sending the expert back to the journeys. ST-004 allows it, and Q-007 counts loop-backs in D-002's observed sittings.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sitting</w:t>
            </w:r>
          </w:p>
        </w:tc>
      </w:tr>
    </w:tbl>
    <w:p>
      <w:pPr>
        <w:spacing w:after="40"/>
      </w:pPr>
    </w:p>
    <w:p>
      <w:pPr>
        <w:keepNext/>
        <w:spacing w:before="220" w:after="60"/>
        <w:ind w:left="115"/>
        <w:pBdr>
          <w:left w:val="single" w:sz="18" w:space="0" w:color="1F4E79"/>
        </w:pBdr>
      </w:pPr>
      <w:r>
        <w:rPr>
          <w:rFonts w:ascii="Calibri" w:hAnsi="Calibri"/>
          <w:b/>
          <w:sz w:val="20"/>
        </w:rPr>
        <w:t>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release shipped while assumptions it depends on are still untested, and said to be so. Section 13 names this as REL-001's course if D-002 or D-003 reports late, and Q-022 decides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spike. A spike produces an answer, and an experiment ships a release.</w:t>
            </w:r>
          </w:p>
        </w:tc>
      </w:tr>
    </w:tbl>
    <w:p>
      <w:pPr>
        <w:spacing w:after="40"/>
      </w:pPr>
    </w:p>
    <w:p>
      <w:pPr>
        <w:keepNext/>
        <w:spacing w:before="220" w:after="60"/>
        <w:ind w:left="115"/>
        <w:pBdr>
          <w:left w:val="single" w:sz="18" w:space="0" w:color="1F4E79"/>
        </w:pBdr>
      </w:pPr>
      <w:r>
        <w:rPr>
          <w:rFonts w:ascii="Calibri" w:hAnsi="Calibri"/>
          <w:b/>
          <w:sz w:val="20"/>
        </w:rPr>
        <w:t>Agent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Software that takes a decision section 10 marks as one an agent may decide, such as TR-003's score and findings. In this set an agent only proposes, and the person the rule names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delegated</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person. Every decider in section 10 is a person.</w:t>
            </w:r>
          </w:p>
        </w:tc>
      </w:tr>
    </w:tbl>
    <w:p>
      <w:pPr>
        <w:spacing w:after="40"/>
      </w:pPr>
    </w:p>
    <w:p>
      <w:pPr>
        <w:keepNext/>
        <w:spacing w:before="220" w:after="60"/>
        <w:ind w:left="115"/>
        <w:pBdr>
          <w:left w:val="single" w:sz="18" w:space="0" w:color="1F4E79"/>
        </w:pBdr>
      </w:pPr>
      <w:r>
        <w:rPr>
          <w:rFonts w:ascii="Calibri" w:hAnsi="Calibri"/>
          <w:b/>
          <w:sz w:val="20"/>
        </w:rPr>
        <w:t>Exported copy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set in a form the sponsor reads outside the product, in place of the root document, as in ST-006.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offered for approval</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is its documents, and an exported copy is one form of them for reading.</w:t>
            </w:r>
          </w:p>
        </w:tc>
      </w:tr>
    </w:tbl>
    <w:p>
      <w:pPr>
        <w:spacing w:after="40"/>
      </w:pPr>
    </w:p>
    <w:p>
      <w:pPr>
        <w:keepNext/>
        <w:spacing w:before="220" w:after="60"/>
        <w:ind w:left="115"/>
        <w:pBdr>
          <w:left w:val="single" w:sz="18" w:space="0" w:color="1F4E79"/>
        </w:pBdr>
      </w:pPr>
      <w:r>
        <w:rPr>
          <w:rFonts w:ascii="Calibri" w:hAnsi="Calibri"/>
          <w:b/>
          <w:sz w:val="20"/>
        </w:rPr>
        <w:t>Review comment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comment the sponsor, or anyone else reading an exported copy, leaves in that copy. The expert brings it back into the set and records a response with one of three statuses: accepted, when the set changed because of it; declined, when the set did not change, with the reason; or answered, when it asked a question and the set did not need to change (FR-022).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exported copy</w:t>
            </w:r>
          </w:p>
          <w:p>
            <w:pPr>
              <w:spacing w:after="40"/>
              <w:ind w:left="173"/>
            </w:pPr>
            <w:r>
              <w:rPr>
                <w:rFonts w:ascii="Georgia" w:hAnsi="Georgia"/>
                <w:sz w:val="19"/>
              </w:rPr>
              <w:t>• sponsor</w:t>
            </w:r>
          </w:p>
          <w:p>
            <w:pPr>
              <w:spacing w:after="40"/>
              <w:ind w:left="173"/>
            </w:pPr>
            <w:r>
              <w:rPr>
                <w:rFonts w:ascii="Georgia" w:hAnsi="Georgia"/>
                <w:sz w:val="19"/>
              </w:rPr>
              <w:t>• finding</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finding. A finding comes from a grading pass or a buildability review, and a review comment comes from a person reading a copy.</w:t>
            </w:r>
          </w:p>
        </w:tc>
      </w:tr>
    </w:tbl>
    <w:p>
      <w:pPr>
        <w:spacing w:after="40"/>
      </w:pPr>
    </w:p>
    <w:p>
      <w:pPr>
        <w:keepNext/>
        <w:spacing w:before="220" w:after="60"/>
        <w:ind w:left="115"/>
        <w:pBdr>
          <w:left w:val="single" w:sz="18" w:space="0" w:color="1F4E79"/>
        </w:pBdr>
      </w:pPr>
      <w:r>
        <w:rPr>
          <w:rFonts w:ascii="Calibri" w:hAnsi="Calibri"/>
          <w:b/>
          <w:sz w:val="20"/>
        </w:rPr>
        <w:t>Buildable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Said of a set a development team can estimate and build from without re-deriving it, which a buildability review reports as the verdict </w:t>
            </w:r>
            <w:r>
              <w:rPr>
                <w:rFonts w:ascii="Consolas" w:hAnsi="Consolas"/>
                <w:sz w:val="19"/>
              </w:rPr>
              <w:t>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buildability review</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bookmarkStart w:id="151" w:name="prd_forge_change_log"/>
      <w:r>
        <w:t>Change log and approvals</w:t>
      </w:r>
      <w:bookmarkEnd w:id="151"/>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0.10.0</w:t>
            </w:r>
          </w:p>
        </w:tc>
        <w:tc>
          <w:tcPr>
            <w:tcW w:type="dxa" w:w="1435"/>
            <w:tcBorders>
              <w:bottom w:val="single" w:sz="6" w:space="4" w:color="D8DCE3"/>
            </w:tcBorders>
          </w:tcPr>
          <w:p>
            <w:pPr>
              <w:spacing w:after="60"/>
            </w:pPr>
            <w:r/>
            <w:r>
              <w:rPr>
                <w:rFonts w:ascii="Georgia" w:hAnsi="Georgia"/>
                <w:sz w:val="18"/>
              </w:rPr>
              <w:t>2026-10-28</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FR-022 added as a should: a sponsor's comments on an exported copy come back, each with a response, and an open one at approval becomes a condition; WF-011 shows the answered copy; IN-007, REL-001, REL-003, and the glossary include it</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and sourced why-now claims; persona roles and frequencies; satisfaction scores; ST-006 outside the product; FR-019 to FR-021 added; FR-014 rejection; TR-014 for accepting a score; LC-001 back to draft; C-004 out of section 9; single questions due before REL-001; sourced glossary terms with one meaning each;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between problems, personas, objectives, competitors, trust-rule stages, and scenario views</w:t>
            </w:r>
          </w:p>
        </w:tc>
      </w:tr>
      <w:tr>
        <w:tc>
          <w:tcPr>
            <w:tcW w:type="dxa" w:w="1272"/>
            <w:tcBorders>
              <w:bottom w:val="single" w:sz="6" w:space="4" w:color="D8DCE3"/>
            </w:tcBorders>
          </w:tcPr>
          <w:p>
            <w:pPr>
              <w:spacing w:after="60"/>
            </w:pPr>
            <w:r/>
            <w:r>
              <w:rPr>
                <w:rFonts w:ascii="Georgia" w:hAnsi="Georgia"/>
                <w:sz w:val="18"/>
              </w:rPr>
              <w:t>0.5.0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Given/When/Then acceptance on every stage; LC-001; scenario wireframe links; persona short names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the requirements shown on a screen or in a report, and the term wireframe</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J-001's goal without the engineering lead's confirmation; FR-003 and FR-004 outcomes; FR-015 and FR-016 split out; the threshold stated as 70; NFR-010 to NFR-012; TR-007 to TR-012</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sixteen section documents across fifteen sections</w:t>
            </w:r>
          </w:p>
        </w:tc>
      </w:tr>
    </w:tbl>
    <w:p>
      <w:pPr>
        <w:spacing w:after="40"/>
      </w:pPr>
    </w:p>
    <w:p>
      <w:pPr>
        <w:pStyle w:val="Heading3"/>
      </w:pPr>
      <w:r>
        <w:t>0.9.0, what changed</w:t>
      </w:r>
    </w:p>
    <w:p>
      <w:pPr>
        <w:pStyle w:val="ListBullet"/>
        <w:spacing w:after="60"/>
      </w:pPr>
      <w:r>
        <w:rPr>
          <w:b/>
        </w:rPr>
        <w:t>Section 1:</w:t>
      </w:r>
      <w:r>
        <w:t xml:space="preserve"> each problem has one counted case with its source and date, and each why-now claim cites the General Assembly survey of product managers. Desired outcomes name no mechanism, and Q-018 asks for one counted cost per problem.</w:t>
      </w:r>
    </w:p>
    <w:p>
      <w:pPr>
        <w:pStyle w:val="ListBullet"/>
        <w:spacing w:after="60"/>
      </w:pPr>
      <w:r>
        <w:rPr>
          <w:b/>
        </w:rPr>
        <w:t>Section 2:</w:t>
      </w:r>
      <w:r>
        <w:t xml:space="preserve"> ChatPRD is the direct competitor. Why-we-win is one sentence we expect the sponsor to say, each buyer is PER-003, and "client contract" names the contract where "engagement" did.</w:t>
      </w:r>
    </w:p>
    <w:p>
      <w:pPr>
        <w:pStyle w:val="ListBullet"/>
        <w:spacing w:after="60"/>
      </w:pPr>
      <w:r>
        <w:rPr>
          <w:b/>
        </w:rPr>
        <w:t>Section 3:</w:t>
      </w:r>
      <w:r>
        <w:t xml:space="preserve"> O-001 counts the 5 pilot PRDs and defines a pass, O-002 counts the pilot PRDs with one journey, and O-003 counts a requirement testable when two of three engineering leads agree.</w:t>
      </w:r>
    </w:p>
    <w:p>
      <w:pPr>
        <w:pStyle w:val="ListBullet"/>
        <w:spacing w:after="60"/>
      </w:pPr>
      <w:r>
        <w:rPr>
          <w:b/>
        </w:rPr>
        <w:t>Section 4:</w:t>
      </w:r>
      <w:r>
        <w:t xml:space="preserve"> on the expert's decision, PER-001 is a senior product manager in a consultancy or an in-house product team who is, or speaks for, the domain expert. Each persona has a population, a frequency per organization, a basis, a context, and its problems, and no persona is external.</w:t>
      </w:r>
    </w:p>
    <w:p>
      <w:pPr>
        <w:pStyle w:val="ListBullet"/>
        <w:spacing w:after="60"/>
      </w:pPr>
      <w:r>
        <w:rPr>
          <w:b/>
        </w:rPr>
        <w:t>Section 5:</w:t>
      </w:r>
      <w:r>
        <w:t xml:space="preserve"> each stage carries the expert's satisfaction score, and each pain point names its stage. ST-006 happens outside the product. LC-001 makes final the expert's decision under TR-002, and lets a section at review or final go back to draft. SC-004 splits into SC-004 and SC-008.</w:t>
      </w:r>
    </w:p>
    <w:p>
      <w:pPr>
        <w:pStyle w:val="ListBullet"/>
        <w:spacing w:after="60"/>
      </w:pPr>
      <w:r>
        <w:rPr>
          <w:b/>
        </w:rPr>
        <w:t>Section 6:</w:t>
      </w:r>
      <w:r>
        <w:t xml:space="preserve"> ST-006 is outside the product, and teams new to a domain are covered by the first non-goal.</w:t>
      </w:r>
    </w:p>
    <w:p>
      <w:pPr>
        <w:pStyle w:val="ListBullet"/>
        <w:spacing w:after="60"/>
      </w:pPr>
      <w:r>
        <w:rPr>
          <w:b/>
        </w:rPr>
        <w:t>Section 7:</w:t>
      </w:r>
      <w:r>
        <w:t xml:space="preserve"> FR-019 and FR-020, both </w:t>
      </w:r>
      <w:r>
        <w:rPr>
          <w:rFonts w:ascii="Consolas" w:hAnsi="Consolas"/>
          <w:sz w:val="19"/>
        </w:rPr>
        <w:t>should</w:t>
      </w:r>
      <w:r>
        <w:t>, split out of FR-004 and FR-008. FR-014 records a rejection. FR-015 moves to ST-004. WF-001 draws FR-020, and the wireframes name no tool.</w:t>
      </w:r>
    </w:p>
    <w:p>
      <w:pPr>
        <w:pStyle w:val="ListBullet"/>
        <w:spacing w:after="60"/>
      </w:pPr>
      <w:r>
        <w:rPr>
          <w:b/>
        </w:rPr>
        <w:t>Section 8:</w:t>
      </w:r>
      <w:r>
        <w:t xml:space="preserve"> the NFRs name what they time, and NFR-010 and NFR-012 are measured in a test organization.</w:t>
      </w:r>
    </w:p>
    <w:p>
      <w:pPr>
        <w:pStyle w:val="ListBullet"/>
        <w:spacing w:after="60"/>
      </w:pPr>
      <w:r>
        <w:rPr>
          <w:b/>
        </w:rPr>
        <w:t>Section 9:</w:t>
      </w:r>
      <w:r>
        <w:t xml:space="preserve"> on the expert's decision, C-004 leaves, and the section may be empty. Its rule now lives in TR-005 in section 10 and FR-006 in section 7.</w:t>
      </w:r>
    </w:p>
    <w:p>
      <w:pPr>
        <w:pStyle w:val="ListBullet"/>
        <w:spacing w:after="60"/>
      </w:pPr>
      <w:r>
        <w:rPr>
          <w:b/>
        </w:rPr>
        <w:t>Section 10:</w:t>
      </w:r>
      <w:r>
        <w:t xml:space="preserve"> TR-003 only produces a score, and TR-014 has the expert accept or refute it. TR-001 covers a rejection. The three delegable rules propose and never decide.</w:t>
      </w:r>
    </w:p>
    <w:p>
      <w:pPr>
        <w:pStyle w:val="ListBullet"/>
        <w:spacing w:after="60"/>
      </w:pPr>
      <w:r>
        <w:rPr>
          <w:b/>
        </w:rPr>
        <w:t>Section 11:</w:t>
      </w:r>
      <w:r>
        <w:t xml:space="preserve"> R-001 and R-002 are mitigated by 2027-01-31, and D-002 and D-003 report by 2027-01-31.</w:t>
      </w:r>
    </w:p>
    <w:p>
      <w:pPr>
        <w:pStyle w:val="ListBullet"/>
        <w:spacing w:after="60"/>
      </w:pPr>
      <w:r>
        <w:rPr>
          <w:b/>
        </w:rPr>
        <w:t>Section 12:</w:t>
      </w:r>
      <w:r>
        <w:t xml:space="preserve"> each question is single, and those that block REL-001, including the baselines Q-001 to Q-003, are due by 2027-02-28. Q-011 is answered. Q-019 splits into Q-019 and Q-022, and Q-023 tests PER-004.</w:t>
      </w:r>
    </w:p>
    <w:p>
      <w:pPr>
        <w:pStyle w:val="ListBullet"/>
        <w:spacing w:after="60"/>
      </w:pPr>
      <w:r>
        <w:rPr>
          <w:b/>
        </w:rPr>
        <w:t>Section 13:</w:t>
      </w:r>
      <w:r>
        <w:t xml:space="preserve"> REL-001 depends on D-002, D-003, Q-019, and Q-022.</w:t>
      </w:r>
    </w:p>
    <w:p>
      <w:pPr>
        <w:pStyle w:val="ListBullet"/>
        <w:spacing w:after="60"/>
      </w:pPr>
      <w:r>
        <w:rPr>
          <w:b/>
        </w:rPr>
        <w:t>Section 14:</w:t>
      </w:r>
      <w:r>
        <w:t xml:space="preserve"> eight terms cite a verified source, and review, pass, refute, approval, and engagement each have one meaning. Session, buildable, development team, and the general sense of specification are defined. Ready describes one section, and offered for approval describes the set. Sitting, loop-back, experiment, agent, and exported copy are defined.</w:t>
      </w:r>
    </w:p>
    <w:p>
      <w:pPr>
        <w:pStyle w:val="ListBullet"/>
        <w:spacing w:after="60"/>
      </w:pPr>
      <w:r>
        <w:rPr>
          <w:b/>
        </w:rPr>
        <w:t>Section 15:</w:t>
      </w:r>
      <w:r>
        <w:t xml:space="preserve"> the versioning policy, a 0.5.0 entry, and the date the set is offered for approval, 2027-03-15.</w:t>
      </w:r>
    </w:p>
    <w:p>
      <w:pPr>
        <w:pStyle w:val="ListBullet"/>
        <w:spacing w:after="60"/>
      </w:pPr>
      <w:r>
        <w:rPr>
          <w:b/>
        </w:rPr>
        <w:t>Section 7 and section 10:</w:t>
      </w:r>
      <w:r>
        <w:t xml:space="preserve"> on the expert's decision, FR-021, a </w:t>
      </w:r>
      <w:r>
        <w:rPr>
          <w:rFonts w:ascii="Consolas" w:hAnsi="Consolas"/>
          <w:sz w:val="19"/>
        </w:rPr>
        <w:t>must</w:t>
      </w:r>
      <w:r>
        <w:t>, lets the expert name each approver by name and role before offering the set. TR-001's decider stays the sponsor's role.</w:t>
      </w:r>
    </w:p>
    <w:p>
      <w:r>
        <w:rPr>
          <w:rFonts w:ascii="Georgia" w:hAnsi="Georgia"/>
        </w:rPr>
        <w:t>None of this is structural under the policy. Richard Hightower decided this on 2026-10-27. ST-006 stays on the release line with the same goal and end state, and no stage is added, removed, or reordered. PER-001's new wording changes no stage. The release line's text now quotes the existing end state, and ST-006 is done outside the product.</w:t>
      </w: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a correction that changes what a sentence means. A typo fix gets no version.</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From 0.9.0, a reader can rely on the version number to follow it.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Product 0.5.1 changed only the product,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r>
        <w:rPr>
          <w:rFonts w:ascii="Georgia" w:hAnsi="Georgia"/>
        </w:rPr>
        <w:t>The set is offered for approval by 2027-03-15. Under FR-021 its one named approver is Richard Hightower, the owner of the place where this PRD is kept, in the sponsor's role, PER-003. Richard Hightower is also its author and owner, so this is a self-approval, and the entry will say so. When an outside reader reviews the set, their review is recorded beside the approval.</w:t>
      </w:r>
    </w:p>
    <w:p>
      <w:r>
        <w:rPr>
          <w:rFonts w:ascii="Georgia" w:hAnsi="Georgia"/>
        </w:rPr>
        <w:t>Each approval is recorded with the version, the approver's name and role, the date, and the decision. An approval with conditions records each condition as "conditional on &lt;id&gt; by &lt;date&gt;", where the id is the open question or requirement the condition depends on, as FR-014 requires. A rejection records its reason.</w:t>
      </w:r>
    </w:p>
    <w:p>
      <w:r>
        <w:rPr>
          <w:rFonts w:ascii="Georgia" w:hAnsi="Georgia"/>
        </w:rPr>
        <w:t>At 0.9.0 the expert holds every other section to a score over 80, and accepts this section below 80 until the set is offered for approval on 2027-03-15, because its rubric cannot score approvals and conditions higher before an approval exists.</w:t>
      </w:r>
    </w:p>
    <w:p>
      <w:pPr>
        <w:keepNext/>
        <w:spacing w:before="220" w:after="60"/>
        <w:ind w:left="115"/>
        <w:pBdr>
          <w:left w:val="single" w:sz="18" w:space="0" w:color="1F4E79"/>
        </w:pBdr>
      </w:pPr>
      <w:r>
        <w:rPr>
          <w:rFonts w:ascii="Calibri" w:hAnsi="Calibri"/>
          <w:b/>
          <w:sz w:val="20"/>
        </w:rPr>
        <w:t>FR-022 added as a should in REL-001: a sponsor comments on an exported copy without using the product, and the next copy shows each comment's response and what it changed. A comment with no response at approval becomes a condition under FR-014. WF-011 shows that copy. IN-007 and REL-001 include FR-022, REL-003 keeps comments inside the set, and the glossary defines a review comment. A minor version: new content, nothing structural, as Richard Hightower decided on 2026-10-28.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Problems carry counted, sourced evidence. Personas have named roles and frequencies, and every journey stage has the expert's satisfaction score. ST-006 happens outside the product. New requirements FR-019 to FR-021, the last naming each approver. The expert accepts or refutes each score, and a section can go back to draft. Section 9 is empty, and the set states a versioning policy. A minor version: new content, nothing structural, as Richard Hightower decided on 2026-10-27.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review under TR-006, and REL-002 includes it. References to the moved items are updated across the set. Together these fix the blocking defects that did not wait on evidence.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Each problem names its persona, and each objective names the problems it addresses and the open question that will establish its baseline. Competitors have a kind, with the status quo named. Each trust rule names the stages it governs. Scenarios say where the user meets them, SC-001 names the stages it spans, and each screen or report scenario links its wireframes. The root's measure states its target. Section 11 now says D-002 and D-003 fall on REL-001's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Every journey stage gains Given/When/Then acceptance. The scenarios document gains LC-001, the lifecycle of a section, and scenarios can link their wireframes. Each persona gains a short name, which the diagrams show in place of its 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(now A-005, since 0.8.1)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 documents across fifteen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6"/>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0.10.0,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