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58/100</w:t>
            </w:r>
          </w:p>
        </w:tc>
        <w:tc>
          <w:tcPr>
            <w:tcW w:type="dxa" w:w="1422"/>
            <w:tcBorders>
              <w:bottom w:val="single" w:sz="6" w:space="4" w:color="D8DCE3"/>
            </w:tcBorders>
          </w:tcPr>
          <w:p>
            <w:pPr>
              <w:spacing w:after="60"/>
            </w:pPr>
            <w:r/>
            <w:r>
              <w:rPr>
                <w:rFonts w:ascii="Georgia" w:hAnsi="Georgia"/>
                <w:sz w:val="18"/>
              </w:rPr>
              <w:t>4</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50/100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77/100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30/100</w:t>
            </w:r>
          </w:p>
        </w:tc>
        <w:tc>
          <w:tcPr>
            <w:tcW w:type="dxa" w:w="1422"/>
            <w:tcBorders>
              <w:bottom w:val="single" w:sz="6" w:space="4" w:color="D8DCE3"/>
            </w:tcBorders>
          </w:tcPr>
          <w:p>
            <w:pPr>
              <w:spacing w:after="60"/>
            </w:pPr>
            <w:r/>
            <w:r>
              <w:rPr>
                <w:rFonts w:ascii="Georgia" w:hAnsi="Georgia"/>
                <w:sz w:val="18"/>
              </w:rPr>
              <w:t>2</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6</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58/100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9C2B2B"/>
          <w:sz w:val="15"/>
        </w:rPr>
        <w:t>draft · 58/100 · 4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9C2B2B"/>
          <w:sz w:val="15"/>
        </w:rPr>
        <w:t>draft · 50/100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77/100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78/100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9C2B2B"/>
          <w:sz w:val="15"/>
        </w:rPr>
        <w:t>draft · 30/100 · 2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46"/>
        <w:gridCol w:w="1459"/>
        <w:gridCol w:w="3512"/>
        <w:gridCol w:w="2450"/>
      </w:tblGrid>
      <w:tr>
        <w:tc>
          <w:tcPr>
            <w:tcW w:type="dxa" w:w="1247"/>
            <w:tcBorders>
              <w:bottom w:val="single" w:sz="12" w:space="4" w:color="16181D"/>
            </w:tcBorders>
          </w:tcPr>
          <w:p>
            <w:pPr>
              <w:spacing w:after="60"/>
            </w:pPr>
            <w:r/>
            <w:r>
              <w:rPr>
                <w:rFonts w:ascii="Calibri" w:hAnsi="Calibri"/>
                <w:b/>
                <w:caps/>
                <w:color w:val="5C6370"/>
                <w:sz w:val="15"/>
              </w:rPr>
              <w:t>ID</w:t>
            </w:r>
          </w:p>
        </w:tc>
        <w:tc>
          <w:tcPr>
            <w:tcW w:type="dxa" w:w="1459"/>
            <w:tcBorders>
              <w:bottom w:val="single" w:sz="12" w:space="4" w:color="16181D"/>
            </w:tcBorders>
          </w:tcPr>
          <w:p>
            <w:pPr>
              <w:spacing w:after="60"/>
            </w:pPr>
            <w:r/>
            <w:r>
              <w:rPr>
                <w:rFonts w:ascii="Calibri" w:hAnsi="Calibri"/>
                <w:b/>
                <w:caps/>
                <w:color w:val="5C6370"/>
                <w:sz w:val="15"/>
              </w:rPr>
              <w:t>Category</w:t>
            </w:r>
          </w:p>
        </w:tc>
        <w:tc>
          <w:tcPr>
            <w:tcW w:type="dxa" w:w="3512"/>
            <w:tcBorders>
              <w:bottom w:val="single" w:sz="12" w:space="4" w:color="16181D"/>
            </w:tcBorders>
          </w:tcPr>
          <w:p>
            <w:pPr>
              <w:spacing w:after="60"/>
            </w:pPr>
            <w:r/>
            <w:r>
              <w:rPr>
                <w:rFonts w:ascii="Calibri" w:hAnsi="Calibri"/>
                <w:b/>
                <w:caps/>
                <w:color w:val="5C6370"/>
                <w:sz w:val="15"/>
              </w:rPr>
              <w:t>Constraint</w:t>
            </w:r>
          </w:p>
        </w:tc>
        <w:tc>
          <w:tcPr>
            <w:tcW w:type="dxa" w:w="2450"/>
            <w:tcBorders>
              <w:bottom w:val="single" w:sz="12" w:space="4" w:color="16181D"/>
            </w:tcBorders>
          </w:tcPr>
          <w:p>
            <w:pPr>
              <w:spacing w:after="60"/>
            </w:pPr>
            <w:r/>
            <w:r>
              <w:rPr>
                <w:rFonts w:ascii="Calibri" w:hAnsi="Calibri"/>
                <w:b/>
                <w:caps/>
                <w:color w:val="5C6370"/>
                <w:sz w:val="15"/>
              </w:rPr>
              <w:t>Authority</w:t>
            </w:r>
          </w:p>
        </w:tc>
      </w:tr>
      <w:tr>
        <w:tc>
          <w:tcPr>
            <w:tcW w:type="dxa" w:w="1247"/>
            <w:tcBorders>
              <w:bottom w:val="single" w:sz="6" w:space="4" w:color="D8DCE3"/>
            </w:tcBorders>
          </w:tcPr>
          <w:p>
            <w:pPr>
              <w:spacing w:after="60"/>
            </w:pPr>
            <w:r/>
            <w:r>
              <w:rPr>
                <w:rFonts w:ascii="Georgia" w:hAnsi="Georgia"/>
                <w:sz w:val="18"/>
              </w:rPr>
              <w:t>C-004</w:t>
            </w:r>
          </w:p>
        </w:tc>
        <w:tc>
          <w:tcPr>
            <w:tcW w:type="dxa" w:w="1459"/>
            <w:tcBorders>
              <w:bottom w:val="single" w:sz="6" w:space="4" w:color="D8DCE3"/>
            </w:tcBorders>
          </w:tcPr>
          <w:p>
            <w:pPr>
              <w:spacing w:after="60"/>
            </w:pPr>
            <w:r/>
            <w:r>
              <w:rPr>
                <w:rFonts w:ascii="Georgia" w:hAnsi="Georgia"/>
                <w:sz w:val="18"/>
              </w:rPr>
              <w:t>legal</w:t>
            </w:r>
          </w:p>
        </w:tc>
        <w:tc>
          <w:tcPr>
            <w:tcW w:type="dxa" w:w="3512"/>
            <w:tcBorders>
              <w:bottom w:val="single" w:sz="6" w:space="4" w:color="D8DCE3"/>
            </w:tcBorders>
          </w:tcPr>
          <w:p>
            <w:pPr>
              <w:spacing w:after="60"/>
            </w:pPr>
            <w:r/>
            <w:r>
              <w:rPr>
                <w:rFonts w:ascii="Georgia" w:hAnsi="Georgia"/>
                <w:sz w:val="18"/>
              </w:rPr>
              <w:t>No unverified citation stated as fact</w:t>
            </w:r>
          </w:p>
        </w:tc>
        <w:tc>
          <w:tcPr>
            <w:tcW w:type="dxa" w:w="2450"/>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to C-003 have moved</w:t>
      </w:r>
    </w:p>
    <w:p>
      <w:r>
        <w:rPr>
          <w:rFonts w:ascii="Georgia" w:hAnsi="Georgia"/>
        </w:rPr>
        <w:t>At version 0.8.1, C-001 to C-003 left this section, because each was a decision of our own or a belief about customers, not a rule imposed from outside. Their ids are not reused.</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pPr>
        <w:pStyle w:val="Heading3"/>
      </w:pPr>
      <w:r>
        <w:t>C-004 is the one with teeth</w:t>
      </w:r>
    </w:p>
    <w:p>
      <w:r>
        <w:rPr>
          <w:rFonts w:ascii="Georgia" w:hAnsi="Georgia"/>
        </w:rPr>
        <w:t>C-004 is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9C2B2B"/>
          <w:sz w:val="15"/>
        </w:rPr>
        <w:t>draft · 79/100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55/100 · 6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r>
        <w:tc>
          <w:tcPr>
            <w:tcW w:type="dxa" w:w="4628"/>
            <w:tcBorders>
              <w:bottom w:val="single" w:sz="6" w:space="4" w:color="D8DCE3"/>
            </w:tcBorders>
          </w:tcPr>
          <w:p>
            <w:pPr>
              <w:spacing w:after="60"/>
            </w:pPr>
            <w:r/>
            <w:r>
              <w:rPr>
                <w:rFonts w:ascii="Georgia" w:hAnsi="Georgia"/>
                <w:sz w:val="18"/>
              </w:rPr>
              <w:t>Buildability review</w:t>
            </w:r>
          </w:p>
        </w:tc>
        <w:tc>
          <w:tcPr>
            <w:tcW w:type="dxa" w:w="4387"/>
            <w:tcBorders>
              <w:bottom w:val="single" w:sz="6" w:space="4" w:color="D8DCE3"/>
            </w:tcBorders>
          </w:tcPr>
          <w:p>
            <w:pPr>
              <w:spacing w:after="60"/>
            </w:pPr>
            <w:r/>
            <w:r>
              <w:rPr>
                <w:rFonts w:ascii="Georgia" w:hAnsi="Georgia"/>
                <w:sz w:val="18"/>
              </w:rPr>
              <w:t>A grading pass</w:t>
            </w:r>
          </w:p>
        </w:tc>
      </w:tr>
      <w:tr>
        <w:tc>
          <w:tcPr>
            <w:tcW w:type="dxa" w:w="4628"/>
            <w:tcBorders>
              <w:bottom w:val="single" w:sz="6" w:space="4" w:color="D8DCE3"/>
            </w:tcBorders>
          </w:tcPr>
          <w:p>
            <w:pPr>
              <w:spacing w:after="60"/>
            </w:pPr>
            <w:r/>
            <w:r>
              <w:rPr>
                <w:rFonts w:ascii="Georgia" w:hAnsi="Georgia"/>
                <w:sz w:val="18"/>
              </w:rPr>
              <w:t>Finding</w:t>
            </w:r>
          </w:p>
        </w:tc>
        <w:tc>
          <w:tcPr>
            <w:tcW w:type="dxa" w:w="4387"/>
            <w:tcBorders>
              <w:bottom w:val="single" w:sz="6" w:space="4" w:color="D8DCE3"/>
            </w:tcBorders>
          </w:tcPr>
          <w:p>
            <w:pPr>
              <w:spacing w:after="60"/>
            </w:pPr>
            <w:r/>
            <w:r>
              <w:rPr>
                <w:rFonts w:ascii="Georgia" w:hAnsi="Georgia"/>
                <w:sz w:val="18"/>
              </w:rPr>
              <w:t>A blocking defect</w:t>
            </w:r>
          </w:p>
        </w:tc>
      </w:tr>
      <w:tr>
        <w:tc>
          <w:tcPr>
            <w:tcW w:type="dxa" w:w="4628"/>
            <w:tcBorders>
              <w:bottom w:val="single" w:sz="6" w:space="4" w:color="D8DCE3"/>
            </w:tcBorders>
          </w:tcPr>
          <w:p>
            <w:pPr>
              <w:spacing w:after="60"/>
            </w:pPr>
            <w:r/>
            <w:r>
              <w:rPr>
                <w:rFonts w:ascii="Georgia" w:hAnsi="Georgia"/>
                <w:sz w:val="18"/>
              </w:rPr>
              <w:t>Root document</w:t>
            </w:r>
          </w:p>
        </w:tc>
        <w:tc>
          <w:tcPr>
            <w:tcW w:type="dxa" w:w="4387"/>
            <w:tcBorders>
              <w:bottom w:val="single" w:sz="6" w:space="4" w:color="D8DCE3"/>
            </w:tcBorders>
          </w:tcPr>
          <w:p>
            <w:pPr>
              <w:spacing w:after="60"/>
            </w:pPr>
            <w:r/>
            <w:r>
              <w:rPr>
                <w:rFonts w:ascii="Georgia" w:hAnsi="Georgia"/>
                <w:sz w:val="18"/>
              </w:rPr>
              <w:t>Section 1</w:t>
            </w:r>
          </w:p>
        </w:tc>
      </w:tr>
      <w:tr>
        <w:tc>
          <w:tcPr>
            <w:tcW w:type="dxa" w:w="4628"/>
            <w:tcBorders>
              <w:bottom w:val="single" w:sz="6" w:space="4" w:color="D8DCE3"/>
            </w:tcBorders>
          </w:tcPr>
          <w:p>
            <w:pPr>
              <w:spacing w:after="60"/>
            </w:pPr>
            <w:r/>
            <w:r>
              <w:rPr>
                <w:rFonts w:ascii="Georgia" w:hAnsi="Georgia"/>
                <w:sz w:val="18"/>
              </w:rPr>
              <w:t>Approver</w:t>
            </w:r>
          </w:p>
        </w:tc>
        <w:tc>
          <w:tcPr>
            <w:tcW w:type="dxa" w:w="4387"/>
            <w:tcBorders>
              <w:bottom w:val="single" w:sz="6" w:space="4" w:color="D8DCE3"/>
            </w:tcBorders>
          </w:tcPr>
          <w:p>
            <w:pPr>
              <w:spacing w:after="60"/>
            </w:pPr>
            <w:r/>
            <w:r>
              <w:rPr>
                <w:rFonts w:ascii="Georgia" w:hAnsi="Georgia"/>
                <w:sz w:val="18"/>
              </w:rPr>
              <w:t>The expert</w:t>
            </w:r>
          </w:p>
        </w:tc>
      </w:tr>
      <w:tr>
        <w:tc>
          <w:tcPr>
            <w:tcW w:type="dxa" w:w="4628"/>
            <w:tcBorders>
              <w:bottom w:val="single" w:sz="6" w:space="4" w:color="D8DCE3"/>
            </w:tcBorders>
          </w:tcPr>
          <w:p>
            <w:pPr>
              <w:spacing w:after="60"/>
            </w:pPr>
            <w:r/>
            <w:r>
              <w:rPr>
                <w:rFonts w:ascii="Georgia" w:hAnsi="Georgia"/>
                <w:sz w:val="18"/>
              </w:rPr>
              <w:t>Condition</w:t>
            </w:r>
          </w:p>
        </w:tc>
        <w:tc>
          <w:tcPr>
            <w:tcW w:type="dxa" w:w="4387"/>
            <w:tcBorders>
              <w:bottom w:val="single" w:sz="6" w:space="4" w:color="D8DCE3"/>
            </w:tcBorders>
          </w:tcPr>
          <w:p>
            <w:pPr>
              <w:spacing w:after="60"/>
            </w:pPr>
            <w:r/>
            <w:r>
              <w:rPr>
                <w:rFonts w:ascii="Georgia" w:hAnsi="Georgia"/>
                <w:sz w:val="18"/>
              </w:rPr>
              <w:t>A constraint</w:t>
            </w:r>
          </w:p>
        </w:tc>
      </w:tr>
      <w:tr>
        <w:tc>
          <w:tcPr>
            <w:tcW w:type="dxa" w:w="4628"/>
            <w:tcBorders>
              <w:bottom w:val="single" w:sz="6" w:space="4" w:color="D8DCE3"/>
            </w:tcBorders>
          </w:tcPr>
          <w:p>
            <w:pPr>
              <w:spacing w:after="60"/>
            </w:pPr>
            <w:r/>
            <w:r>
              <w:rPr>
                <w:rFonts w:ascii="Georgia" w:hAnsi="Georgia"/>
                <w:sz w:val="18"/>
              </w:rPr>
              <w:t>Constraint</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Objective</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Baseline</w:t>
            </w:r>
          </w:p>
        </w:tc>
        <w:tc>
          <w:tcPr>
            <w:tcW w:type="dxa" w:w="4387"/>
            <w:tcBorders>
              <w:bottom w:val="single" w:sz="6" w:space="4" w:color="D8DCE3"/>
            </w:tcBorders>
          </w:tcPr>
          <w:p>
            <w:pPr>
              <w:spacing w:after="60"/>
            </w:pPr>
            <w:r/>
            <w:r>
              <w:rPr>
                <w:rFonts w:ascii="Georgia" w:hAnsi="Georgia"/>
                <w:sz w:val="18"/>
              </w:rPr>
              <w:t>A target</w:t>
            </w:r>
          </w:p>
        </w:tc>
      </w:tr>
      <w:tr>
        <w:tc>
          <w:tcPr>
            <w:tcW w:type="dxa" w:w="4628"/>
            <w:tcBorders>
              <w:bottom w:val="single" w:sz="6" w:space="4" w:color="D8DCE3"/>
            </w:tcBorders>
          </w:tcPr>
          <w:p>
            <w:pPr>
              <w:spacing w:after="60"/>
            </w:pPr>
            <w:r/>
            <w:r>
              <w:rPr>
                <w:rFonts w:ascii="Georgia" w:hAnsi="Georgia"/>
                <w:sz w:val="18"/>
              </w:rPr>
              <w:t>Version</w:t>
            </w:r>
          </w:p>
        </w:tc>
        <w:tc>
          <w:tcPr>
            <w:tcW w:type="dxa" w:w="4387"/>
            <w:tcBorders>
              <w:bottom w:val="single" w:sz="6" w:space="4" w:color="D8DCE3"/>
            </w:tcBorders>
          </w:tcPr>
          <w:p>
            <w:pPr>
              <w:spacing w:after="60"/>
            </w:pPr>
            <w:r/>
            <w:r>
              <w:rPr>
                <w:rFonts w:ascii="Georgia" w:hAnsi="Georgia"/>
                <w:sz w:val="18"/>
              </w:rPr>
              <w:t>A release of the product</w:t>
            </w:r>
          </w:p>
        </w:tc>
      </w:tr>
      <w:tr>
        <w:tc>
          <w:tcPr>
            <w:tcW w:type="dxa" w:w="4628"/>
            <w:tcBorders>
              <w:bottom w:val="single" w:sz="6" w:space="4" w:color="D8DCE3"/>
            </w:tcBorders>
          </w:tcPr>
          <w:p>
            <w:pPr>
              <w:spacing w:after="60"/>
            </w:pPr>
            <w:r/>
            <w:r>
              <w:rPr>
                <w:rFonts w:ascii="Georgia" w:hAnsi="Georgia"/>
                <w:sz w:val="18"/>
              </w:rPr>
              <w:t>Reading order</w:t>
            </w:r>
          </w:p>
        </w:tc>
        <w:tc>
          <w:tcPr>
            <w:tcW w:type="dxa" w:w="4387"/>
            <w:tcBorders>
              <w:bottom w:val="single" w:sz="6" w:space="4" w:color="D8DCE3"/>
            </w:tcBorders>
          </w:tcPr>
          <w:p>
            <w:pPr>
              <w:spacing w:after="60"/>
            </w:pPr>
            <w:r/>
            <w:r>
              <w:rPr>
                <w:rFonts w:ascii="Georgia" w:hAnsi="Georgia"/>
                <w:sz w:val="18"/>
              </w:rPr>
              <w:t>The file numbers</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prefixed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file numbers. File prefixes and section numbers differ from section 5 onward, but both put the documents in the same order.</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58/100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plugin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plugin.</w:t>
      </w:r>
    </w:p>
    <w:p>
      <w:pPr>
        <w:pStyle w:val="ListBullet"/>
        <w:spacing w:after="60"/>
      </w:pPr>
      <w:r>
        <w:t>A change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is a minor version, 0.9.0.</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The set states its versioning policy before 1.0. This is a minor version because the policy is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