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sz w:val="36"/>
          <w:szCs w:val="36"/>
        </w:rPr>
        <w:t xml:space="preserve">GraphQL-LD : Requêter des données Linked Data avec GraphQL</w:t>
      </w:r>
    </w:p>
    <w:p>
      <w:pPr>
        <w:spacing w:after="240" w:before="0"/>
        <w:jc w:val="center"/>
      </w:pPr>
      <w:r>
        <w:rPr>
          <w:rFonts w:ascii="Times New Roman" w:cs="Times New Roman" w:eastAsia="Times New Roman" w:hAnsi="Times New Roman"/>
          <w:i/>
          <w:iCs/>
          <w:sz w:val="24"/>
          <w:szCs w:val="24"/>
        </w:rPr>
        <w:t xml:space="preserve">Rapport de projet de recherche</w:t>
      </w:r>
    </w:p>
    <w:p>
      <w:pPr>
        <w:spacing w:after="1440" w:before="0"/>
        <w:jc w:val="center"/>
      </w:pPr>
      <w:r>
        <w:rPr>
          <w:rFonts w:ascii="Times New Roman" w:cs="Times New Roman" w:eastAsia="Times New Roman" w:hAnsi="Times New Roman"/>
          <w:sz w:val="24"/>
          <w:szCs w:val="24"/>
        </w:rPr>
        <w:t xml:space="preserve">Basé sur Taelman, Vander Sande, Verborgh — IDLab, Ghent University – imec</w:t>
      </w:r>
    </w:p>
    <w:p>
      <w:pPr>
        <w:pBdr>
          <w:bottom w:val="single" w:color="AAAAAA" w:sz="3" w:space="1"/>
        </w:pBdr>
        <w:spacing w:after="0" w:before="0"/>
      </w:pPr>
    </w:p>
    <w:p>
      <w:pPr>
        <w:pStyle w:val="Heading1"/>
        <w:spacing w:after="120" w:before="360"/>
      </w:pPr>
      <w:r>
        <w:rPr>
          <w:rFonts w:ascii="Times New Roman" w:cs="Times New Roman" w:eastAsia="Times New Roman" w:hAnsi="Times New Roman"/>
          <w:b/>
          <w:bCs/>
          <w:sz w:val="28"/>
          <w:szCs w:val="28"/>
        </w:rPr>
        <w:t xml:space="preserve">1. Introduction et contexte</w:t>
      </w:r>
    </w:p>
    <w:p>
      <w:pPr>
        <w:pStyle w:val="Heading2"/>
        <w:spacing w:after="100" w:before="280"/>
      </w:pPr>
      <w:r>
        <w:rPr>
          <w:rFonts w:ascii="Times New Roman" w:cs="Times New Roman" w:eastAsia="Times New Roman" w:hAnsi="Times New Roman"/>
          <w:b/>
          <w:bCs/>
          <w:sz w:val="26"/>
          <w:szCs w:val="26"/>
        </w:rPr>
        <w:t xml:space="preserve">1.1 Problème étudié</w:t>
      </w:r>
    </w:p>
    <w:p>
      <w:pPr>
        <w:spacing w:after="180" w:before="0" w:line="360"/>
        <w:jc w:val="both"/>
      </w:pPr>
      <w:r>
        <w:rPr>
          <w:rFonts w:ascii="Times New Roman" w:cs="Times New Roman" w:eastAsia="Times New Roman" w:hAnsi="Times New Roman"/>
          <w:sz w:val="24"/>
          <w:szCs w:val="24"/>
        </w:rPr>
        <w:t xml:space="preserve">Le Web sémantique repose sur un ensemble de standards — RDF, OWL, SPARQL — qui permettent de représenter et d'interroger des données structurées de manière interopérable. Malgré la maturité de ces technologies, leur adoption dans le développement d'applications commerciales reste limitée. L'un des obstacles majeurs réside dans la complexité perçue du langage SPARQL par les développeurs web, habitués à manipuler des objets JSON imbriqués plutôt que des triplets RDF.</w:t>
      </w:r>
    </w:p>
    <w:p>
      <w:pPr>
        <w:spacing w:after="180" w:before="0" w:line="360"/>
        <w:jc w:val="both"/>
      </w:pPr>
      <w:r>
        <w:rPr>
          <w:rFonts w:ascii="Times New Roman" w:cs="Times New Roman" w:eastAsia="Times New Roman" w:hAnsi="Times New Roman"/>
          <w:sz w:val="24"/>
          <w:szCs w:val="24"/>
        </w:rPr>
        <w:t xml:space="preserve">En parallèle, GraphQL — introduit par Facebook en 2015 — a connu une adoption massive dans l'industrie. Sa popularité tient à sa simplicité syntaxique, à son intégration naturelle avec les frameworks modernes tels que React et Angular, et à l'abondance d'outils disponibles dans son écosystème. Cependant, GraphQL présente une limitation fondamentale : il est dépourvu de sémantique formelle. Chaque interface GraphQL définit son propre schéma propriétaire, ce qui rend impossible la combinaison de données issues de sources hétérogènes.</w:t>
      </w:r>
    </w:p>
    <w:p>
      <w:pPr>
        <w:spacing w:after="180" w:before="0" w:line="360"/>
        <w:jc w:val="both"/>
      </w:pPr>
      <w:r>
        <w:rPr>
          <w:rFonts w:ascii="Times New Roman" w:cs="Times New Roman" w:eastAsia="Times New Roman" w:hAnsi="Times New Roman"/>
          <w:sz w:val="24"/>
          <w:szCs w:val="24"/>
        </w:rPr>
        <w:t xml:space="preserve">C'est dans ce contexte que s'inscrit l'article étudié : comment permettre aux développeurs GraphQL d'interroger le Linked Open Data Cloud sans avoir à maîtriser SPARQL, tout en conservant la richesse sémantique du Web des données ?</w:t>
      </w:r>
    </w:p>
    <w:p>
      <w:pPr>
        <w:pStyle w:val="Heading2"/>
        <w:spacing w:after="100" w:before="280"/>
      </w:pPr>
      <w:r>
        <w:rPr>
          <w:rFonts w:ascii="Times New Roman" w:cs="Times New Roman" w:eastAsia="Times New Roman" w:hAnsi="Times New Roman"/>
          <w:b/>
          <w:bCs/>
          <w:sz w:val="26"/>
          <w:szCs w:val="26"/>
        </w:rPr>
        <w:t xml:space="preserve">1.2 Importance du sujet</w:t>
      </w:r>
    </w:p>
    <w:p>
      <w:pPr>
        <w:spacing w:after="180" w:before="0" w:line="360"/>
        <w:jc w:val="both"/>
      </w:pPr>
      <w:r>
        <w:rPr>
          <w:rFonts w:ascii="Times New Roman" w:cs="Times New Roman" w:eastAsia="Times New Roman" w:hAnsi="Times New Roman"/>
          <w:sz w:val="24"/>
          <w:szCs w:val="24"/>
        </w:rPr>
        <w:t xml:space="preserve">La question posée par les auteurs est d'une importance pratique considérable. Le Linked Open Data Cloud contient des milliards de triplets RDF publiés par des institutions académiques, gouvernementales et commerciales. Ces données constituent une ressource de valeur pour les applications modernes — à condition d'être accessibles. L'écart actuel entre les compétences des développeurs web et les prérequis techniques du Web sémantique constitue un frein structurel à l'exploitation de cette ressource.</w:t>
      </w:r>
    </w:p>
    <w:p>
      <w:pPr>
        <w:spacing w:after="180" w:before="0" w:line="360"/>
        <w:jc w:val="both"/>
      </w:pPr>
      <w:r>
        <w:rPr>
          <w:rFonts w:ascii="Times New Roman" w:cs="Times New Roman" w:eastAsia="Times New Roman" w:hAnsi="Times New Roman"/>
          <w:sz w:val="24"/>
          <w:szCs w:val="24"/>
        </w:rPr>
        <w:t xml:space="preserve">En proposant une couche de traduction entre GraphQL et SPARQL, les auteurs adressent directement ce problème de barrière à l'entrée. Si cette approche se généralisait, elle pourrait significativement élargir la base de développeurs capables de produire des applications exploitant des données sémantiques, sans exiger de leur part une formation préalable aux ontologies RDF ou à la syntaxe SPARQL.</w:t>
      </w:r>
    </w:p>
    <w:p>
      <w:pPr>
        <w:pStyle w:val="Heading2"/>
        <w:spacing w:after="100" w:before="280"/>
      </w:pPr>
      <w:r>
        <w:rPr>
          <w:rFonts w:ascii="Times New Roman" w:cs="Times New Roman" w:eastAsia="Times New Roman" w:hAnsi="Times New Roman"/>
          <w:b/>
          <w:bCs/>
          <w:sz w:val="26"/>
          <w:szCs w:val="26"/>
        </w:rPr>
        <w:t xml:space="preserve">1.3 Lien avec le cours</w:t>
      </w:r>
    </w:p>
    <w:p>
      <w:pPr>
        <w:spacing w:after="180" w:before="0" w:line="360"/>
        <w:jc w:val="both"/>
      </w:pPr>
      <w:r>
        <w:rPr>
          <w:rFonts w:ascii="Times New Roman" w:cs="Times New Roman" w:eastAsia="Times New Roman" w:hAnsi="Times New Roman"/>
          <w:sz w:val="24"/>
          <w:szCs w:val="24"/>
        </w:rPr>
        <w:t xml:space="preserve">Ce projet s'inscrit dans la thématique du Web sémantique et des architectures de données distribuées. Il mobilise des concepts centraux du cours : la représentation de données en RDF, le langage de requête SPARQL, les contextes JSON-LD pour l'expansion sémantique, ainsi que les enjeux d'interopérabilité entre systèmes hétérogènes. L'implémentation du POC a également permis d'aborder concrètement la question de la traduction entre langages de requête et de la gestion de résultats issus d'endpoints SPARQL publics.</w:t>
      </w:r>
    </w:p>
    <w:p>
      <w:pPr>
        <w:pStyle w:val="Heading1"/>
        <w:spacing w:after="120" w:before="360"/>
      </w:pPr>
      <w:r>
        <w:rPr>
          <w:rFonts w:ascii="Times New Roman" w:cs="Times New Roman" w:eastAsia="Times New Roman" w:hAnsi="Times New Roman"/>
          <w:b/>
          <w:bCs/>
          <w:sz w:val="28"/>
          <w:szCs w:val="28"/>
        </w:rPr>
        <w:t xml:space="preserve">2. Analyse de l'article</w:t>
      </w:r>
    </w:p>
    <w:p>
      <w:pPr>
        <w:pStyle w:val="Heading2"/>
        <w:spacing w:after="100" w:before="280"/>
      </w:pPr>
      <w:r>
        <w:rPr>
          <w:rFonts w:ascii="Times New Roman" w:cs="Times New Roman" w:eastAsia="Times New Roman" w:hAnsi="Times New Roman"/>
          <w:b/>
          <w:bCs/>
          <w:sz w:val="26"/>
          <w:szCs w:val="26"/>
        </w:rPr>
        <w:t xml:space="preserve">2.1 Contributions principales</w:t>
      </w:r>
    </w:p>
    <w:p>
      <w:pPr>
        <w:spacing w:after="180" w:before="0" w:line="360"/>
        <w:jc w:val="both"/>
      </w:pPr>
      <w:r>
        <w:rPr>
          <w:rFonts w:ascii="Times New Roman" w:cs="Times New Roman" w:eastAsia="Times New Roman" w:hAnsi="Times New Roman"/>
          <w:sz w:val="24"/>
          <w:szCs w:val="24"/>
        </w:rPr>
        <w:t xml:space="preserve">L'article de Taelman, Vander Sande et Verborgh présente deux contributions distinctes et complémentaires.</w:t>
      </w:r>
    </w:p>
    <w:p>
      <w:pPr>
        <w:spacing w:after="180" w:before="0" w:line="360"/>
        <w:jc w:val="both"/>
      </w:pPr>
      <w:r>
        <w:rPr>
          <w:rFonts w:ascii="Times New Roman" w:cs="Times New Roman" w:eastAsia="Times New Roman" w:hAnsi="Times New Roman"/>
          <w:sz w:val="24"/>
          <w:szCs w:val="24"/>
        </w:rPr>
        <w:t xml:space="preserve">La première contribution est un algorithme de traduction des requêtes GraphQL-LD vers l'algèbre SPARQL. Une requête GraphQL-LD est définie comme le couplage d'une requête GraphQL standard avec un contexte JSON-LD. Ce contexte assure la correspondance entre les champs GraphQL, dépourvus de sémantique propre, et les URIs RDF qui les identifient globalement. L'algorithme transforme les structures arborescentes de GraphQL en patrons de triplets SPARQL, en prenant en charge les spécificités syntaxiques du langage : les fragments réutilisables sont traduits avec la sémantique OPTIONAL (LEFT JOIN en algèbre relationnelle), et les directives de pagination — </w:t>
      </w:r>
      <w:r>
        <w:rPr>
          <w:rFonts w:ascii="Courier New" w:cs="Courier New" w:eastAsia="Courier New" w:hAnsi="Courier New"/>
          <w:sz w:val="20"/>
          <w:szCs w:val="20"/>
        </w:rPr>
        <w:t xml:space="preserve">first</w:t>
      </w:r>
      <w:r>
        <w:rPr>
          <w:rFonts w:ascii="Times New Roman" w:cs="Times New Roman" w:eastAsia="Times New Roman" w:hAnsi="Times New Roman"/>
          <w:sz w:val="24"/>
          <w:szCs w:val="24"/>
        </w:rPr>
        <w:t xml:space="preserve"> et </w:t>
      </w:r>
      <w:r>
        <w:rPr>
          <w:rFonts w:ascii="Courier New" w:cs="Courier New" w:eastAsia="Courier New" w:hAnsi="Courier New"/>
          <w:sz w:val="20"/>
          <w:szCs w:val="20"/>
        </w:rPr>
        <w:t xml:space="preserve">offset</w:t>
      </w:r>
      <w:r>
        <w:rPr>
          <w:rFonts w:ascii="Times New Roman" w:cs="Times New Roman" w:eastAsia="Times New Roman" w:hAnsi="Times New Roman"/>
          <w:sz w:val="24"/>
          <w:szCs w:val="24"/>
        </w:rPr>
        <w:t xml:space="preserve"> — sont converties respectivement en clauses LIMIT et OFFSET.</w:t>
      </w:r>
    </w:p>
    <w:p>
      <w:pPr>
        <w:spacing w:after="180" w:before="0" w:line="360"/>
        <w:jc w:val="both"/>
      </w:pPr>
      <w:r>
        <w:rPr>
          <w:rFonts w:ascii="Times New Roman" w:cs="Times New Roman" w:eastAsia="Times New Roman" w:hAnsi="Times New Roman"/>
          <w:sz w:val="24"/>
          <w:szCs w:val="24"/>
        </w:rPr>
        <w:t xml:space="preserve">La seconde contribution est un module de conversion des résultats SPARQL vers une structure arborescente compatible avec le format de réponse attendu par un client GraphQL. Ce module reconstruit l'imbrication d'objets JSON à partir des bindings SPARQL tabulaires, en s'appuyant sur une convention de nommage des variables et sur une déclaration explicite des variables singulières ou plurielles.</w:t>
      </w:r>
    </w:p>
    <w:p>
      <w:pPr>
        <w:spacing w:after="180" w:before="0" w:line="360"/>
        <w:jc w:val="both"/>
      </w:pPr>
      <w:r>
        <w:rPr>
          <w:rFonts w:ascii="Times New Roman" w:cs="Times New Roman" w:eastAsia="Times New Roman" w:hAnsi="Times New Roman"/>
          <w:sz w:val="24"/>
          <w:szCs w:val="24"/>
        </w:rPr>
        <w:t xml:space="preserve">Ces deux modules ont été intégrés au framework Comunica, un moteur SPARQL modulaire et extensible développé par la même équipe de recherche.</w:t>
      </w:r>
    </w:p>
    <w:p>
      <w:pPr>
        <w:pStyle w:val="Heading2"/>
        <w:spacing w:after="100" w:before="280"/>
      </w:pPr>
      <w:r>
        <w:rPr>
          <w:rFonts w:ascii="Times New Roman" w:cs="Times New Roman" w:eastAsia="Times New Roman" w:hAnsi="Times New Roman"/>
          <w:b/>
          <w:bCs/>
          <w:sz w:val="26"/>
          <w:szCs w:val="26"/>
        </w:rPr>
        <w:t xml:space="preserve">2.2 Positionnement par rapport à l'existant</w:t>
      </w:r>
    </w:p>
    <w:p>
      <w:pPr>
        <w:spacing w:after="180" w:before="0" w:line="360"/>
        <w:jc w:val="both"/>
      </w:pPr>
      <w:r>
        <w:rPr>
          <w:rFonts w:ascii="Times New Roman" w:cs="Times New Roman" w:eastAsia="Times New Roman" w:hAnsi="Times New Roman"/>
          <w:sz w:val="24"/>
          <w:szCs w:val="24"/>
        </w:rPr>
        <w:t xml:space="preserve">Les auteurs distinguent leur approche de deux catégories de travaux antérieurs. La première catégorie regroupe des outils comme </w:t>
      </w:r>
      <w:r>
        <w:rPr>
          <w:rFonts w:ascii="Times New Roman" w:cs="Times New Roman" w:eastAsia="Times New Roman" w:hAnsi="Times New Roman"/>
          <w:i/>
          <w:iCs/>
          <w:sz w:val="24"/>
          <w:szCs w:val="24"/>
        </w:rPr>
        <w:t xml:space="preserve">sparql-to-jsonld</w:t>
      </w:r>
      <w:r>
        <w:rPr>
          <w:rFonts w:ascii="Times New Roman" w:cs="Times New Roman" w:eastAsia="Times New Roman" w:hAnsi="Times New Roman"/>
          <w:sz w:val="24"/>
          <w:szCs w:val="24"/>
        </w:rPr>
        <w:t xml:space="preserve"> ou les travaux de Lisena et Troncy, qui se contentent de sémantifier les résultats de requêtes SPARQL sans proposer d'alternative au langage de requête lui-même. La seconde catégorie inclut des approches reposant sur des langages dédiés (DSL), qui introduisent une nouvelle syntaxe que le développeur doit apprendre.</w:t>
      </w:r>
    </w:p>
    <w:p>
      <w:pPr>
        <w:spacing w:after="180" w:before="0" w:line="360"/>
        <w:jc w:val="both"/>
      </w:pPr>
      <w:r>
        <w:rPr>
          <w:rFonts w:ascii="Times New Roman" w:cs="Times New Roman" w:eastAsia="Times New Roman" w:hAnsi="Times New Roman"/>
          <w:sz w:val="24"/>
          <w:szCs w:val="24"/>
        </w:rPr>
        <w:t xml:space="preserve">Le concurrent le plus direct est HyperGraphQL, qui expose également des sources RDF au travers d'une interface GraphQL. La différence architecturale est substantielle : HyperGraphQL requiert le déploiement d'un service intermédiaire qui joue le rôle de proxy entre le client GraphQL et les sources RDF. L'approche GraphQL-LD, en revanche, effectue la traduction côté client, ce qui supprime cette dépendance infrastructure et réduit la latence liée à un saut réseau supplémentaire.</w:t>
      </w:r>
    </w:p>
    <w:p>
      <w:pPr>
        <w:pStyle w:val="Heading2"/>
        <w:spacing w:after="100" w:before="280"/>
      </w:pPr>
      <w:r>
        <w:rPr>
          <w:rFonts w:ascii="Times New Roman" w:cs="Times New Roman" w:eastAsia="Times New Roman" w:hAnsi="Times New Roman"/>
          <w:b/>
          <w:bCs/>
          <w:sz w:val="26"/>
          <w:szCs w:val="26"/>
        </w:rPr>
        <w:t xml:space="preserve">2.3 Hypothèses</w:t>
      </w:r>
    </w:p>
    <w:p>
      <w:pPr>
        <w:spacing w:after="180" w:before="0" w:line="360"/>
        <w:jc w:val="both"/>
      </w:pPr>
      <w:r>
        <w:rPr>
          <w:rFonts w:ascii="Times New Roman" w:cs="Times New Roman" w:eastAsia="Times New Roman" w:hAnsi="Times New Roman"/>
          <w:sz w:val="24"/>
          <w:szCs w:val="24"/>
        </w:rPr>
        <w:t xml:space="preserve">L'article repose sur plusieurs hypothèses implicites qui méritent d'être explicitées. Premièrement, il est supposé que les développeurs sont en mesure de fournir — ou d'obtenir auprès d'experts du domaine — un contexte JSON-LD correct pour leurs requêtes. Cette hypothèse est discutable dans la pratique, car la construction d'un tel contexte nécessite une connaissance des ontologies RDF utilisées par les sources interrogées.</w:t>
      </w:r>
    </w:p>
    <w:p>
      <w:pPr>
        <w:spacing w:after="180" w:before="0" w:line="360"/>
        <w:jc w:val="both"/>
      </w:pPr>
      <w:r>
        <w:rPr>
          <w:rFonts w:ascii="Times New Roman" w:cs="Times New Roman" w:eastAsia="Times New Roman" w:hAnsi="Times New Roman"/>
          <w:sz w:val="24"/>
          <w:szCs w:val="24"/>
        </w:rPr>
        <w:t xml:space="preserve">Deuxièmement, l'article suppose que la moindre expressivité de GraphQL par rapport à SPARQL est acceptable pour la majorité des cas d'usage applicatifs. GraphQL représente des arbres et non des graphes ; certaines requêtes SPARQL impliquant des jointures complexes ne peuvent pas être exprimées directement en GraphQL-LD.</w:t>
      </w:r>
    </w:p>
    <w:p>
      <w:pPr>
        <w:spacing w:after="180" w:before="0" w:line="360"/>
        <w:jc w:val="both"/>
      </w:pPr>
      <w:r>
        <w:rPr>
          <w:rFonts w:ascii="Times New Roman" w:cs="Times New Roman" w:eastAsia="Times New Roman" w:hAnsi="Times New Roman"/>
          <w:sz w:val="24"/>
          <w:szCs w:val="24"/>
        </w:rPr>
        <w:t xml:space="preserve">Troisièmement, l'approche suppose que les endpoints SPARQL cibles sont publics et accessibles, ce qui n'est pas toujours le cas dans des environnements d'entreprise.</w:t>
      </w:r>
    </w:p>
    <w:p>
      <w:pPr>
        <w:pStyle w:val="Heading1"/>
        <w:spacing w:after="120" w:before="360"/>
      </w:pPr>
      <w:r>
        <w:rPr>
          <w:rFonts w:ascii="Times New Roman" w:cs="Times New Roman" w:eastAsia="Times New Roman" w:hAnsi="Times New Roman"/>
          <w:b/>
          <w:bCs/>
          <w:sz w:val="28"/>
          <w:szCs w:val="28"/>
        </w:rPr>
        <w:t xml:space="preserve">3. Modélisation et méthode</w:t>
      </w:r>
    </w:p>
    <w:p>
      <w:pPr>
        <w:pStyle w:val="Heading2"/>
        <w:spacing w:after="100" w:before="280"/>
      </w:pPr>
      <w:r>
        <w:rPr>
          <w:rFonts w:ascii="Times New Roman" w:cs="Times New Roman" w:eastAsia="Times New Roman" w:hAnsi="Times New Roman"/>
          <w:b/>
          <w:bCs/>
          <w:sz w:val="26"/>
          <w:szCs w:val="26"/>
        </w:rPr>
        <w:t xml:space="preserve">3.1 Description du modèle</w:t>
      </w:r>
    </w:p>
    <w:p>
      <w:pPr>
        <w:spacing w:after="180" w:before="0" w:line="360"/>
        <w:jc w:val="both"/>
      </w:pPr>
      <w:r>
        <w:rPr>
          <w:rFonts w:ascii="Times New Roman" w:cs="Times New Roman" w:eastAsia="Times New Roman" w:hAnsi="Times New Roman"/>
          <w:sz w:val="24"/>
          <w:szCs w:val="24"/>
        </w:rPr>
        <w:t xml:space="preserve">Le modèle proposé par GraphQL-LD repose sur une définition formelle de la requête comme un couple (Q, C), où Q désigne une requête GraphQL valide et C un contexte JSON-LD. Le contexte C établit une bijection entre les identifiants de champs GraphQL et les URIs RDF correspondants. Cette définition permet de lever l'ambiguïté sémantique inhérente à GraphQL, dont les champs sont par nature locaux et sans signification universelle.</w:t>
      </w:r>
    </w:p>
    <w:p>
      <w:pPr>
        <w:spacing w:after="180" w:before="0" w:line="360"/>
        <w:jc w:val="both"/>
      </w:pPr>
      <w:r>
        <w:rPr>
          <w:rFonts w:ascii="Times New Roman" w:cs="Times New Roman" w:eastAsia="Times New Roman" w:hAnsi="Times New Roman"/>
          <w:sz w:val="24"/>
          <w:szCs w:val="24"/>
        </w:rPr>
        <w:t xml:space="preserve">La traduction de (Q, C) vers l'algèbre SPARQL procède par récursion sur la structure arborescente de Q. Chaque champ de la requête génère un patron de triplet dont le prédicat est l'URI correspondant dans C. Les champs imbriqués produisent des patrons de triplets liés par une variable partagée, simulant ainsi les jointures relationnelles. Cette récursion produit une algèbre SPARQL conforme à la spécification SPARQL 1.1.</w:t>
      </w:r>
    </w:p>
    <w:p>
      <w:pPr>
        <w:pStyle w:val="Heading2"/>
        <w:spacing w:after="100" w:before="280"/>
      </w:pPr>
      <w:r>
        <w:rPr>
          <w:rFonts w:ascii="Times New Roman" w:cs="Times New Roman" w:eastAsia="Times New Roman" w:hAnsi="Times New Roman"/>
          <w:b/>
          <w:bCs/>
          <w:sz w:val="26"/>
          <w:szCs w:val="26"/>
        </w:rPr>
        <w:t xml:space="preserve">3.2 Pipeline</w:t>
      </w:r>
    </w:p>
    <w:p>
      <w:pPr>
        <w:spacing w:after="180" w:before="0" w:line="360"/>
        <w:jc w:val="both"/>
      </w:pPr>
      <w:r>
        <w:rPr>
          <w:rFonts w:ascii="Times New Roman" w:cs="Times New Roman" w:eastAsia="Times New Roman" w:hAnsi="Times New Roman"/>
          <w:sz w:val="24"/>
          <w:szCs w:val="24"/>
        </w:rPr>
        <w:t xml:space="preserve">Le pipeline de traitement se décompose en quatre étapes successives :</w:t>
      </w:r>
    </w:p>
    <w:p>
      <w:pPr>
        <w:spacing w:after="180" w:before="0" w:line="360"/>
        <w:jc w:val="both"/>
      </w:pPr>
      <w:r>
        <w:rPr>
          <w:rFonts w:ascii="Times New Roman" w:cs="Times New Roman" w:eastAsia="Times New Roman" w:hAnsi="Times New Roman"/>
          <w:b/>
          <w:bCs/>
          <w:sz w:val="24"/>
          <w:szCs w:val="24"/>
        </w:rPr>
        <w:t xml:space="preserve">Étape 1 — Parsing GraphQL : </w:t>
      </w:r>
      <w:r>
        <w:rPr>
          <w:rFonts w:ascii="Times New Roman" w:cs="Times New Roman" w:eastAsia="Times New Roman" w:hAnsi="Times New Roman"/>
          <w:sz w:val="24"/>
          <w:szCs w:val="24"/>
        </w:rPr>
        <w:t xml:space="preserve">la requête textuelle GraphQL est analysée syntaxiquement pour produire un arbre syntaxique abstrait (AST).</w:t>
      </w:r>
    </w:p>
    <w:p>
      <w:pPr>
        <w:spacing w:after="180" w:before="0" w:line="360"/>
        <w:jc w:val="both"/>
      </w:pPr>
      <w:r>
        <w:rPr>
          <w:rFonts w:ascii="Times New Roman" w:cs="Times New Roman" w:eastAsia="Times New Roman" w:hAnsi="Times New Roman"/>
          <w:b/>
          <w:bCs/>
          <w:sz w:val="24"/>
          <w:szCs w:val="24"/>
        </w:rPr>
        <w:t xml:space="preserve">Étape 2 — Expansion JSON-LD : </w:t>
      </w:r>
      <w:r>
        <w:rPr>
          <w:rFonts w:ascii="Times New Roman" w:cs="Times New Roman" w:eastAsia="Times New Roman" w:hAnsi="Times New Roman"/>
          <w:sz w:val="24"/>
          <w:szCs w:val="24"/>
        </w:rPr>
        <w:t xml:space="preserve">le contexte JSON-LD est appliqué à l'AST pour résoudre les raccourcis de champs en URIs RDF pleinement qualifiés.</w:t>
      </w:r>
    </w:p>
    <w:p>
      <w:pPr>
        <w:spacing w:after="180" w:before="0" w:line="360"/>
        <w:jc w:val="both"/>
      </w:pPr>
      <w:r>
        <w:rPr>
          <w:rFonts w:ascii="Times New Roman" w:cs="Times New Roman" w:eastAsia="Times New Roman" w:hAnsi="Times New Roman"/>
          <w:b/>
          <w:bCs/>
          <w:sz w:val="24"/>
          <w:szCs w:val="24"/>
        </w:rPr>
        <w:t xml:space="preserve">Étape 3 — Exécution SPARQL : </w:t>
      </w:r>
      <w:r>
        <w:rPr>
          <w:rFonts w:ascii="Times New Roman" w:cs="Times New Roman" w:eastAsia="Times New Roman" w:hAnsi="Times New Roman"/>
          <w:sz w:val="24"/>
          <w:szCs w:val="24"/>
        </w:rPr>
        <w:t xml:space="preserve">l'algèbre SPARQL produite est soumise à un moteur de requête (Comunica) qui l'évalue contre un ou plusieurs endpoints RDF.</w:t>
      </w:r>
    </w:p>
    <w:p>
      <w:pPr>
        <w:spacing w:after="180" w:before="0" w:line="360"/>
        <w:jc w:val="both"/>
      </w:pPr>
      <w:r>
        <w:rPr>
          <w:rFonts w:ascii="Times New Roman" w:cs="Times New Roman" w:eastAsia="Times New Roman" w:hAnsi="Times New Roman"/>
          <w:b/>
          <w:bCs/>
          <w:sz w:val="24"/>
          <w:szCs w:val="24"/>
        </w:rPr>
        <w:t xml:space="preserve">Étape 4 — Mise en forme : </w:t>
      </w:r>
      <w:r>
        <w:rPr>
          <w:rFonts w:ascii="Times New Roman" w:cs="Times New Roman" w:eastAsia="Times New Roman" w:hAnsi="Times New Roman"/>
          <w:sz w:val="24"/>
          <w:szCs w:val="24"/>
        </w:rPr>
        <w:t xml:space="preserve">les bindings SPARQL tabulaires sont reconstruits en arbre JSON imbriqué correspondant à la structure de la requête GraphQL d'origine.</w:t>
      </w:r>
    </w:p>
    <w:p>
      <w:pPr>
        <w:pStyle w:val="Heading2"/>
        <w:spacing w:after="100" w:before="280"/>
      </w:pPr>
      <w:r>
        <w:rPr>
          <w:rFonts w:ascii="Times New Roman" w:cs="Times New Roman" w:eastAsia="Times New Roman" w:hAnsi="Times New Roman"/>
          <w:b/>
          <w:bCs/>
          <w:sz w:val="26"/>
          <w:szCs w:val="26"/>
        </w:rPr>
        <w:t xml:space="preserve">3.3 Données utilisées</w:t>
      </w:r>
    </w:p>
    <w:p>
      <w:pPr>
        <w:spacing w:after="180" w:before="0" w:line="360"/>
        <w:jc w:val="both"/>
      </w:pPr>
      <w:r>
        <w:rPr>
          <w:rFonts w:ascii="Times New Roman" w:cs="Times New Roman" w:eastAsia="Times New Roman" w:hAnsi="Times New Roman"/>
          <w:sz w:val="24"/>
          <w:szCs w:val="24"/>
        </w:rPr>
        <w:t xml:space="preserve">Le POC a été développé en utilisant l'endpoint SPARQL public de DBpedia (</w:t>
      </w:r>
      <w:r>
        <w:rPr>
          <w:rFonts w:ascii="Times New Roman" w:cs="Times New Roman" w:eastAsia="Times New Roman" w:hAnsi="Times New Roman"/>
          <w:i/>
          <w:iCs/>
          <w:sz w:val="24"/>
          <w:szCs w:val="24"/>
        </w:rPr>
        <w:t xml:space="preserve">https://dbpedia.org/sparql</w:t>
      </w:r>
      <w:r>
        <w:rPr>
          <w:rFonts w:ascii="Times New Roman" w:cs="Times New Roman" w:eastAsia="Times New Roman" w:hAnsi="Times New Roman"/>
          <w:sz w:val="24"/>
          <w:szCs w:val="24"/>
        </w:rPr>
        <w:t xml:space="preserve">), qui expose une représentation RDF de Wikipédia. L'exemple fil rouge de l'article — trouver les groupes musicaux pour lesquels Michael Jackson a écrit des chansons — constitue la requête de référence. Cet exemple mobilise deux propriétés de l'ontologie DBpedia : </w:t>
      </w:r>
      <w:r>
        <w:rPr>
          <w:rFonts w:ascii="Courier New" w:cs="Courier New" w:eastAsia="Courier New" w:hAnsi="Courier New"/>
          <w:sz w:val="20"/>
          <w:szCs w:val="20"/>
        </w:rPr>
        <w:t xml:space="preserve">dbo:writer</w:t>
      </w:r>
      <w:r>
        <w:rPr>
          <w:rFonts w:ascii="Times New Roman" w:cs="Times New Roman" w:eastAsia="Times New Roman" w:hAnsi="Times New Roman"/>
          <w:sz w:val="24"/>
          <w:szCs w:val="24"/>
        </w:rPr>
        <w:t xml:space="preserve"> et </w:t>
      </w:r>
      <w:r>
        <w:rPr>
          <w:rFonts w:ascii="Courier New" w:cs="Courier New" w:eastAsia="Courier New" w:hAnsi="Courier New"/>
          <w:sz w:val="20"/>
          <w:szCs w:val="20"/>
        </w:rPr>
        <w:t xml:space="preserve">dbo:musicalArtist</w:t>
      </w:r>
      <w:r>
        <w:rPr>
          <w:rFonts w:ascii="Times New Roman" w:cs="Times New Roman" w:eastAsia="Times New Roman" w:hAnsi="Times New Roman"/>
          <w:sz w:val="24"/>
          <w:szCs w:val="24"/>
        </w:rPr>
        <w:t xml:space="preserve">, ainsi que </w:t>
      </w:r>
      <w:r>
        <w:rPr>
          <w:rFonts w:ascii="Courier New" w:cs="Courier New" w:eastAsia="Courier New" w:hAnsi="Courier New"/>
          <w:sz w:val="20"/>
          <w:szCs w:val="20"/>
        </w:rPr>
        <w:t xml:space="preserve">rdfs:label</w:t>
      </w:r>
      <w:r>
        <w:rPr>
          <w:rFonts w:ascii="Times New Roman" w:cs="Times New Roman" w:eastAsia="Times New Roman" w:hAnsi="Times New Roman"/>
          <w:sz w:val="24"/>
          <w:szCs w:val="24"/>
        </w:rPr>
        <w:t xml:space="preserve"> pour les libellés textuels.</w:t>
      </w:r>
    </w:p>
    <w:p>
      <w:pPr>
        <w:pStyle w:val="Heading1"/>
        <w:spacing w:after="120" w:before="360"/>
      </w:pPr>
      <w:r>
        <w:rPr>
          <w:rFonts w:ascii="Times New Roman" w:cs="Times New Roman" w:eastAsia="Times New Roman" w:hAnsi="Times New Roman"/>
          <w:b/>
          <w:bCs/>
          <w:sz w:val="28"/>
          <w:szCs w:val="28"/>
        </w:rPr>
        <w:t xml:space="preserve">4. Implémentation</w:t>
      </w:r>
    </w:p>
    <w:p>
      <w:pPr>
        <w:pStyle w:val="Heading2"/>
        <w:spacing w:after="100" w:before="280"/>
      </w:pPr>
      <w:r>
        <w:rPr>
          <w:rFonts w:ascii="Times New Roman" w:cs="Times New Roman" w:eastAsia="Times New Roman" w:hAnsi="Times New Roman"/>
          <w:b/>
          <w:bCs/>
          <w:sz w:val="26"/>
          <w:szCs w:val="26"/>
        </w:rPr>
        <w:t xml:space="preserve">4.1 Choix techniques</w:t>
      </w:r>
    </w:p>
    <w:p>
      <w:pPr>
        <w:spacing w:after="180" w:before="0" w:line="360"/>
        <w:jc w:val="both"/>
      </w:pPr>
      <w:r>
        <w:rPr>
          <w:rFonts w:ascii="Times New Roman" w:cs="Times New Roman" w:eastAsia="Times New Roman" w:hAnsi="Times New Roman"/>
          <w:b/>
          <w:bCs/>
          <w:sz w:val="24"/>
          <w:szCs w:val="24"/>
        </w:rPr>
        <w:t xml:space="preserve">Langage : </w:t>
      </w:r>
      <w:r>
        <w:rPr>
          <w:rFonts w:ascii="Times New Roman" w:cs="Times New Roman" w:eastAsia="Times New Roman" w:hAnsi="Times New Roman"/>
          <w:sz w:val="24"/>
          <w:szCs w:val="24"/>
        </w:rPr>
        <w:t xml:space="preserve">JavaScript (Node.js ≥ 18, modules ES natifs). Ce choix est cohérent avec les modules de l'article, qui sont eux-mêmes publiés en JavaScript. Il garantit également la compatibilité avec l'API RDF.js du groupe communautaire W3C.</w:t>
      </w:r>
    </w:p>
    <w:p>
      <w:pPr>
        <w:spacing w:after="180" w:before="0" w:line="360"/>
        <w:jc w:val="both"/>
      </w:pPr>
      <w:r>
        <w:rPr>
          <w:rFonts w:ascii="Times New Roman" w:cs="Times New Roman" w:eastAsia="Times New Roman" w:hAnsi="Times New Roman"/>
          <w:b/>
          <w:bCs/>
          <w:sz w:val="24"/>
          <w:szCs w:val="24"/>
        </w:rPr>
        <w:t xml:space="preserve">Bibliothèques principales : </w:t>
      </w:r>
      <w:r>
        <w:rPr>
          <w:rFonts w:ascii="Times New Roman" w:cs="Times New Roman" w:eastAsia="Times New Roman" w:hAnsi="Times New Roman"/>
          <w:sz w:val="24"/>
          <w:szCs w:val="24"/>
        </w:rPr>
        <w:t xml:space="preserve">trois bibliothèques constituent le cœur de l'implémentation. Le module </w:t>
      </w:r>
      <w:r>
        <w:rPr>
          <w:rFonts w:ascii="Courier New" w:cs="Courier New" w:eastAsia="Courier New" w:hAnsi="Courier New"/>
          <w:sz w:val="20"/>
          <w:szCs w:val="20"/>
        </w:rPr>
        <w:t xml:space="preserve">graphql-to-sparql</w:t>
      </w:r>
      <w:r>
        <w:rPr>
          <w:rFonts w:ascii="Times New Roman" w:cs="Times New Roman" w:eastAsia="Times New Roman" w:hAnsi="Times New Roman"/>
          <w:sz w:val="24"/>
          <w:szCs w:val="24"/>
        </w:rPr>
        <w:t xml:space="preserve"> (Ruben Taelman) prend en charge la traduction GraphQL vers l'algèbre SPARQL. Le module </w:t>
      </w:r>
      <w:r>
        <w:rPr>
          <w:rFonts w:ascii="Courier New" w:cs="Courier New" w:eastAsia="Courier New" w:hAnsi="Courier New"/>
          <w:sz w:val="20"/>
          <w:szCs w:val="20"/>
        </w:rPr>
        <w:t xml:space="preserve">sparqljson-to-tree</w:t>
      </w:r>
      <w:r>
        <w:rPr>
          <w:rFonts w:ascii="Times New Roman" w:cs="Times New Roman" w:eastAsia="Times New Roman" w:hAnsi="Times New Roman"/>
          <w:sz w:val="24"/>
          <w:szCs w:val="24"/>
        </w:rPr>
        <w:t xml:space="preserve"> (même auteur) assure la conversion des résultats. Le framework </w:t>
      </w:r>
      <w:r>
        <w:rPr>
          <w:rFonts w:ascii="Courier New" w:cs="Courier New" w:eastAsia="Courier New" w:hAnsi="Courier New"/>
          <w:sz w:val="20"/>
          <w:szCs w:val="20"/>
        </w:rPr>
        <w:t xml:space="preserve">@comunica/query-sparql</w:t>
      </w:r>
      <w:r>
        <w:rPr>
          <w:rFonts w:ascii="Times New Roman" w:cs="Times New Roman" w:eastAsia="Times New Roman" w:hAnsi="Times New Roman"/>
          <w:sz w:val="24"/>
          <w:szCs w:val="24"/>
        </w:rPr>
        <w:t xml:space="preserve"> joue le rôle de moteur d'exécution SPARQL conforme à la spécification SPARQL 1.1.</w:t>
      </w:r>
    </w:p>
    <w:p>
      <w:pPr>
        <w:pStyle w:val="Heading2"/>
        <w:spacing w:after="100" w:before="280"/>
      </w:pPr>
      <w:r>
        <w:rPr>
          <w:rFonts w:ascii="Times New Roman" w:cs="Times New Roman" w:eastAsia="Times New Roman" w:hAnsi="Times New Roman"/>
          <w:b/>
          <w:bCs/>
          <w:sz w:val="26"/>
          <w:szCs w:val="26"/>
        </w:rPr>
        <w:t xml:space="preserve">4.2 Structure du code</w:t>
      </w:r>
    </w:p>
    <w:p>
      <w:pPr>
        <w:spacing w:after="180" w:before="0" w:line="360"/>
        <w:jc w:val="both"/>
      </w:pPr>
      <w:r>
        <w:rPr>
          <w:rFonts w:ascii="Times New Roman" w:cs="Times New Roman" w:eastAsia="Times New Roman" w:hAnsi="Times New Roman"/>
          <w:sz w:val="24"/>
          <w:szCs w:val="24"/>
        </w:rPr>
        <w:t xml:space="preserve">Le code est organisé en modules à responsabilité unique :</w:t>
      </w:r>
    </w:p>
    <w:p>
      <w:pPr>
        <w:spacing w:after="180" w:before="0" w:line="360"/>
        <w:jc w:val="both"/>
      </w:pPr>
      <w:r>
        <w:rPr>
          <w:rFonts w:ascii="Courier New" w:cs="Courier New" w:eastAsia="Courier New" w:hAnsi="Courier New"/>
          <w:sz w:val="20"/>
          <w:szCs w:val="20"/>
        </w:rPr>
        <w:t xml:space="preserve">query.js</w:t>
      </w:r>
      <w:r>
        <w:rPr>
          <w:rFonts w:ascii="Times New Roman" w:cs="Times New Roman" w:eastAsia="Times New Roman" w:hAnsi="Times New Roman"/>
          <w:sz w:val="24"/>
          <w:szCs w:val="24"/>
        </w:rPr>
        <w:t xml:space="preserve"> — définit la requête GraphQL et le contexte JSON-LD.</w:t>
      </w:r>
    </w:p>
    <w:p>
      <w:pPr>
        <w:spacing w:after="180" w:before="0" w:line="360"/>
        <w:jc w:val="both"/>
      </w:pPr>
      <w:r>
        <w:rPr>
          <w:rFonts w:ascii="Courier New" w:cs="Courier New" w:eastAsia="Courier New" w:hAnsi="Courier New"/>
          <w:sz w:val="20"/>
          <w:szCs w:val="20"/>
        </w:rPr>
        <w:t xml:space="preserve">translate.js</w:t>
      </w:r>
      <w:r>
        <w:rPr>
          <w:rFonts w:ascii="Times New Roman" w:cs="Times New Roman" w:eastAsia="Times New Roman" w:hAnsi="Times New Roman"/>
          <w:sz w:val="24"/>
          <w:szCs w:val="24"/>
        </w:rPr>
        <w:t xml:space="preserve"> — orchestre le parsing GraphQL, l'instanciation du convertisseur et la production de l'algèbre SPARQL.</w:t>
      </w:r>
    </w:p>
    <w:p>
      <w:pPr>
        <w:spacing w:after="180" w:before="0" w:line="360"/>
        <w:jc w:val="both"/>
      </w:pPr>
      <w:r>
        <w:rPr>
          <w:rFonts w:ascii="Courier New" w:cs="Courier New" w:eastAsia="Courier New" w:hAnsi="Courier New"/>
          <w:sz w:val="20"/>
          <w:szCs w:val="20"/>
        </w:rPr>
        <w:t xml:space="preserve">execute.js</w:t>
      </w:r>
      <w:r>
        <w:rPr>
          <w:rFonts w:ascii="Times New Roman" w:cs="Times New Roman" w:eastAsia="Times New Roman" w:hAnsi="Times New Roman"/>
          <w:sz w:val="24"/>
          <w:szCs w:val="24"/>
        </w:rPr>
        <w:t xml:space="preserve"> — soumet la requête à Comunica et récupère les bindings.</w:t>
      </w:r>
    </w:p>
    <w:p>
      <w:pPr>
        <w:spacing w:after="180" w:before="0" w:line="360"/>
        <w:jc w:val="both"/>
      </w:pPr>
      <w:r>
        <w:rPr>
          <w:rFonts w:ascii="Courier New" w:cs="Courier New" w:eastAsia="Courier New" w:hAnsi="Courier New"/>
          <w:sz w:val="20"/>
          <w:szCs w:val="20"/>
        </w:rPr>
        <w:t xml:space="preserve">shape.js</w:t>
      </w:r>
      <w:r>
        <w:rPr>
          <w:rFonts w:ascii="Times New Roman" w:cs="Times New Roman" w:eastAsia="Times New Roman" w:hAnsi="Times New Roman"/>
          <w:sz w:val="24"/>
          <w:szCs w:val="24"/>
        </w:rPr>
        <w:t xml:space="preserve"> — convertit les bindings en arbre JSON exploitable.</w:t>
      </w:r>
    </w:p>
    <w:p>
      <w:pPr>
        <w:spacing w:after="180" w:before="0" w:line="360"/>
        <w:jc w:val="both"/>
      </w:pPr>
      <w:r>
        <w:rPr>
          <w:rFonts w:ascii="Courier New" w:cs="Courier New" w:eastAsia="Courier New" w:hAnsi="Courier New"/>
          <w:sz w:val="20"/>
          <w:szCs w:val="20"/>
        </w:rPr>
        <w:t xml:space="preserve">index.js</w:t>
      </w:r>
      <w:r>
        <w:rPr>
          <w:rFonts w:ascii="Times New Roman" w:cs="Times New Roman" w:eastAsia="Times New Roman" w:hAnsi="Times New Roman"/>
          <w:sz w:val="24"/>
          <w:szCs w:val="24"/>
        </w:rPr>
        <w:t xml:space="preserve"> — point d'entrée qui compose les étapes précédentes et affiche le résultat final.</w:t>
      </w:r>
    </w:p>
    <w:p>
      <w:pPr>
        <w:pStyle w:val="Heading2"/>
        <w:spacing w:after="100" w:before="280"/>
      </w:pPr>
      <w:r>
        <w:rPr>
          <w:rFonts w:ascii="Times New Roman" w:cs="Times New Roman" w:eastAsia="Times New Roman" w:hAnsi="Times New Roman"/>
          <w:b/>
          <w:bCs/>
          <w:sz w:val="26"/>
          <w:szCs w:val="26"/>
        </w:rPr>
        <w:t xml:space="preserve">4.3 Simplifications effectuées</w:t>
      </w:r>
    </w:p>
    <w:p>
      <w:pPr>
        <w:spacing w:after="180" w:before="0" w:line="360"/>
        <w:jc w:val="both"/>
      </w:pPr>
      <w:r>
        <w:rPr>
          <w:rFonts w:ascii="Times New Roman" w:cs="Times New Roman" w:eastAsia="Times New Roman" w:hAnsi="Times New Roman"/>
          <w:sz w:val="24"/>
          <w:szCs w:val="24"/>
        </w:rPr>
        <w:t xml:space="preserve">Par rapport au pipeline complet décrit dans l'article, plusieurs simplifications ont été retenues. Premièrement, le module </w:t>
      </w:r>
      <w:r>
        <w:rPr>
          <w:rFonts w:ascii="Courier New" w:cs="Courier New" w:eastAsia="Courier New" w:hAnsi="Courier New"/>
          <w:sz w:val="20"/>
          <w:szCs w:val="20"/>
        </w:rPr>
        <w:t xml:space="preserve">execute.js</w:t>
      </w:r>
      <w:r>
        <w:rPr>
          <w:rFonts w:ascii="Times New Roman" w:cs="Times New Roman" w:eastAsia="Times New Roman" w:hAnsi="Times New Roman"/>
          <w:sz w:val="24"/>
          <w:szCs w:val="24"/>
        </w:rPr>
        <w:t xml:space="preserve"> expose également une requête SPARQL écrite manuellement à des fins de validation, permettant de vérifier indépendamment que l'endpoint et les données sont accessibles. Deuxièmement, la conversion des résultats dans </w:t>
      </w:r>
      <w:r>
        <w:rPr>
          <w:rFonts w:ascii="Courier New" w:cs="Courier New" w:eastAsia="Courier New" w:hAnsi="Courier New"/>
          <w:sz w:val="20"/>
          <w:szCs w:val="20"/>
        </w:rPr>
        <w:t xml:space="preserve">shape.js</w:t>
      </w:r>
      <w:r>
        <w:rPr>
          <w:rFonts w:ascii="Times New Roman" w:cs="Times New Roman" w:eastAsia="Times New Roman" w:hAnsi="Times New Roman"/>
          <w:sz w:val="24"/>
          <w:szCs w:val="24"/>
        </w:rPr>
        <w:t xml:space="preserve"> utilise une approche itérative directe sur les bindings Comunica plutôt que de déléguer entièrement à </w:t>
      </w:r>
      <w:r>
        <w:rPr>
          <w:rFonts w:ascii="Courier New" w:cs="Courier New" w:eastAsia="Courier New" w:hAnsi="Courier New"/>
          <w:sz w:val="20"/>
          <w:szCs w:val="20"/>
        </w:rPr>
        <w:t xml:space="preserve">sparqljson-to-tree</w:t>
      </w:r>
      <w:r>
        <w:rPr>
          <w:rFonts w:ascii="Times New Roman" w:cs="Times New Roman" w:eastAsia="Times New Roman" w:hAnsi="Times New Roman"/>
          <w:sz w:val="24"/>
          <w:szCs w:val="24"/>
        </w:rPr>
        <w:t xml:space="preserve">, afin de mieux contrôler la forme de sortie. Troisièmement, la gestion des variables singulières et plurielles est simplifiée : seul le champ </w:t>
      </w:r>
      <w:r>
        <w:rPr>
          <w:rFonts w:ascii="Courier New" w:cs="Courier New" w:eastAsia="Courier New" w:hAnsi="Courier New"/>
          <w:sz w:val="20"/>
          <w:szCs w:val="20"/>
        </w:rPr>
        <w:t xml:space="preserve">label</w:t>
      </w:r>
      <w:r>
        <w:rPr>
          <w:rFonts w:ascii="Times New Roman" w:cs="Times New Roman" w:eastAsia="Times New Roman" w:hAnsi="Times New Roman"/>
          <w:sz w:val="24"/>
          <w:szCs w:val="24"/>
        </w:rPr>
        <w:t xml:space="preserve"> est déclaré singulier, les autres étant traités comme pluriels par défaut.</w:t>
      </w:r>
    </w:p>
    <w:p>
      <w:pPr>
        <w:pStyle w:val="Heading2"/>
        <w:spacing w:after="100" w:before="280"/>
      </w:pPr>
      <w:r>
        <w:rPr>
          <w:rFonts w:ascii="Times New Roman" w:cs="Times New Roman" w:eastAsia="Times New Roman" w:hAnsi="Times New Roman"/>
          <w:b/>
          <w:bCs/>
          <w:sz w:val="26"/>
          <w:szCs w:val="26"/>
        </w:rPr>
        <w:t xml:space="preserve">4.4 Difficultés rencontrées</w:t>
      </w:r>
    </w:p>
    <w:p>
      <w:pPr>
        <w:spacing w:after="180" w:before="0" w:line="360"/>
        <w:jc w:val="both"/>
      </w:pPr>
      <w:r>
        <w:rPr>
          <w:rFonts w:ascii="Times New Roman" w:cs="Times New Roman" w:eastAsia="Times New Roman" w:hAnsi="Times New Roman"/>
          <w:sz w:val="24"/>
          <w:szCs w:val="24"/>
        </w:rPr>
        <w:t xml:space="preserve">La principale difficulté technique a trait à la compatibilité des versions. Le module </w:t>
      </w:r>
      <w:r>
        <w:rPr>
          <w:rFonts w:ascii="Courier New" w:cs="Courier New" w:eastAsia="Courier New" w:hAnsi="Courier New"/>
          <w:sz w:val="20"/>
          <w:szCs w:val="20"/>
        </w:rPr>
        <w:t xml:space="preserve">graphql-to-sparql</w:t>
      </w:r>
      <w:r>
        <w:rPr>
          <w:rFonts w:ascii="Times New Roman" w:cs="Times New Roman" w:eastAsia="Times New Roman" w:hAnsi="Times New Roman"/>
          <w:sz w:val="24"/>
          <w:szCs w:val="24"/>
        </w:rPr>
        <w:t xml:space="preserve"> a subi des évolutions d'API significatives entre ses versions majeures, notamment concernant l'interface de la classe </w:t>
      </w:r>
      <w:r>
        <w:rPr>
          <w:rFonts w:ascii="Courier New" w:cs="Courier New" w:eastAsia="Courier New" w:hAnsi="Courier New"/>
          <w:sz w:val="20"/>
          <w:szCs w:val="20"/>
        </w:rPr>
        <w:t xml:space="preserve">Converter</w:t>
      </w:r>
      <w:r>
        <w:rPr>
          <w:rFonts w:ascii="Times New Roman" w:cs="Times New Roman" w:eastAsia="Times New Roman" w:hAnsi="Times New Roman"/>
          <w:sz w:val="24"/>
          <w:szCs w:val="24"/>
        </w:rPr>
        <w:t xml:space="preserve"> et la signature de la méthode de traduction. Une attention particulière a été nécessaire pour aligner les versions des dépendances.</w:t>
      </w:r>
    </w:p>
    <w:p>
      <w:pPr>
        <w:spacing w:after="180" w:before="0" w:line="360"/>
        <w:jc w:val="both"/>
      </w:pPr>
      <w:r>
        <w:rPr>
          <w:rFonts w:ascii="Times New Roman" w:cs="Times New Roman" w:eastAsia="Times New Roman" w:hAnsi="Times New Roman"/>
          <w:sz w:val="24"/>
          <w:szCs w:val="24"/>
        </w:rPr>
        <w:t xml:space="preserve">Une seconde difficulté concerne la requête de l'article elle-même. La clause </w:t>
      </w:r>
      <w:r>
        <w:rPr>
          <w:rFonts w:ascii="Courier New" w:cs="Courier New" w:eastAsia="Courier New" w:hAnsi="Courier New"/>
          <w:sz w:val="20"/>
          <w:szCs w:val="20"/>
        </w:rPr>
        <w:t xml:space="preserve">writer(label_en: "Michael Jackson")</w:t>
      </w:r>
      <w:r>
        <w:rPr>
          <w:rFonts w:ascii="Times New Roman" w:cs="Times New Roman" w:eastAsia="Times New Roman" w:hAnsi="Times New Roman"/>
          <w:sz w:val="24"/>
          <w:szCs w:val="24"/>
        </w:rPr>
        <w:t xml:space="preserve"> filtre sur un libellé en langue anglaise, ce qui suppose que DBpedia indexe Michael Jackson en tant que </w:t>
      </w:r>
      <w:r>
        <w:rPr>
          <w:rFonts w:ascii="Times New Roman" w:cs="Times New Roman" w:eastAsia="Times New Roman" w:hAnsi="Times New Roman"/>
          <w:i/>
          <w:iCs/>
          <w:sz w:val="24"/>
          <w:szCs w:val="24"/>
        </w:rPr>
        <w:t xml:space="preserve">writer</w:t>
      </w:r>
      <w:r>
        <w:rPr>
          <w:rFonts w:ascii="Times New Roman" w:cs="Times New Roman" w:eastAsia="Times New Roman" w:hAnsi="Times New Roman"/>
          <w:sz w:val="24"/>
          <w:szCs w:val="24"/>
        </w:rPr>
        <w:t xml:space="preserve"> avec exactement ce libellé. En pratique, DBpedia utilise une ressource URI dédiée (</w:t>
      </w:r>
      <w:r>
        <w:rPr>
          <w:rFonts w:ascii="Courier New" w:cs="Courier New" w:eastAsia="Courier New" w:hAnsi="Courier New"/>
          <w:sz w:val="20"/>
          <w:szCs w:val="20"/>
        </w:rPr>
        <w:t xml:space="preserve">dbr:Michael_Jackson</w:t>
      </w:r>
      <w:r>
        <w:rPr>
          <w:rFonts w:ascii="Times New Roman" w:cs="Times New Roman" w:eastAsia="Times New Roman" w:hAnsi="Times New Roman"/>
          <w:sz w:val="24"/>
          <w:szCs w:val="24"/>
        </w:rPr>
        <w:t xml:space="preserve">) plutôt qu'un filtre textuel sur le libellé, ce qui explique que la requête GraphQL-LD de l'article retourne zéro résultat contre l'endpoint public. La requête SPARQL manuelle, en revanche, fonctionne correctement lorsqu'elle utilise directement l'URI de la ressource.</w:t>
      </w:r>
    </w:p>
    <w:p>
      <w:pPr>
        <w:pStyle w:val="Heading1"/>
        <w:spacing w:after="120" w:before="360"/>
      </w:pPr>
      <w:r>
        <w:rPr>
          <w:rFonts w:ascii="Times New Roman" w:cs="Times New Roman" w:eastAsia="Times New Roman" w:hAnsi="Times New Roman"/>
          <w:b/>
          <w:bCs/>
          <w:sz w:val="28"/>
          <w:szCs w:val="28"/>
        </w:rPr>
        <w:t xml:space="preserve">5. Expérimentation</w:t>
      </w:r>
    </w:p>
    <w:p>
      <w:pPr>
        <w:pStyle w:val="Heading2"/>
        <w:spacing w:after="100" w:before="280"/>
      </w:pPr>
      <w:r>
        <w:rPr>
          <w:rFonts w:ascii="Times New Roman" w:cs="Times New Roman" w:eastAsia="Times New Roman" w:hAnsi="Times New Roman"/>
          <w:b/>
          <w:bCs/>
          <w:sz w:val="26"/>
          <w:szCs w:val="26"/>
        </w:rPr>
        <w:t xml:space="preserve">5.1 Protocole expérimental</w:t>
      </w:r>
    </w:p>
    <w:p>
      <w:pPr>
        <w:spacing w:after="180" w:before="0" w:line="360"/>
        <w:jc w:val="both"/>
      </w:pPr>
      <w:r>
        <w:rPr>
          <w:rFonts w:ascii="Times New Roman" w:cs="Times New Roman" w:eastAsia="Times New Roman" w:hAnsi="Times New Roman"/>
          <w:sz w:val="24"/>
          <w:szCs w:val="24"/>
        </w:rPr>
        <w:t xml:space="preserve">Le protocole d'expérimentation a consisté à exécuter le pipeline complet de bout en bout, en deux temps. Dans un premier temps, la traduction GraphQL-LD vers SPARQL a été vérifiée en examinant l'algèbre produite et en contrôlant que les URIs du contexte JSON-LD étaient correctement résolus dans les patrons de triplets. Dans un second temps, l'exécution SPARQL contre DBpedia a été testée avec la requête manuelle de validation pour confirmer la connectivité et la disponibilité des données.</w:t>
      </w:r>
    </w:p>
    <w:p>
      <w:pPr>
        <w:pStyle w:val="Heading2"/>
        <w:spacing w:after="100" w:before="280"/>
      </w:pPr>
      <w:r>
        <w:rPr>
          <w:rFonts w:ascii="Times New Roman" w:cs="Times New Roman" w:eastAsia="Times New Roman" w:hAnsi="Times New Roman"/>
          <w:b/>
          <w:bCs/>
          <w:sz w:val="26"/>
          <w:szCs w:val="26"/>
        </w:rPr>
        <w:t xml:space="preserve">5.2 Métriques utilisées</w:t>
      </w:r>
    </w:p>
    <w:p>
      <w:pPr>
        <w:spacing w:after="180" w:before="0" w:line="360"/>
        <w:jc w:val="both"/>
      </w:pPr>
      <w:r>
        <w:rPr>
          <w:rFonts w:ascii="Times New Roman" w:cs="Times New Roman" w:eastAsia="Times New Roman" w:hAnsi="Times New Roman"/>
          <w:sz w:val="24"/>
          <w:szCs w:val="24"/>
        </w:rPr>
        <w:t xml:space="preserve">Compte tenu de la nature démonstrative du POC, les métriques retenues sont essentiellement qualitatives et structurelles plutôt que quantitatives. Les critères d'évaluation suivants ont été retenus : conformité de l'algèbre SPARQL produite (nombre de triplets générés, présence des URIs corrects), nombre de résultats retournés par l'endpoint, et conformité de la structure JSON de sortie avec la forme attendue par un client GraphQL.</w:t>
      </w:r>
    </w:p>
    <w:p>
      <w:pPr>
        <w:pStyle w:val="Heading2"/>
        <w:spacing w:after="100" w:before="280"/>
      </w:pPr>
      <w:r>
        <w:rPr>
          <w:rFonts w:ascii="Times New Roman" w:cs="Times New Roman" w:eastAsia="Times New Roman" w:hAnsi="Times New Roman"/>
          <w:b/>
          <w:bCs/>
          <w:sz w:val="26"/>
          <w:szCs w:val="26"/>
        </w:rPr>
        <w:t xml:space="preserve">5.3 Résultats obtenus</w:t>
      </w:r>
    </w:p>
    <w:p>
      <w:pPr>
        <w:spacing w:after="180" w:before="0" w:line="360"/>
        <w:jc w:val="both"/>
      </w:pPr>
      <w:r>
        <w:rPr>
          <w:rFonts w:ascii="Times New Roman" w:cs="Times New Roman" w:eastAsia="Times New Roman" w:hAnsi="Times New Roman"/>
          <w:sz w:val="24"/>
          <w:szCs w:val="24"/>
        </w:rPr>
        <w:t xml:space="preserve">La traduction GraphQL-LD produit une algèbre SPARQL comprenant six patrons de triplets pour la requête complexe de l'exemple de l'article. Les prédicats générés correspondent aux URIs définis dans le contexte JSON-LD, confirmant que l'expansion sémantique fonctionne correctement.</w:t>
      </w:r>
    </w:p>
    <w:p>
      <w:pPr>
        <w:spacing w:after="180" w:before="0" w:line="360"/>
        <w:jc w:val="both"/>
      </w:pPr>
      <w:r>
        <w:rPr>
          <w:rFonts w:ascii="Times New Roman" w:cs="Times New Roman" w:eastAsia="Times New Roman" w:hAnsi="Times New Roman"/>
          <w:sz w:val="24"/>
          <w:szCs w:val="24"/>
        </w:rPr>
        <w:t xml:space="preserve">La requête SPARQL manuelle contre DBpedia retourne jusqu'à 50 résultats (LIMIT appliqué), confirmant la connectivité avec l'endpoint public. La requête GraphQL-LD, en revanche, retourne zéro résultat pour les raisons exposées en section 4.4.</w:t>
      </w:r>
    </w:p>
    <w:p>
      <w:pPr>
        <w:spacing w:after="180" w:before="0" w:line="360"/>
        <w:jc w:val="both"/>
      </w:pPr>
      <w:r>
        <w:rPr>
          <w:rFonts w:ascii="Times New Roman" w:cs="Times New Roman" w:eastAsia="Times New Roman" w:hAnsi="Times New Roman"/>
          <w:sz w:val="24"/>
          <w:szCs w:val="24"/>
        </w:rPr>
        <w:t xml:space="preserve">Le tableau ci-dessous synthétise les résultats de vérification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 de vérification</w:t>
            </w:r>
          </w:p>
        </w:tc>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Résultat</w:t>
            </w:r>
          </w:p>
        </w:tc>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Statut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Traduction GraphQL → SPARQL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6 patrons de triplets générés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Conforme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Expansion du contexte JSON-LD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URIs RDF présents dans l'algèbre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Conforme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Exécution SPARQL (requête manuelle)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50 résultats obtenus (DBpedia)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Conforme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Exécution SPARQL (requête GraphQL-LD)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0 résultat (filtre textuel non résolu)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Partiel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Format de sortie 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Arbre imbriqué exploitable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Conforme</w:t>
            </w:r>
          </w:p>
        </w:tc>
      </w:tr>
    </w:tbl>
    <w:p>
      <w:pPr>
        <w:spacing w:after="0" w:before="180"/>
      </w:pPr>
    </w:p>
    <w:p>
      <w:pPr>
        <w:pStyle w:val="Heading1"/>
        <w:spacing w:after="120" w:before="360"/>
      </w:pPr>
      <w:r>
        <w:rPr>
          <w:rFonts w:ascii="Times New Roman" w:cs="Times New Roman" w:eastAsia="Times New Roman" w:hAnsi="Times New Roman"/>
          <w:b/>
          <w:bCs/>
          <w:sz w:val="28"/>
          <w:szCs w:val="28"/>
        </w:rPr>
        <w:t xml:space="preserve">6. Analyse critique</w:t>
      </w:r>
    </w:p>
    <w:p>
      <w:pPr>
        <w:pStyle w:val="Heading2"/>
        <w:spacing w:after="100" w:before="280"/>
      </w:pPr>
      <w:r>
        <w:rPr>
          <w:rFonts w:ascii="Times New Roman" w:cs="Times New Roman" w:eastAsia="Times New Roman" w:hAnsi="Times New Roman"/>
          <w:b/>
          <w:bCs/>
          <w:sz w:val="26"/>
          <w:szCs w:val="26"/>
        </w:rPr>
        <w:t xml:space="preserve">6.1 Forces</w:t>
      </w:r>
    </w:p>
    <w:p>
      <w:pPr>
        <w:spacing w:after="180" w:before="0" w:line="360"/>
        <w:jc w:val="both"/>
      </w:pPr>
      <w:r>
        <w:rPr>
          <w:rFonts w:ascii="Times New Roman" w:cs="Times New Roman" w:eastAsia="Times New Roman" w:hAnsi="Times New Roman"/>
          <w:sz w:val="24"/>
          <w:szCs w:val="24"/>
        </w:rPr>
        <w:t xml:space="preserve">L'approche GraphQL-LD présente plusieurs atouts notables. Sur le plan de l'architecture, la traduction côté client — par opposition au proxy de HyperGraphQL — est une décision de conception particulièrement pertinente : elle élimine toute dépendance à une infrastructure intermédiaire et permet une intégration directe dans les applications web existantes. Le développeur n'a qu'à importer les modules npm pour bénéficier de la fonctionnalité.</w:t>
      </w:r>
    </w:p>
    <w:p>
      <w:pPr>
        <w:spacing w:after="180" w:before="0" w:line="360"/>
        <w:jc w:val="both"/>
      </w:pPr>
      <w:r>
        <w:rPr>
          <w:rFonts w:ascii="Times New Roman" w:cs="Times New Roman" w:eastAsia="Times New Roman" w:hAnsi="Times New Roman"/>
          <w:sz w:val="24"/>
          <w:szCs w:val="24"/>
        </w:rPr>
        <w:t xml:space="preserve">Sur le plan de l'adoption, l'utilisation de GraphQL comme langage de surface est stratégiquement judicieuse. Plutôt que de proposer un nouveau DSL que les développeurs devraient apprendre, l'approche capitalise sur une compétence déjà répandue. La seule exigence supplémentaire — fournir un contexte JSON-LD — est minimale au regard du bénéfice obtenu.</w:t>
      </w:r>
    </w:p>
    <w:p>
      <w:pPr>
        <w:spacing w:after="180" w:before="0" w:line="360"/>
        <w:jc w:val="both"/>
      </w:pPr>
      <w:r>
        <w:rPr>
          <w:rFonts w:ascii="Times New Roman" w:cs="Times New Roman" w:eastAsia="Times New Roman" w:hAnsi="Times New Roman"/>
          <w:sz w:val="24"/>
          <w:szCs w:val="24"/>
        </w:rPr>
        <w:t xml:space="preserve">L'ouverture du code source sous licence MIT et sa publication sur npm garantissent une accessibilité immédiate, ce qui est une condition nécessaire (bien que non suffisante) à l'adoption.</w:t>
      </w:r>
    </w:p>
    <w:p>
      <w:pPr>
        <w:pStyle w:val="Heading2"/>
        <w:spacing w:after="100" w:before="280"/>
      </w:pPr>
      <w:r>
        <w:rPr>
          <w:rFonts w:ascii="Times New Roman" w:cs="Times New Roman" w:eastAsia="Times New Roman" w:hAnsi="Times New Roman"/>
          <w:b/>
          <w:bCs/>
          <w:sz w:val="26"/>
          <w:szCs w:val="26"/>
        </w:rPr>
        <w:t xml:space="preserve">6.2 Limites</w:t>
      </w:r>
    </w:p>
    <w:p>
      <w:pPr>
        <w:spacing w:after="180" w:before="0" w:line="360"/>
        <w:jc w:val="both"/>
      </w:pPr>
      <w:r>
        <w:rPr>
          <w:rFonts w:ascii="Times New Roman" w:cs="Times New Roman" w:eastAsia="Times New Roman" w:hAnsi="Times New Roman"/>
          <w:sz w:val="24"/>
          <w:szCs w:val="24"/>
        </w:rPr>
        <w:t xml:space="preserve">La limite la plus significative est l'expressivité restreinte de GraphQL par rapport à SPARQL. Comme le reconnaissent les auteurs, GraphQL représente des arbres et non des graphes. Cela implique que certaines requêtes SPARQL — notamment celles impliquant des cycles, des unions (UNION), des sous-requêtes, ou des agrégations (GROUP BY) — ne peuvent pas être exprimées directement en GraphQL-LD. Cette limitation est inhérente à la syntaxe GraphQL et ne peut pas être levée sans en modifier fondamentalement la structure.</w:t>
      </w:r>
    </w:p>
    <w:p>
      <w:pPr>
        <w:spacing w:after="180" w:before="0" w:line="360"/>
        <w:jc w:val="both"/>
      </w:pPr>
      <w:r>
        <w:rPr>
          <w:rFonts w:ascii="Times New Roman" w:cs="Times New Roman" w:eastAsia="Times New Roman" w:hAnsi="Times New Roman"/>
          <w:sz w:val="24"/>
          <w:szCs w:val="24"/>
        </w:rPr>
        <w:t xml:space="preserve">Une seconde limite concerne la robustesse de la résolution des filtrages par valeur. L'exemple de l'article illustre précisément ce problème : filtrer sur </w:t>
      </w:r>
      <w:r>
        <w:rPr>
          <w:rFonts w:ascii="Courier New" w:cs="Courier New" w:eastAsia="Courier New" w:hAnsi="Courier New"/>
          <w:sz w:val="20"/>
          <w:szCs w:val="20"/>
        </w:rPr>
        <w:t xml:space="preserve">label_en: "Michael Jackson"</w:t>
      </w:r>
      <w:r>
        <w:rPr>
          <w:rFonts w:ascii="Times New Roman" w:cs="Times New Roman" w:eastAsia="Times New Roman" w:hAnsi="Times New Roman"/>
          <w:sz w:val="24"/>
          <w:szCs w:val="24"/>
        </w:rPr>
        <w:t xml:space="preserve"> suppose que la source RDF utilise effectivement ce libellé en anglais pour identifier la ressource cible. Cette hypothèse est fragile face à la variété des pratiques de publication RDF dans le monde réel. Les données Linked Data n'offrent pas de garantie d'uniformité sur les valeurs de </w:t>
      </w:r>
      <w:r>
        <w:rPr>
          <w:rFonts w:ascii="Courier New" w:cs="Courier New" w:eastAsia="Courier New" w:hAnsi="Courier New"/>
          <w:sz w:val="20"/>
          <w:szCs w:val="20"/>
        </w:rPr>
        <w:t xml:space="preserve">rdfs:label</w:t>
      </w:r>
      <w:r>
        <w:rPr>
          <w:rFonts w:ascii="Times New Roman" w:cs="Times New Roman" w:eastAsia="Times New Roman" w:hAnsi="Times New Roman"/>
          <w:sz w:val="24"/>
          <w:szCs w:val="24"/>
        </w:rPr>
        <w:t xml:space="preserve">.</w:t>
      </w:r>
    </w:p>
    <w:p>
      <w:pPr>
        <w:spacing w:after="180" w:before="0" w:line="360"/>
        <w:jc w:val="both"/>
      </w:pPr>
      <w:r>
        <w:rPr>
          <w:rFonts w:ascii="Times New Roman" w:cs="Times New Roman" w:eastAsia="Times New Roman" w:hAnsi="Times New Roman"/>
          <w:sz w:val="24"/>
          <w:szCs w:val="24"/>
        </w:rPr>
        <w:t xml:space="preserve">Enfin, la gestion des variables singulières et plurielles dans le module de conversion des résultats reste manuelle et potentiellement source d'erreurs. Les auteurs mentionnent eux-mêmes en conclusion la nécessité d'améliorer ce mécanisme, en envisageant des solutions comme l'utilisation de </w:t>
      </w:r>
      <w:r>
        <w:rPr>
          <w:rFonts w:ascii="Courier New" w:cs="Courier New" w:eastAsia="Courier New" w:hAnsi="Courier New"/>
          <w:sz w:val="20"/>
          <w:szCs w:val="20"/>
        </w:rPr>
        <w:t xml:space="preserve">owl:InverseFunctionalProperty</w:t>
      </w:r>
      <w:r>
        <w:rPr>
          <w:rFonts w:ascii="Times New Roman" w:cs="Times New Roman" w:eastAsia="Times New Roman" w:hAnsi="Times New Roman"/>
          <w:sz w:val="24"/>
          <w:szCs w:val="24"/>
        </w:rPr>
        <w:t xml:space="preserve"> ou du JSON-LD Framing.</w:t>
      </w:r>
    </w:p>
    <w:p>
      <w:pPr>
        <w:pStyle w:val="Heading2"/>
        <w:spacing w:after="100" w:before="280"/>
      </w:pPr>
      <w:r>
        <w:rPr>
          <w:rFonts w:ascii="Times New Roman" w:cs="Times New Roman" w:eastAsia="Times New Roman" w:hAnsi="Times New Roman"/>
          <w:b/>
          <w:bCs/>
          <w:sz w:val="26"/>
          <w:szCs w:val="26"/>
        </w:rPr>
        <w:t xml:space="preserve">6.3 Hypothèses discutables</w:t>
      </w:r>
    </w:p>
    <w:p>
      <w:pPr>
        <w:spacing w:after="180" w:before="0" w:line="360"/>
        <w:jc w:val="both"/>
      </w:pPr>
      <w:r>
        <w:rPr>
          <w:rFonts w:ascii="Times New Roman" w:cs="Times New Roman" w:eastAsia="Times New Roman" w:hAnsi="Times New Roman"/>
          <w:sz w:val="24"/>
          <w:szCs w:val="24"/>
        </w:rPr>
        <w:t xml:space="preserve">L'hypothèse centrale de l'article — selon laquelle les développeurs peuvent s'appuyer sur des experts du domaine pour fournir les contextes JSON-LD — mérite d'être questionnée. Dans un écosystème applicatif réel, cette séparation des responsabilités suppose une collaboration étroite et structurée entre des équipes aux compétences très différentes. La réalité des projets logiciels montre que ces collaborations sont souvent difficiles à maintenir dans le temps.</w:t>
      </w:r>
    </w:p>
    <w:p>
      <w:pPr>
        <w:spacing w:after="180" w:before="0" w:line="360"/>
        <w:jc w:val="both"/>
      </w:pPr>
      <w:r>
        <w:rPr>
          <w:rFonts w:ascii="Times New Roman" w:cs="Times New Roman" w:eastAsia="Times New Roman" w:hAnsi="Times New Roman"/>
          <w:sz w:val="24"/>
          <w:szCs w:val="24"/>
        </w:rPr>
        <w:t xml:space="preserve">Par ailleurs, l'article évalue la pertinence de l'approche principalement par rapport à la complexité de SPARQL. Il ne discute pas de manière approfondie les cas où cette couche d'abstraction pourrait introduire des problèmes de performance, notamment pour des requêtes GraphQL-LD qui se traduiraient par des requêtes SPARQL inefficaces sur de grands jeux de données.</w:t>
      </w:r>
    </w:p>
    <w:p>
      <w:pPr>
        <w:pStyle w:val="Heading2"/>
        <w:spacing w:after="100" w:before="280"/>
      </w:pPr>
      <w:r>
        <w:rPr>
          <w:rFonts w:ascii="Times New Roman" w:cs="Times New Roman" w:eastAsia="Times New Roman" w:hAnsi="Times New Roman"/>
          <w:b/>
          <w:bCs/>
          <w:sz w:val="26"/>
          <w:szCs w:val="26"/>
        </w:rPr>
        <w:t xml:space="preserve">6.4 Reproductibilité</w:t>
      </w:r>
    </w:p>
    <w:p>
      <w:pPr>
        <w:spacing w:after="180" w:before="0" w:line="360"/>
        <w:jc w:val="both"/>
      </w:pPr>
      <w:r>
        <w:rPr>
          <w:rFonts w:ascii="Times New Roman" w:cs="Times New Roman" w:eastAsia="Times New Roman" w:hAnsi="Times New Roman"/>
          <w:sz w:val="24"/>
          <w:szCs w:val="24"/>
        </w:rPr>
        <w:t xml:space="preserve">La reproductibilité du POC est bonne sur le plan technique : les modules sont publiés sur npm sous licence ouverte, et les auteurs ont publié un gist public contenant l'ensemble des requêtes d'exemple. La principale friction à la reproductibilité tient aux évolutions des API des modules entre versions majeures et à la disponibilité variable de l'endpoint DBpedia, qui peut être soumis à des limites de débit ou des indisponibilités temporaires.</w:t>
      </w:r>
    </w:p>
    <w:p>
      <w:pPr>
        <w:spacing w:after="180" w:before="0" w:line="360"/>
        <w:jc w:val="both"/>
      </w:pPr>
      <w:r>
        <w:rPr>
          <w:rFonts w:ascii="Times New Roman" w:cs="Times New Roman" w:eastAsia="Times New Roman" w:hAnsi="Times New Roman"/>
          <w:sz w:val="24"/>
          <w:szCs w:val="24"/>
        </w:rPr>
        <w:t xml:space="preserve">En conclusion, GraphQL-LD constitue une contribution pertinente et bien positionnée dans le paysage des outils du Web sémantique. Elle répond à un problème réel d'accessibilité et adopte une stratégie d'intégration pragmatique. Ses limites en termes d'expressivité et de robustesse du filtrage sont réelles mais acceptables pour une large classe d'applications de récupération de données. Les pistes d'amélioration identifiées par les auteurs sont cohérentes et ouvrent des perspectives de recherche concrètes.</w:t>
      </w:r>
    </w:p>
    <w:p>
      <w:pPr>
        <w:pBdr>
          <w:bottom w:val="single" w:color="AAAAAA" w:sz="3" w:space="1"/>
        </w:pBdr>
        <w:spacing w:after="0" w:before="0"/>
      </w:pPr>
    </w:p>
    <w:p>
      <w:pPr>
        <w:pStyle w:val="Heading1"/>
        <w:spacing w:after="120" w:before="360"/>
      </w:pPr>
      <w:r>
        <w:rPr>
          <w:rFonts w:ascii="Times New Roman" w:cs="Times New Roman" w:eastAsia="Times New Roman" w:hAnsi="Times New Roman"/>
          <w:b/>
          <w:bCs/>
          <w:sz w:val="28"/>
          <w:szCs w:val="28"/>
        </w:rPr>
        <w:t xml:space="preserve">Références</w:t>
      </w:r>
    </w:p>
    <w:p>
      <w:pPr>
        <w:spacing w:after="180" w:before="0" w:line="360"/>
        <w:jc w:val="both"/>
      </w:pPr>
      <w:r>
        <w:rPr>
          <w:rFonts w:ascii="Times New Roman" w:cs="Times New Roman" w:eastAsia="Times New Roman" w:hAnsi="Times New Roman"/>
          <w:i/>
          <w:iCs/>
          <w:sz w:val="24"/>
          <w:szCs w:val="24"/>
        </w:rPr>
        <w:t xml:space="preserve">Article principal : </w:t>
      </w:r>
      <w:r>
        <w:rPr>
          <w:rFonts w:ascii="Times New Roman" w:cs="Times New Roman" w:eastAsia="Times New Roman" w:hAnsi="Times New Roman"/>
          <w:sz w:val="24"/>
          <w:szCs w:val="24"/>
        </w:rPr>
        <w:t xml:space="preserve">Taelman R., Vander Sande M., Verborgh R. — GraphQL-LD: Linked Data Querying with GraphQL — IDLab, Ghent University – imec.</w:t>
      </w:r>
    </w:p>
    <w:p>
      <w:pPr>
        <w:spacing w:after="180" w:before="0" w:line="360"/>
        <w:jc w:val="both"/>
      </w:pPr>
      <w:r>
        <w:rPr>
          <w:rFonts w:ascii="Times New Roman" w:cs="Times New Roman" w:eastAsia="Times New Roman" w:hAnsi="Times New Roman"/>
          <w:sz w:val="24"/>
          <w:szCs w:val="24"/>
        </w:rPr>
        <w:t xml:space="preserve">Harris S., Seaborne A., Prud'hommeaux E. — SPARQL 1.1 Query Language — W3C, 2013.</w:t>
      </w:r>
    </w:p>
    <w:p>
      <w:pPr>
        <w:spacing w:after="180" w:before="0" w:line="360"/>
        <w:jc w:val="both"/>
      </w:pPr>
      <w:r>
        <w:rPr>
          <w:rFonts w:ascii="Times New Roman" w:cs="Times New Roman" w:eastAsia="Times New Roman" w:hAnsi="Times New Roman"/>
          <w:sz w:val="24"/>
          <w:szCs w:val="24"/>
        </w:rPr>
        <w:t xml:space="preserve">W3C Consortium — JSON-LD 1.0: a JSON-based serialization for linked data — 2014.</w:t>
      </w:r>
    </w:p>
    <w:p>
      <w:pPr>
        <w:spacing w:after="180" w:before="0" w:line="360"/>
        <w:jc w:val="both"/>
      </w:pPr>
      <w:r>
        <w:rPr>
          <w:rFonts w:ascii="Times New Roman" w:cs="Times New Roman" w:eastAsia="Times New Roman" w:hAnsi="Times New Roman"/>
          <w:sz w:val="24"/>
          <w:szCs w:val="24"/>
        </w:rPr>
        <w:t xml:space="preserve">Taelman R. et al. — Comunica: a Modular SPARQL Query Engine for the Web — ISWC 2018.</w:t>
      </w:r>
    </w:p>
    <w:p>
      <w:pPr>
        <w:spacing w:after="180" w:before="0" w:line="360"/>
        <w:jc w:val="both"/>
      </w:pPr>
      <w:r>
        <w:rPr>
          <w:rFonts w:ascii="Times New Roman" w:cs="Times New Roman" w:eastAsia="Times New Roman" w:hAnsi="Times New Roman"/>
          <w:sz w:val="24"/>
          <w:szCs w:val="24"/>
        </w:rPr>
        <w:t xml:space="preserve">Hartig O., Pérez J. — Semantics and Complexity of GraphQL — WWW 2018.</w:t>
      </w:r>
    </w:p>
    <w:p>
      <w:pPr>
        <w:spacing w:after="180" w:before="0" w:line="360"/>
        <w:jc w:val="both"/>
      </w:pPr>
      <w:r>
        <w:rPr>
          <w:rFonts w:ascii="Times New Roman" w:cs="Times New Roman" w:eastAsia="Times New Roman" w:hAnsi="Times New Roman"/>
          <w:sz w:val="24"/>
          <w:szCs w:val="24"/>
        </w:rPr>
        <w:t xml:space="preserve">Semantic Integration Ltd. — HyperGraphQL — http://hypergraphql.org/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space="1"/>
      </w:pBdr>
      <w:jc w:val="center"/>
    </w:pP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3" w:space="1"/>
      </w:pBdr>
      <w:jc w:val="right"/>
    </w:pPr>
    <w:r>
      <w:rPr>
        <w:rFonts w:ascii="Times New Roman" w:cs="Times New Roman" w:eastAsia="Times New Roman" w:hAnsi="Times New Roman"/>
        <w:i/>
        <w:iCs/>
        <w:color w:val="666666"/>
        <w:sz w:val="18"/>
        <w:szCs w:val="18"/>
      </w:rPr>
      <w:t xml:space="preserve">GraphQL-LD — Rapport de projet de recherche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2026-04-17T20:03:44.371Z</dcterms:created>
  <dcterms:modified xsi:type="dcterms:W3CDTF">2026-04-17T20:03:44.371Z</dcterms:modified>
</cp:coreProperties>
</file>

<file path=docProps/custom.xml><?xml version="1.0" encoding="utf-8"?>
<Properties xmlns="http://schemas.openxmlformats.org/officeDocument/2006/custom-properties" xmlns:vt="http://schemas.openxmlformats.org/officeDocument/2006/docPropsVTypes"/>
</file>