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AI RECEPTIONIST &amp; WEBSITE</w:t>
      </w:r>
    </w:p>
    <w:p>
      <w:pPr>
        <w:spacing w:after="200"/>
      </w:pPr>
      <w:r>
        <w:rPr>
          <w:color w:val="555555"/>
          <w:sz w:val="30"/>
          <w:szCs w:val="30"/>
        </w:rPr>
        <w:t xml:space="preserve">Pricing Reference</w:t>
      </w:r>
    </w:p>
    <w:p>
      <w:pPr>
        <w:spacing w:after="120"/>
      </w:pPr>
      <w:r>
        <w:rPr>
          <w:i/>
          <w:iCs/>
        </w:rPr>
        <w:t xml:space="preserve">A single reference for every pricing conversation, regardless of vertical (hospitality, home services, or otherwise). Keep this open or printed during any pitch call.</w:t>
      </w:r>
    </w:p>
    <w:p>
      <w:pPr>
        <w:pBdr>
          <w:bottom w:val="single" w:color="999999" w:sz="6" w:space="1"/>
        </w:pBdr>
        <w:spacing w:after="200" w:before="200"/>
      </w:pPr>
    </w:p>
    <w:p>
      <w:pPr>
        <w:pStyle w:val="Heading1"/>
        <w:spacing w:after="150" w:before="300"/>
      </w:pPr>
      <w:r>
        <w:t xml:space="preserve">Core Rules, Regardless of Vertical</w:t>
      </w:r>
    </w:p>
    <w:p>
      <w:pPr>
        <w:pStyle w:val="ListParagraph"/>
        <w:numPr>
          <w:ilvl w:val="0"/>
          <w:numId w:val="2"/>
        </w:numPr>
        <w:spacing w:after="80"/>
      </w:pPr>
      <w:r>
        <w:rPr>
          <w:b/>
          <w:bCs/>
        </w:rPr>
        <w:t xml:space="preserve">Never mention the underlying platform (Phonely) by name or its own subscription cost.</w:t>
      </w:r>
      <w:r>
        <w:t xml:space="preserve"> You own the account, same as Vercel/PostHog for your site work. The client only ever sees your one flat monthly rate and a single Stripe invoice.</w:t>
      </w:r>
    </w:p>
    <w:p>
      <w:pPr>
        <w:pStyle w:val="ListParagraph"/>
        <w:numPr>
          <w:ilvl w:val="0"/>
          <w:numId w:val="2"/>
        </w:numPr>
        <w:spacing w:after="80"/>
      </w:pPr>
      <w:r>
        <w:rPr>
          <w:b/>
          <w:bCs/>
        </w:rPr>
        <w:t xml:space="preserve">Never open with a range. Name a specific number confidently.</w:t>
      </w:r>
      <w:r>
        <w:t xml:space="preserve"> If cost becomes a real objection, you have room to come down — don't start low and negotiate up.</w:t>
      </w:r>
    </w:p>
    <w:p>
      <w:pPr>
        <w:pStyle w:val="ListParagraph"/>
        <w:numPr>
          <w:ilvl w:val="0"/>
          <w:numId w:val="2"/>
        </w:numPr>
        <w:spacing w:after="80"/>
      </w:pPr>
      <w:r>
        <w:rPr>
          <w:b/>
          <w:bCs/>
        </w:rPr>
        <w:t xml:space="preserve">Never discount the monthly rate.</w:t>
      </w:r>
      <w:r>
        <w:t xml:space="preserve"> If a prospect pushes back, offer a lower one-time setup fee or a payment plan instead — the monthly number pays for your ongoing time and the platform cost, so it's the wrong place to concede.</w:t>
      </w:r>
    </w:p>
    <w:p>
      <w:pPr>
        <w:pStyle w:val="ListParagraph"/>
        <w:numPr>
          <w:ilvl w:val="0"/>
          <w:numId w:val="2"/>
        </w:numPr>
        <w:spacing w:after="80"/>
      </w:pPr>
      <w:r>
        <w:rPr>
          <w:b/>
          <w:bCs/>
        </w:rPr>
        <w:t xml:space="preserve">Price is a lookup, not a negotiation.</w:t>
      </w:r>
      <w:r>
        <w:t xml:space="preserve"> Use the tier tables below to find the number — don't build a custom price per client on the fly.</w:t>
      </w:r>
    </w:p>
    <w:p>
      <w:pPr>
        <w:pBdr>
          <w:bottom w:val="single" w:color="999999" w:sz="6" w:space="1"/>
        </w:pBdr>
        <w:spacing w:after="200" w:before="200"/>
      </w:pPr>
    </w:p>
    <w:p>
      <w:pPr>
        <w:pStyle w:val="Heading1"/>
        <w:spacing w:after="150" w:before="300"/>
      </w:pPr>
      <w:r>
        <w:t xml:space="preserve">Your Own Cost Basis (What You're Actually Paying)</w:t>
      </w:r>
    </w:p>
    <w:p>
      <w:pPr>
        <w:spacing w:after="120"/>
      </w:pPr>
      <w:r>
        <w:rPr>
          <w:b/>
          <w:bCs/>
        </w:rPr>
        <w:t xml:space="preserve">One account can host multiple clients' agents — usage pools across everyone sharing it. </w:t>
      </w:r>
      <w:r>
        <w:t xml:space="preserve">This isn't "one account per client." Practical model: run one shared account, starting at Pro tier, and monitor combined usage across your whole client roster on it. If you exceed the tier's included minutes, it rolls over to per-minute overage billing — nothing breaks, it's a cost question, not a service question. Only move the whole account up to Business tier once your total combined client volume makes that the better economics than paying overage.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1600"/>
        <w:gridCol w:w="1600"/>
        <w:gridCol w:w="1600"/>
      </w:tblGrid>
      <w:tr>
        <w:trPr>
          <w:tblHeader/>
        </w:trPr>
        <w:tc>
          <w:tcPr>
            <w:tcW w:type="dxa" w:w="2100"/>
            <w:shd w:fill="2B2440" w:val="clear"/>
          </w:tcPr>
          <w:p>
            <w:r>
              <w:rPr>
                <w:b/>
                <w:bCs/>
                <w:color w:val="FFFFFF"/>
                <w:sz w:val="17"/>
                <w:szCs w:val="17"/>
              </w:rPr>
              <w:t xml:space="preserve">Platform Tier</w:t>
            </w:r>
          </w:p>
        </w:tc>
        <w:tc>
          <w:tcPr>
            <w:tcW w:type="dxa" w:w="2500"/>
            <w:shd w:fill="2B2440" w:val="clear"/>
          </w:tcPr>
          <w:p>
            <w:r>
              <w:rPr>
                <w:b/>
                <w:bCs/>
                <w:color w:val="FFFFFF"/>
                <w:sz w:val="17"/>
                <w:szCs w:val="17"/>
              </w:rPr>
              <w:t xml:space="preserve">Monthly Cost to You</w:t>
            </w:r>
          </w:p>
        </w:tc>
        <w:tc>
          <w:tcPr>
            <w:tcW w:type="dxa" w:w="1600"/>
            <w:shd w:fill="2B2440" w:val="clear"/>
          </w:tcPr>
          <w:p>
            <w:r>
              <w:rPr>
                <w:b/>
                <w:bCs/>
                <w:color w:val="FFFFFF"/>
                <w:sz w:val="17"/>
                <w:szCs w:val="17"/>
              </w:rPr>
              <w:t xml:space="preserve">Included Minutes</w:t>
            </w:r>
          </w:p>
        </w:tc>
        <w:tc>
          <w:tcPr>
            <w:tcW w:type="dxa" w:w="1600"/>
            <w:shd w:fill="2B2440" w:val="clear"/>
          </w:tcPr>
          <w:p>
            <w:r>
              <w:rPr>
                <w:b/>
                <w:bCs/>
                <w:color w:val="FFFFFF"/>
                <w:sz w:val="17"/>
                <w:szCs w:val="17"/>
              </w:rPr>
              <w:t xml:space="preserve">Approx. Calls</w:t>
            </w:r>
          </w:p>
        </w:tc>
        <w:tc>
          <w:tcPr>
            <w:tcW w:type="dxa" w:w="1600"/>
            <w:shd w:fill="2B2440" w:val="clear"/>
          </w:tcPr>
          <w:p>
            <w:r>
              <w:rPr>
                <w:b/>
                <w:bCs/>
                <w:color w:val="FFFFFF"/>
                <w:sz w:val="17"/>
                <w:szCs w:val="17"/>
              </w:rPr>
              <w:t xml:space="preserve">Overage Rate</w:t>
            </w:r>
          </w:p>
        </w:tc>
      </w:tr>
      <w:tr>
        <w:tc>
          <w:tcPr>
            <w:tcW w:type="dxa" w:w="2100"/>
          </w:tcPr>
          <w:p>
            <w:r>
              <w:rPr>
                <w:sz w:val="17"/>
                <w:szCs w:val="17"/>
              </w:rPr>
              <w:t xml:space="preserve">Starter</w:t>
            </w:r>
          </w:p>
        </w:tc>
        <w:tc>
          <w:tcPr>
            <w:tcW w:type="dxa" w:w="2500"/>
          </w:tcPr>
          <w:p>
            <w:r>
              <w:rPr>
                <w:sz w:val="17"/>
                <w:szCs w:val="17"/>
              </w:rPr>
              <w:t xml:space="preserve">$50/mo</w:t>
            </w:r>
          </w:p>
        </w:tc>
        <w:tc>
          <w:tcPr>
            <w:tcW w:type="dxa" w:w="1600"/>
          </w:tcPr>
          <w:p>
            <w:r>
              <w:rPr>
                <w:sz w:val="17"/>
                <w:szCs w:val="17"/>
              </w:rPr>
              <w:t xml:space="preserve">200 min</w:t>
            </w:r>
          </w:p>
        </w:tc>
        <w:tc>
          <w:tcPr>
            <w:tcW w:type="dxa" w:w="1600"/>
          </w:tcPr>
          <w:p>
            <w:r>
              <w:rPr>
                <w:sz w:val="17"/>
                <w:szCs w:val="17"/>
              </w:rPr>
              <w:t xml:space="preserve">~100 calls</w:t>
            </w:r>
          </w:p>
        </w:tc>
        <w:tc>
          <w:tcPr>
            <w:tcW w:type="dxa" w:w="1600"/>
          </w:tcPr>
          <w:p>
            <w:r>
              <w:rPr>
                <w:sz w:val="17"/>
                <w:szCs w:val="17"/>
              </w:rPr>
              <w:t xml:space="preserve">$0.35/min</w:t>
            </w:r>
          </w:p>
        </w:tc>
      </w:tr>
      <w:tr>
        <w:tc>
          <w:tcPr>
            <w:tcW w:type="dxa" w:w="2100"/>
          </w:tcPr>
          <w:p>
            <w:r>
              <w:rPr>
                <w:sz w:val="17"/>
                <w:szCs w:val="17"/>
              </w:rPr>
              <w:t xml:space="preserve">Pro</w:t>
            </w:r>
          </w:p>
        </w:tc>
        <w:tc>
          <w:tcPr>
            <w:tcW w:type="dxa" w:w="2500"/>
          </w:tcPr>
          <w:p>
            <w:r>
              <w:rPr>
                <w:sz w:val="17"/>
                <w:szCs w:val="17"/>
              </w:rPr>
              <w:t xml:space="preserve">~$120–150/mo (confirm)</w:t>
            </w:r>
          </w:p>
        </w:tc>
        <w:tc>
          <w:tcPr>
            <w:tcW w:type="dxa" w:w="1600"/>
          </w:tcPr>
          <w:p>
            <w:r>
              <w:rPr>
                <w:sz w:val="17"/>
                <w:szCs w:val="17"/>
              </w:rPr>
              <w:t xml:space="preserve">650 min</w:t>
            </w:r>
          </w:p>
        </w:tc>
        <w:tc>
          <w:tcPr>
            <w:tcW w:type="dxa" w:w="1600"/>
          </w:tcPr>
          <w:p>
            <w:r>
              <w:rPr>
                <w:sz w:val="17"/>
                <w:szCs w:val="17"/>
              </w:rPr>
              <w:t xml:space="preserve">~300 calls</w:t>
            </w:r>
          </w:p>
        </w:tc>
        <w:tc>
          <w:tcPr>
            <w:tcW w:type="dxa" w:w="1600"/>
          </w:tcPr>
          <w:p>
            <w:r>
              <w:rPr>
                <w:sz w:val="17"/>
                <w:szCs w:val="17"/>
              </w:rPr>
              <w:t xml:space="preserve">$0.30/min</w:t>
            </w:r>
          </w:p>
        </w:tc>
      </w:tr>
      <w:tr>
        <w:tc>
          <w:tcPr>
            <w:tcW w:type="dxa" w:w="2100"/>
          </w:tcPr>
          <w:p>
            <w:r>
              <w:rPr>
                <w:sz w:val="17"/>
                <w:szCs w:val="17"/>
              </w:rPr>
              <w:t xml:space="preserve">Business</w:t>
            </w:r>
          </w:p>
        </w:tc>
        <w:tc>
          <w:tcPr>
            <w:tcW w:type="dxa" w:w="2500"/>
          </w:tcPr>
          <w:p>
            <w:r>
              <w:rPr>
                <w:sz w:val="17"/>
                <w:szCs w:val="17"/>
              </w:rPr>
              <w:t xml:space="preserve">$400/mo</w:t>
            </w:r>
          </w:p>
        </w:tc>
        <w:tc>
          <w:tcPr>
            <w:tcW w:type="dxa" w:w="1600"/>
          </w:tcPr>
          <w:p>
            <w:r>
              <w:rPr>
                <w:sz w:val="17"/>
                <w:szCs w:val="17"/>
              </w:rPr>
              <w:t xml:space="preserve">2,000 min</w:t>
            </w:r>
          </w:p>
        </w:tc>
        <w:tc>
          <w:tcPr>
            <w:tcW w:type="dxa" w:w="1600"/>
          </w:tcPr>
          <w:p>
            <w:r>
              <w:rPr>
                <w:sz w:val="17"/>
                <w:szCs w:val="17"/>
              </w:rPr>
              <w:t xml:space="preserve">~1,000 calls</w:t>
            </w:r>
          </w:p>
        </w:tc>
        <w:tc>
          <w:tcPr>
            <w:tcW w:type="dxa" w:w="1600"/>
          </w:tcPr>
          <w:p>
            <w:r>
              <w:rPr>
                <w:sz w:val="17"/>
                <w:szCs w:val="17"/>
              </w:rPr>
              <w:t xml:space="preserve">$0.25/min</w:t>
            </w:r>
          </w:p>
        </w:tc>
      </w:tr>
    </w:tbl>
    <w:p>
      <w:pPr>
        <w:spacing w:after="150"/>
      </w:pPr>
    </w:p>
    <w:p>
      <w:pPr>
        <w:spacing w:after="120"/>
      </w:pPr>
      <w:r>
        <w:rPr>
          <w:b/>
          <w:bCs/>
        </w:rPr>
        <w:t xml:space="preserve">What this means for your margin: </w:t>
      </w:r>
      <w:r>
        <w:t xml:space="preserve">a low-volume client sharing an already-paid-for account may barely touch the shared minute pool, meaning their real marginal platform cost is close to $0 — your actual margin on lower tiers is likely better than a simple "price minus platform tier cost" calculation suggests. Track combined usage across all clients on an account regularly, since one unexpectedly high-volume client can push the whole account into overage and affect margin across everyone sharing it.</w:t>
      </w:r>
    </w:p>
    <w:p>
      <w:pPr>
        <w:pBdr>
          <w:bottom w:val="single" w:color="999999" w:sz="6" w:space="1"/>
        </w:pBdr>
        <w:spacing w:after="200" w:before="200"/>
      </w:pPr>
    </w:p>
    <w:p>
      <w:pPr>
        <w:pStyle w:val="Heading1"/>
        <w:spacing w:after="150" w:before="300"/>
      </w:pPr>
      <w:r>
        <w:t xml:space="preserve">AI Receptionist Pricing — The 4-Tier System</w:t>
      </w:r>
    </w:p>
    <w:p>
      <w:pPr>
        <w:spacing w:after="120"/>
      </w:pPr>
      <w:r>
        <w:t xml:space="preserve">Every receptionist quote comes from two signals, gathered the same way every time:</w:t>
      </w:r>
    </w:p>
    <w:p>
      <w:pPr>
        <w:pStyle w:val="ListParagraph"/>
        <w:numPr>
          <w:ilvl w:val="0"/>
          <w:numId w:val="2"/>
        </w:numPr>
        <w:spacing w:after="80"/>
      </w:pPr>
      <w:r>
        <w:rPr>
          <w:b/>
          <w:bCs/>
        </w:rPr>
        <w:t xml:space="preserve">Estimated monthly leakage</w:t>
      </w:r>
      <w:r>
        <w:t xml:space="preserve"> — from the Missed-Call Worksheet (missed calls/month × conversion % × avg ticket)</w:t>
      </w:r>
    </w:p>
    <w:p>
      <w:pPr>
        <w:pStyle w:val="ListParagraph"/>
        <w:numPr>
          <w:ilvl w:val="0"/>
          <w:numId w:val="2"/>
        </w:numPr>
        <w:spacing w:after="80"/>
      </w:pPr>
      <w:r>
        <w:rPr>
          <w:b/>
          <w:bCs/>
        </w:rPr>
        <w:t xml:space="preserve">Call volume</w:t>
      </w:r>
      <w:r>
        <w:t xml:space="preserve"> — roughly how many calls/month they actually get, missed or not (this determines the platform tier you'll need)</w:t>
      </w:r>
    </w:p>
    <w:p>
      <w:pPr>
        <w:spacing w:after="120"/>
      </w:pPr>
      <w:r>
        <w:t xml:space="preserve">Find where the business lands, and that's the number — no on-the-spot math, no custom pricing.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1750"/>
        <w:gridCol w:w="1750"/>
      </w:tblGrid>
      <w:tr>
        <w:trPr>
          <w:tblHeader/>
        </w:trPr>
        <w:tc>
          <w:tcPr>
            <w:tcW w:type="dxa" w:w="2200"/>
            <w:shd w:fill="2B2440" w:val="clear"/>
          </w:tcPr>
          <w:p>
            <w:r>
              <w:rPr>
                <w:b/>
                <w:bCs/>
                <w:color w:val="FFFFFF"/>
                <w:sz w:val="17"/>
                <w:szCs w:val="17"/>
              </w:rPr>
              <w:t xml:space="preserve"/>
            </w:r>
          </w:p>
        </w:tc>
        <w:tc>
          <w:tcPr>
            <w:tcW w:type="dxa" w:w="1750"/>
            <w:shd w:fill="2B2440" w:val="clear"/>
          </w:tcPr>
          <w:p>
            <w:r>
              <w:rPr>
                <w:b/>
                <w:bCs/>
                <w:color w:val="FFFFFF"/>
                <w:sz w:val="17"/>
                <w:szCs w:val="17"/>
              </w:rPr>
              <w:t xml:space="preserve">Tier 1 — Standard</w:t>
            </w:r>
          </w:p>
        </w:tc>
        <w:tc>
          <w:tcPr>
            <w:tcW w:type="dxa" w:w="1750"/>
            <w:shd w:fill="2B2440" w:val="clear"/>
          </w:tcPr>
          <w:p>
            <w:r>
              <w:rPr>
                <w:b/>
                <w:bCs/>
                <w:color w:val="FFFFFF"/>
                <w:sz w:val="17"/>
                <w:szCs w:val="17"/>
              </w:rPr>
              <w:t xml:space="preserve">Tier 2 — Growth</w:t>
            </w:r>
          </w:p>
        </w:tc>
        <w:tc>
          <w:tcPr>
            <w:tcW w:type="dxa" w:w="1750"/>
            <w:shd w:fill="2B2440" w:val="clear"/>
          </w:tcPr>
          <w:p>
            <w:r>
              <w:rPr>
                <w:b/>
                <w:bCs/>
                <w:color w:val="FFFFFF"/>
                <w:sz w:val="17"/>
                <w:szCs w:val="17"/>
              </w:rPr>
              <w:t xml:space="preserve">Tier 3 — Priority</w:t>
            </w:r>
          </w:p>
        </w:tc>
        <w:tc>
          <w:tcPr>
            <w:tcW w:type="dxa" w:w="1750"/>
            <w:shd w:fill="2B2440" w:val="clear"/>
          </w:tcPr>
          <w:p>
            <w:r>
              <w:rPr>
                <w:b/>
                <w:bCs/>
                <w:color w:val="FFFFFF"/>
                <w:sz w:val="17"/>
                <w:szCs w:val="17"/>
              </w:rPr>
              <w:t xml:space="preserve">Tier 4 — Elite</w:t>
            </w:r>
          </w:p>
        </w:tc>
      </w:tr>
      <w:tr>
        <w:tc>
          <w:tcPr>
            <w:tcW w:type="dxa" w:w="2200"/>
          </w:tcPr>
          <w:p>
            <w:r>
              <w:rPr>
                <w:sz w:val="17"/>
                <w:szCs w:val="17"/>
              </w:rPr>
              <w:t xml:space="preserve">Leakage signal</w:t>
            </w:r>
          </w:p>
        </w:tc>
        <w:tc>
          <w:tcPr>
            <w:tcW w:type="dxa" w:w="1750"/>
          </w:tcPr>
          <w:p>
            <w:r>
              <w:rPr>
                <w:sz w:val="17"/>
                <w:szCs w:val="17"/>
              </w:rPr>
              <w:t xml:space="preserve">Under ~$750/mo</w:t>
            </w:r>
          </w:p>
        </w:tc>
        <w:tc>
          <w:tcPr>
            <w:tcW w:type="dxa" w:w="1750"/>
          </w:tcPr>
          <w:p>
            <w:r>
              <w:rPr>
                <w:sz w:val="17"/>
                <w:szCs w:val="17"/>
              </w:rPr>
              <w:t xml:space="preserve">~$750–2,000/mo</w:t>
            </w:r>
          </w:p>
        </w:tc>
        <w:tc>
          <w:tcPr>
            <w:tcW w:type="dxa" w:w="1750"/>
          </w:tcPr>
          <w:p>
            <w:r>
              <w:rPr>
                <w:sz w:val="17"/>
                <w:szCs w:val="17"/>
              </w:rPr>
              <w:t xml:space="preserve">~$2,000–5,000/mo</w:t>
            </w:r>
          </w:p>
        </w:tc>
        <w:tc>
          <w:tcPr>
            <w:tcW w:type="dxa" w:w="1750"/>
          </w:tcPr>
          <w:p>
            <w:r>
              <w:rPr>
                <w:sz w:val="17"/>
                <w:szCs w:val="17"/>
              </w:rPr>
              <w:t xml:space="preserve">$5,000+/mo</w:t>
            </w:r>
          </w:p>
        </w:tc>
      </w:tr>
      <w:tr>
        <w:tc>
          <w:tcPr>
            <w:tcW w:type="dxa" w:w="2200"/>
          </w:tcPr>
          <w:p>
            <w:r>
              <w:rPr>
                <w:sz w:val="17"/>
                <w:szCs w:val="17"/>
              </w:rPr>
              <w:t xml:space="preserve">Call volume signal</w:t>
            </w:r>
          </w:p>
        </w:tc>
        <w:tc>
          <w:tcPr>
            <w:tcW w:type="dxa" w:w="1750"/>
          </w:tcPr>
          <w:p>
            <w:r>
              <w:rPr>
                <w:sz w:val="17"/>
                <w:szCs w:val="17"/>
              </w:rPr>
              <w:t xml:space="preserve">Under ~20/mo</w:t>
            </w:r>
          </w:p>
        </w:tc>
        <w:tc>
          <w:tcPr>
            <w:tcW w:type="dxa" w:w="1750"/>
          </w:tcPr>
          <w:p>
            <w:r>
              <w:rPr>
                <w:sz w:val="17"/>
                <w:szCs w:val="17"/>
              </w:rPr>
              <w:t xml:space="preserve">~20–65/mo</w:t>
            </w:r>
          </w:p>
        </w:tc>
        <w:tc>
          <w:tcPr>
            <w:tcW w:type="dxa" w:w="1750"/>
          </w:tcPr>
          <w:p>
            <w:r>
              <w:rPr>
                <w:sz w:val="17"/>
                <w:szCs w:val="17"/>
              </w:rPr>
              <w:t xml:space="preserve">~65–150/mo</w:t>
            </w:r>
          </w:p>
        </w:tc>
        <w:tc>
          <w:tcPr>
            <w:tcW w:type="dxa" w:w="1750"/>
          </w:tcPr>
          <w:p>
            <w:r>
              <w:rPr>
                <w:sz w:val="17"/>
                <w:szCs w:val="17"/>
              </w:rPr>
              <w:t xml:space="preserve">150+/mo</w:t>
            </w:r>
          </w:p>
        </w:tc>
      </w:tr>
      <w:tr>
        <w:tc>
          <w:tcPr>
            <w:tcW w:type="dxa" w:w="2200"/>
          </w:tcPr>
          <w:p>
            <w:r>
              <w:rPr>
                <w:sz w:val="17"/>
                <w:szCs w:val="17"/>
              </w:rPr>
              <w:t xml:space="preserve">Platform needed</w:t>
            </w:r>
          </w:p>
        </w:tc>
        <w:tc>
          <w:tcPr>
            <w:tcW w:type="dxa" w:w="1750"/>
          </w:tcPr>
          <w:p>
            <w:r>
              <w:rPr>
                <w:sz w:val="17"/>
                <w:szCs w:val="17"/>
              </w:rPr>
              <w:t xml:space="preserve">Starter</w:t>
            </w:r>
          </w:p>
        </w:tc>
        <w:tc>
          <w:tcPr>
            <w:tcW w:type="dxa" w:w="1750"/>
          </w:tcPr>
          <w:p>
            <w:r>
              <w:rPr>
                <w:sz w:val="17"/>
                <w:szCs w:val="17"/>
              </w:rPr>
              <w:t xml:space="preserve">Starter</w:t>
            </w:r>
          </w:p>
        </w:tc>
        <w:tc>
          <w:tcPr>
            <w:tcW w:type="dxa" w:w="1750"/>
          </w:tcPr>
          <w:p>
            <w:r>
              <w:rPr>
                <w:sz w:val="17"/>
                <w:szCs w:val="17"/>
              </w:rPr>
              <w:t xml:space="preserve">Pro</w:t>
            </w:r>
          </w:p>
        </w:tc>
        <w:tc>
          <w:tcPr>
            <w:tcW w:type="dxa" w:w="1750"/>
          </w:tcPr>
          <w:p>
            <w:r>
              <w:rPr>
                <w:sz w:val="17"/>
                <w:szCs w:val="17"/>
              </w:rPr>
              <w:t xml:space="preserve">Pro or Business*</w:t>
            </w:r>
          </w:p>
        </w:tc>
      </w:tr>
      <w:tr>
        <w:tc>
          <w:tcPr>
            <w:tcW w:type="dxa" w:w="2200"/>
          </w:tcPr>
          <w:p>
            <w:r>
              <w:rPr>
                <w:sz w:val="17"/>
                <w:szCs w:val="17"/>
              </w:rPr>
              <w:t xml:space="preserve">Setup — standalone only</w:t>
            </w:r>
          </w:p>
        </w:tc>
        <w:tc>
          <w:tcPr>
            <w:tcW w:type="dxa" w:w="1750"/>
          </w:tcPr>
          <w:p>
            <w:r>
              <w:rPr>
                <w:sz w:val="17"/>
                <w:szCs w:val="17"/>
              </w:rPr>
              <w:t xml:space="preserve">$400</w:t>
            </w:r>
          </w:p>
        </w:tc>
        <w:tc>
          <w:tcPr>
            <w:tcW w:type="dxa" w:w="1750"/>
          </w:tcPr>
          <w:p>
            <w:r>
              <w:rPr>
                <w:sz w:val="17"/>
                <w:szCs w:val="17"/>
              </w:rPr>
              <w:t xml:space="preserve">$400</w:t>
            </w:r>
          </w:p>
        </w:tc>
        <w:tc>
          <w:tcPr>
            <w:tcW w:type="dxa" w:w="1750"/>
          </w:tcPr>
          <w:p>
            <w:r>
              <w:rPr>
                <w:sz w:val="17"/>
                <w:szCs w:val="17"/>
              </w:rPr>
              <w:t xml:space="preserve">$600</w:t>
            </w:r>
          </w:p>
        </w:tc>
        <w:tc>
          <w:tcPr>
            <w:tcW w:type="dxa" w:w="1750"/>
          </w:tcPr>
          <w:p>
            <w:r>
              <w:rPr>
                <w:sz w:val="17"/>
                <w:szCs w:val="17"/>
              </w:rPr>
              <w:t xml:space="preserve">$800</w:t>
            </w:r>
          </w:p>
        </w:tc>
      </w:tr>
      <w:tr>
        <w:tc>
          <w:tcPr>
            <w:tcW w:type="dxa" w:w="2200"/>
          </w:tcPr>
          <w:p>
            <w:r>
              <w:rPr>
                <w:sz w:val="17"/>
                <w:szCs w:val="17"/>
              </w:rPr>
              <w:t xml:space="preserve">Monthly — standalone</w:t>
            </w:r>
          </w:p>
        </w:tc>
        <w:tc>
          <w:tcPr>
            <w:tcW w:type="dxa" w:w="1750"/>
          </w:tcPr>
          <w:p>
            <w:r>
              <w:rPr>
                <w:sz w:val="17"/>
                <w:szCs w:val="17"/>
              </w:rPr>
              <w:t xml:space="preserve">$300/mo</w:t>
            </w:r>
          </w:p>
        </w:tc>
        <w:tc>
          <w:tcPr>
            <w:tcW w:type="dxa" w:w="1750"/>
          </w:tcPr>
          <w:p>
            <w:r>
              <w:rPr>
                <w:sz w:val="17"/>
                <w:szCs w:val="17"/>
              </w:rPr>
              <w:t xml:space="preserve">$500/mo</w:t>
            </w:r>
          </w:p>
        </w:tc>
        <w:tc>
          <w:tcPr>
            <w:tcW w:type="dxa" w:w="1750"/>
          </w:tcPr>
          <w:p>
            <w:r>
              <w:rPr>
                <w:sz w:val="17"/>
                <w:szCs w:val="17"/>
              </w:rPr>
              <w:t xml:space="preserve">$650/mo</w:t>
            </w:r>
          </w:p>
        </w:tc>
        <w:tc>
          <w:tcPr>
            <w:tcW w:type="dxa" w:w="1750"/>
          </w:tcPr>
          <w:p>
            <w:r>
              <w:rPr>
                <w:sz w:val="17"/>
                <w:szCs w:val="17"/>
              </w:rPr>
              <w:t xml:space="preserve">$900/mo</w:t>
            </w:r>
          </w:p>
        </w:tc>
      </w:tr>
      <w:tr>
        <w:tc>
          <w:tcPr>
            <w:tcW w:type="dxa" w:w="2200"/>
          </w:tcPr>
          <w:p>
            <w:r>
              <w:rPr>
                <w:sz w:val="17"/>
                <w:szCs w:val="17"/>
              </w:rPr>
              <w:t xml:space="preserve">Monthly — bundled</w:t>
            </w:r>
          </w:p>
        </w:tc>
        <w:tc>
          <w:tcPr>
            <w:tcW w:type="dxa" w:w="1750"/>
          </w:tcPr>
          <w:p>
            <w:r>
              <w:rPr>
                <w:sz w:val="17"/>
                <w:szCs w:val="17"/>
              </w:rPr>
              <w:t xml:space="preserve">$150/mo</w:t>
            </w:r>
          </w:p>
        </w:tc>
        <w:tc>
          <w:tcPr>
            <w:tcW w:type="dxa" w:w="1750"/>
          </w:tcPr>
          <w:p>
            <w:r>
              <w:rPr>
                <w:sz w:val="17"/>
                <w:szCs w:val="17"/>
              </w:rPr>
              <w:t xml:space="preserve">$250/mo</w:t>
            </w:r>
          </w:p>
        </w:tc>
        <w:tc>
          <w:tcPr>
            <w:tcW w:type="dxa" w:w="1750"/>
          </w:tcPr>
          <w:p>
            <w:r>
              <w:rPr>
                <w:sz w:val="17"/>
                <w:szCs w:val="17"/>
              </w:rPr>
              <w:t xml:space="preserve">$400/mo</w:t>
            </w:r>
          </w:p>
        </w:tc>
        <w:tc>
          <w:tcPr>
            <w:tcW w:type="dxa" w:w="1750"/>
          </w:tcPr>
          <w:p>
            <w:r>
              <w:rPr>
                <w:sz w:val="17"/>
                <w:szCs w:val="17"/>
              </w:rPr>
              <w:t xml:space="preserve">$650/mo</w:t>
            </w:r>
          </w:p>
        </w:tc>
      </w:tr>
    </w:tbl>
    <w:p>
      <w:pPr>
        <w:spacing w:after="150"/>
      </w:pPr>
    </w:p>
    <w:p>
      <w:pPr>
        <w:spacing w:after="120"/>
      </w:pPr>
      <w:r>
        <w:rPr>
          <w:i/>
          <w:iCs/>
        </w:rPr>
        <w:t xml:space="preserve">*Business tier needed if real volume exceeds ~300 calls/mo — confirm actual volume before quoting Tier 4.</w:t>
      </w:r>
    </w:p>
    <w:p>
      <w:pPr>
        <w:spacing w:after="120"/>
      </w:pPr>
      <w:r>
        <w:rPr>
          <w:b/>
          <w:bCs/>
        </w:rPr>
        <w:t xml:space="preserve">Standalone vs. bundled:</w:t>
      </w:r>
    </w:p>
    <w:p>
      <w:pPr>
        <w:pStyle w:val="ListParagraph"/>
        <w:numPr>
          <w:ilvl w:val="0"/>
          <w:numId w:val="2"/>
        </w:numPr>
        <w:spacing w:after="80"/>
      </w:pPr>
      <w:r>
        <w:rPr>
          <w:b/>
          <w:bCs/>
        </w:rPr>
        <w:t xml:space="preserve">Standalone</w:t>
      </w:r>
      <w:r>
        <w:t xml:space="preserve"> (no site build involved) — the $400 setup fee applies, since you're writing the knowledge base manually and carrying 100% of the platform cost alone.</w:t>
      </w:r>
    </w:p>
    <w:p>
      <w:pPr>
        <w:pStyle w:val="ListParagraph"/>
        <w:numPr>
          <w:ilvl w:val="0"/>
          <w:numId w:val="2"/>
        </w:numPr>
        <w:spacing w:after="80"/>
      </w:pPr>
      <w:r>
        <w:rPr>
          <w:b/>
          <w:bCs/>
        </w:rPr>
        <w:t xml:space="preserve">Bundled</w:t>
      </w:r>
      <w:r>
        <w:t xml:space="preserve"> (add-on to a site build) — no separate setup fee, folded into the value story of the site build itself.</w:t>
      </w:r>
    </w:p>
    <w:p>
      <w:pPr>
        <w:spacing w:after="120"/>
      </w:pPr>
      <w:r>
        <w:rPr>
          <w:b/>
          <w:bCs/>
        </w:rPr>
        <w:t xml:space="preserve">"Platform needed" here is a rough signal of how much this specific client contributes to your shared account's usage pool</w:t>
      </w:r>
      <w:r>
        <w:t xml:space="preserve"> — not a separate account to open per client. Add up what your whole client roster is actually using; that combined total is what determines whether your one shared account needs to move from Pro to Business, not any single client's tier in isolation.</w:t>
      </w:r>
    </w:p>
    <w:p>
      <w:pPr>
        <w:spacing w:after="120"/>
      </w:pPr>
      <w:r>
        <w:rPr>
          <w:b/>
          <w:bCs/>
        </w:rPr>
        <w:t xml:space="preserve">If in doubt between two tiers, or a client is right on the border — default to the higher tier when pricing them.</w:t>
      </w:r>
      <w:r>
        <w:t xml:space="preserve"> Easier to have margin room than to eat overage costs later.</w:t>
      </w:r>
    </w:p>
    <w:p>
      <w:pPr>
        <w:pBdr>
          <w:bottom w:val="single" w:color="999999" w:sz="6" w:space="1"/>
        </w:pBdr>
        <w:spacing w:after="200" w:before="200"/>
      </w:pPr>
    </w:p>
    <w:p>
      <w:pPr>
        <w:pStyle w:val="Heading1"/>
        <w:spacing w:after="150" w:before="300"/>
      </w:pPr>
      <w:r>
        <w:t xml:space="preserve">Website Build Pricing (By Category)</w:t>
      </w:r>
    </w:p>
    <w:p>
      <w:pPr>
        <w:spacing w:after="120"/>
      </w:pPr>
      <w:r>
        <w:t xml:space="preserve">A separate lookup from the receptionist tiers above — site pricing is based on business category and complexity, not call leakage. A business could have severe call leakage but only need a simple site, or vice versa — the two are independent.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000"/>
      </w:tblGrid>
      <w:tr>
        <w:trPr>
          <w:tblHeader/>
        </w:trPr>
        <w:tc>
          <w:tcPr>
            <w:tcW w:type="dxa" w:w="2800"/>
            <w:shd w:fill="2B2440" w:val="clear"/>
          </w:tcPr>
          <w:p>
            <w:r>
              <w:rPr>
                <w:b/>
                <w:bCs/>
                <w:color w:val="FFFFFF"/>
                <w:sz w:val="17"/>
                <w:szCs w:val="17"/>
              </w:rPr>
              <w:t xml:space="preserve">Category</w:t>
            </w:r>
          </w:p>
        </w:tc>
        <w:tc>
          <w:tcPr>
            <w:tcW w:type="dxa" w:w="2200"/>
            <w:shd w:fill="2B2440" w:val="clear"/>
          </w:tcPr>
          <w:p>
            <w:r>
              <w:rPr>
                <w:b/>
                <w:bCs/>
                <w:color w:val="FFFFFF"/>
                <w:sz w:val="17"/>
                <w:szCs w:val="17"/>
              </w:rPr>
              <w:t xml:space="preserve">Build Fee</w:t>
            </w:r>
          </w:p>
        </w:tc>
        <w:tc>
          <w:tcPr>
            <w:tcW w:type="dxa" w:w="2200"/>
            <w:shd w:fill="2B2440" w:val="clear"/>
          </w:tcPr>
          <w:p>
            <w:r>
              <w:rPr>
                <w:b/>
                <w:bCs/>
                <w:color w:val="FFFFFF"/>
                <w:sz w:val="17"/>
                <w:szCs w:val="17"/>
              </w:rPr>
              <w:t xml:space="preserve">Monthly Retainer</w:t>
            </w:r>
          </w:p>
        </w:tc>
        <w:tc>
          <w:tcPr>
            <w:tcW w:type="dxa" w:w="2000"/>
            <w:shd w:fill="2B2440" w:val="clear"/>
          </w:tcPr>
          <w:p>
            <w:r>
              <w:rPr>
                <w:b/>
                <w:bCs/>
                <w:color w:val="FFFFFF"/>
                <w:sz w:val="17"/>
                <w:szCs w:val="17"/>
              </w:rPr>
              <w:t xml:space="preserve">Year 1 Value</w:t>
            </w:r>
          </w:p>
        </w:tc>
      </w:tr>
      <w:tr>
        <w:tc>
          <w:tcPr>
            <w:tcW w:type="dxa" w:w="2800"/>
          </w:tcPr>
          <w:p>
            <w:r>
              <w:rPr>
                <w:sz w:val="17"/>
                <w:szCs w:val="17"/>
              </w:rPr>
              <w:t xml:space="preserve">Clubs</w:t>
            </w:r>
          </w:p>
        </w:tc>
        <w:tc>
          <w:tcPr>
            <w:tcW w:type="dxa" w:w="2200"/>
          </w:tcPr>
          <w:p>
            <w:r>
              <w:rPr>
                <w:sz w:val="17"/>
                <w:szCs w:val="17"/>
              </w:rPr>
              <w:t xml:space="preserve">$3,000–6,000</w:t>
            </w:r>
          </w:p>
        </w:tc>
        <w:tc>
          <w:tcPr>
            <w:tcW w:type="dxa" w:w="2200"/>
          </w:tcPr>
          <w:p>
            <w:r>
              <w:rPr>
                <w:sz w:val="17"/>
                <w:szCs w:val="17"/>
              </w:rPr>
              <w:t xml:space="preserve">$800–1,200/mo</w:t>
            </w:r>
          </w:p>
        </w:tc>
        <w:tc>
          <w:tcPr>
            <w:tcW w:type="dxa" w:w="2000"/>
          </w:tcPr>
          <w:p>
            <w:r>
              <w:rPr>
                <w:sz w:val="17"/>
                <w:szCs w:val="17"/>
              </w:rPr>
              <w:t xml:space="preserve">$12,600–20,400</w:t>
            </w:r>
          </w:p>
        </w:tc>
      </w:tr>
      <w:tr>
        <w:tc>
          <w:tcPr>
            <w:tcW w:type="dxa" w:w="2800"/>
          </w:tcPr>
          <w:p>
            <w:r>
              <w:rPr>
                <w:sz w:val="17"/>
                <w:szCs w:val="17"/>
              </w:rPr>
              <w:t xml:space="preserve">Restaurants — simple</w:t>
            </w:r>
          </w:p>
        </w:tc>
        <w:tc>
          <w:tcPr>
            <w:tcW w:type="dxa" w:w="2200"/>
          </w:tcPr>
          <w:p>
            <w:r>
              <w:rPr>
                <w:sz w:val="17"/>
                <w:szCs w:val="17"/>
              </w:rPr>
              <w:t xml:space="preserve">$1,500–2,500</w:t>
            </w:r>
          </w:p>
        </w:tc>
        <w:tc>
          <w:tcPr>
            <w:tcW w:type="dxa" w:w="2200"/>
          </w:tcPr>
          <w:p>
            <w:r>
              <w:rPr>
                <w:sz w:val="17"/>
                <w:szCs w:val="17"/>
              </w:rPr>
              <w:t xml:space="preserve">$400–600/mo</w:t>
            </w:r>
          </w:p>
        </w:tc>
        <w:tc>
          <w:tcPr>
            <w:tcW w:type="dxa" w:w="2000"/>
          </w:tcPr>
          <w:p>
            <w:r>
              <w:rPr>
                <w:sz w:val="17"/>
                <w:szCs w:val="17"/>
              </w:rPr>
              <w:t xml:space="preserve">$6,300–9,700</w:t>
            </w:r>
          </w:p>
        </w:tc>
      </w:tr>
      <w:tr>
        <w:tc>
          <w:tcPr>
            <w:tcW w:type="dxa" w:w="2800"/>
          </w:tcPr>
          <w:p>
            <w:r>
              <w:rPr>
                <w:sz w:val="17"/>
                <w:szCs w:val="17"/>
              </w:rPr>
              <w:t xml:space="preserve">Restaurants — ambitious</w:t>
            </w:r>
          </w:p>
        </w:tc>
        <w:tc>
          <w:tcPr>
            <w:tcW w:type="dxa" w:w="2200"/>
          </w:tcPr>
          <w:p>
            <w:r>
              <w:rPr>
                <w:sz w:val="17"/>
                <w:szCs w:val="17"/>
              </w:rPr>
              <w:t xml:space="preserve">$2,500–4,000</w:t>
            </w:r>
          </w:p>
        </w:tc>
        <w:tc>
          <w:tcPr>
            <w:tcW w:type="dxa" w:w="2200"/>
          </w:tcPr>
          <w:p>
            <w:r>
              <w:rPr>
                <w:sz w:val="17"/>
                <w:szCs w:val="17"/>
              </w:rPr>
              <w:t xml:space="preserve">$600–800/mo</w:t>
            </w:r>
          </w:p>
        </w:tc>
        <w:tc>
          <w:tcPr>
            <w:tcW w:type="dxa" w:w="2000"/>
          </w:tcPr>
          <w:p>
            <w:r>
              <w:rPr>
                <w:sz w:val="17"/>
                <w:szCs w:val="17"/>
              </w:rPr>
              <w:t xml:space="preserve">$9,700–13,600</w:t>
            </w:r>
          </w:p>
        </w:tc>
      </w:tr>
      <w:tr>
        <w:tc>
          <w:tcPr>
            <w:tcW w:type="dxa" w:w="2800"/>
          </w:tcPr>
          <w:p>
            <w:r>
              <w:rPr>
                <w:sz w:val="17"/>
                <w:szCs w:val="17"/>
              </w:rPr>
              <w:t xml:space="preserve">Bars</w:t>
            </w:r>
          </w:p>
        </w:tc>
        <w:tc>
          <w:tcPr>
            <w:tcW w:type="dxa" w:w="2200"/>
          </w:tcPr>
          <w:p>
            <w:r>
              <w:rPr>
                <w:sz w:val="17"/>
                <w:szCs w:val="17"/>
              </w:rPr>
              <w:t xml:space="preserve">$2,000–4,000</w:t>
            </w:r>
          </w:p>
        </w:tc>
        <w:tc>
          <w:tcPr>
            <w:tcW w:type="dxa" w:w="2200"/>
          </w:tcPr>
          <w:p>
            <w:r>
              <w:rPr>
                <w:sz w:val="17"/>
                <w:szCs w:val="17"/>
              </w:rPr>
              <w:t xml:space="preserve">$500–800/mo</w:t>
            </w:r>
          </w:p>
        </w:tc>
        <w:tc>
          <w:tcPr>
            <w:tcW w:type="dxa" w:w="2000"/>
          </w:tcPr>
          <w:p>
            <w:r>
              <w:rPr>
                <w:sz w:val="17"/>
                <w:szCs w:val="17"/>
              </w:rPr>
              <w:t xml:space="preserve">$8,000–13,600</w:t>
            </w:r>
          </w:p>
        </w:tc>
      </w:tr>
      <w:tr>
        <w:tc>
          <w:tcPr>
            <w:tcW w:type="dxa" w:w="2800"/>
          </w:tcPr>
          <w:p>
            <w:r>
              <w:rPr>
                <w:sz w:val="17"/>
                <w:szCs w:val="17"/>
              </w:rPr>
              <w:t xml:space="preserve">Multi-concept bundle</w:t>
            </w:r>
          </w:p>
        </w:tc>
        <w:tc>
          <w:tcPr>
            <w:tcW w:type="dxa" w:w="2200"/>
          </w:tcPr>
          <w:p>
            <w:r>
              <w:rPr>
                <w:sz w:val="17"/>
                <w:szCs w:val="17"/>
              </w:rPr>
              <w:t xml:space="preserve">$8,000–15,000</w:t>
            </w:r>
          </w:p>
        </w:tc>
        <w:tc>
          <w:tcPr>
            <w:tcW w:type="dxa" w:w="2200"/>
          </w:tcPr>
          <w:p>
            <w:r>
              <w:rPr>
                <w:sz w:val="17"/>
                <w:szCs w:val="17"/>
              </w:rPr>
              <w:t xml:space="preserve">$1,500–2,500/mo</w:t>
            </w:r>
          </w:p>
        </w:tc>
        <w:tc>
          <w:tcPr>
            <w:tcW w:type="dxa" w:w="2000"/>
          </w:tcPr>
          <w:p>
            <w:r>
              <w:rPr>
                <w:sz w:val="17"/>
                <w:szCs w:val="17"/>
              </w:rPr>
              <w:t xml:space="preserve">$26,000–45,000</w:t>
            </w:r>
          </w:p>
        </w:tc>
      </w:tr>
    </w:tbl>
    <w:p>
      <w:pPr>
        <w:spacing w:after="150"/>
      </w:pPr>
    </w:p>
    <w:p>
      <w:pPr>
        <w:spacing w:after="120"/>
      </w:pPr>
      <w:r>
        <w:rPr>
          <w:b/>
          <w:bCs/>
        </w:rPr>
        <w:t xml:space="preserve">For non-hospitality verticals </w:t>
      </w:r>
      <w:r>
        <w:t xml:space="preserve">(home services, and anything else without an established floor): treat as a generic small-business site.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400"/>
      </w:tblGrid>
      <w:tr>
        <w:trPr>
          <w:tblHeader/>
        </w:trPr>
        <w:tc>
          <w:tcPr>
            <w:tcW w:type="dxa" w:w="4400"/>
            <w:shd w:fill="2B2440" w:val="clear"/>
          </w:tcPr>
          <w:p>
            <w:r>
              <w:rPr>
                <w:b/>
                <w:bCs/>
                <w:color w:val="FFFFFF"/>
                <w:sz w:val="17"/>
                <w:szCs w:val="17"/>
              </w:rPr>
              <w:t xml:space="preserve">Category</w:t>
            </w:r>
          </w:p>
        </w:tc>
        <w:tc>
          <w:tcPr>
            <w:tcW w:type="dxa" w:w="2400"/>
            <w:shd w:fill="2B2440" w:val="clear"/>
          </w:tcPr>
          <w:p>
            <w:r>
              <w:rPr>
                <w:b/>
                <w:bCs/>
                <w:color w:val="FFFFFF"/>
                <w:sz w:val="17"/>
                <w:szCs w:val="17"/>
              </w:rPr>
              <w:t xml:space="preserve">Build Fee</w:t>
            </w:r>
          </w:p>
        </w:tc>
        <w:tc>
          <w:tcPr>
            <w:tcW w:type="dxa" w:w="2400"/>
            <w:shd w:fill="2B2440" w:val="clear"/>
          </w:tcPr>
          <w:p>
            <w:r>
              <w:rPr>
                <w:b/>
                <w:bCs/>
                <w:color w:val="FFFFFF"/>
                <w:sz w:val="17"/>
                <w:szCs w:val="17"/>
              </w:rPr>
              <w:t xml:space="preserve">Monthly Retainer</w:t>
            </w:r>
          </w:p>
        </w:tc>
      </w:tr>
      <w:tr>
        <w:tc>
          <w:tcPr>
            <w:tcW w:type="dxa" w:w="4400"/>
          </w:tcPr>
          <w:p>
            <w:r>
              <w:rPr>
                <w:sz w:val="17"/>
                <w:szCs w:val="17"/>
              </w:rPr>
              <w:t xml:space="preserve">Generic small business site (home services, and similar)</w:t>
            </w:r>
          </w:p>
        </w:tc>
        <w:tc>
          <w:tcPr>
            <w:tcW w:type="dxa" w:w="2400"/>
          </w:tcPr>
          <w:p>
            <w:r>
              <w:rPr>
                <w:sz w:val="17"/>
                <w:szCs w:val="17"/>
              </w:rPr>
              <w:t xml:space="preserve">$1,500–2,500</w:t>
            </w:r>
          </w:p>
        </w:tc>
        <w:tc>
          <w:tcPr>
            <w:tcW w:type="dxa" w:w="2400"/>
          </w:tcPr>
          <w:p>
            <w:r>
              <w:rPr>
                <w:sz w:val="17"/>
                <w:szCs w:val="17"/>
              </w:rPr>
              <w:t xml:space="preserve">$300–450/mo</w:t>
            </w:r>
          </w:p>
        </w:tc>
      </w:tr>
    </w:tbl>
    <w:p>
      <w:pPr>
        <w:spacing w:after="150"/>
      </w:pPr>
    </w:p>
    <w:p>
      <w:pPr>
        <w:spacing w:after="120"/>
      </w:pPr>
      <w:r>
        <w:rPr>
          <w:b/>
          <w:bCs/>
        </w:rPr>
        <w:t xml:space="preserve">Pricing floors — never go below these, any vertical: </w:t>
      </w:r>
      <w:r>
        <w:t xml:space="preserve">$1,500 build minimum for any standard small business site. If a prospect declines the retainer entirely, raise the flat build price ($3,500–4,000) rather than discounting.</w:t>
      </w:r>
    </w:p>
    <w:p>
      <w:pPr>
        <w:pBdr>
          <w:bottom w:val="single" w:color="999999" w:sz="6" w:space="1"/>
        </w:pBdr>
        <w:spacing w:after="200" w:before="200"/>
      </w:pPr>
    </w:p>
    <w:p>
      <w:pPr>
        <w:pStyle w:val="Heading1"/>
        <w:spacing w:after="150" w:before="300"/>
      </w:pPr>
      <w:r>
        <w:t xml:space="preserve">Combining Both — How to Quote Site + Receptionist Together</w:t>
      </w:r>
    </w:p>
    <w:p>
      <w:pPr>
        <w:spacing w:after="120"/>
      </w:pPr>
      <w:r>
        <w:t xml:space="preserve">When pitching both, you're running two separate lookups and stacking the result — always presented as distinct, named line items, never one blended number.</w:t>
      </w:r>
    </w:p>
    <w:p>
      <w:pPr>
        <w:pStyle w:val="ListParagraph"/>
        <w:numPr>
          <w:ilvl w:val="0"/>
          <w:numId w:val="2"/>
        </w:numPr>
        <w:spacing w:after="80"/>
      </w:pPr>
      <w:r>
        <w:t xml:space="preserve">Look up the site fee from the category table above.</w:t>
      </w:r>
    </w:p>
    <w:p>
      <w:pPr>
        <w:pStyle w:val="ListParagraph"/>
        <w:numPr>
          <w:ilvl w:val="0"/>
          <w:numId w:val="2"/>
        </w:numPr>
        <w:spacing w:after="80"/>
      </w:pPr>
      <w:r>
        <w:t xml:space="preserve">Look up the receptionist tier from the leakage/volume table above.</w:t>
      </w:r>
    </w:p>
    <w:p>
      <w:pPr>
        <w:pStyle w:val="ListParagraph"/>
        <w:numPr>
          <w:ilvl w:val="0"/>
          <w:numId w:val="2"/>
        </w:numPr>
        <w:spacing w:after="80"/>
      </w:pPr>
      <w:r>
        <w:t xml:space="preserve">If bundled, use the bundled monthly rate for the receptionist (no separate setup fee).</w:t>
      </w:r>
    </w:p>
    <w:p>
      <w:pPr>
        <w:pStyle w:val="ListParagraph"/>
        <w:numPr>
          <w:ilvl w:val="0"/>
          <w:numId w:val="2"/>
        </w:numPr>
        <w:spacing w:after="80"/>
      </w:pPr>
      <w:r>
        <w:t xml:space="preserve">Present all three numbers together: build fee, site retainer, receptionist line.</w:t>
      </w:r>
    </w:p>
    <w:p>
      <w:pPr>
        <w:spacing w:after="120"/>
      </w:pPr>
      <w:r>
        <w:rPr>
          <w:b/>
          <w:bCs/>
        </w:rPr>
        <w:t xml:space="preserve">Worked example — a simple restaurant, Tier 3 leakage:</w:t>
      </w:r>
    </w:p>
    <w:p>
      <w:pPr>
        <w:pBdr>
          <w:left w:val="single" w:color="2B2440" w:sz="18" w:space="8"/>
        </w:pBdr>
        <w:spacing w:after="150" w:before="80"/>
        <w:ind w:left="360"/>
      </w:pPr>
      <w:r>
        <w:rPr>
          <w:i/>
          <w:iCs/>
        </w:rPr>
        <w:t xml:space="preserve">Site build: $2,000 one-time</w:t>
      </w:r>
      <w:r>
        <w:br/>
        <w:t xml:space="preserve"/>
      </w:r>
      <w:r>
        <w:rPr>
          <w:i/>
          <w:iCs/>
        </w:rPr>
        <w:t xml:space="preserve">Site retainer: $400/month</w:t>
      </w:r>
      <w:r>
        <w:br/>
        <w:t xml:space="preserve"/>
      </w:r>
      <w:r>
        <w:rPr>
          <w:i/>
          <w:iCs/>
        </w:rPr>
        <w:t xml:space="preserve">AI Receptionist (Tier 3 — Priority): $400/month</w:t>
      </w:r>
      <w:r>
        <w:br/>
        <w:t xml:space="preserve"/>
      </w:r>
      <w:r>
        <w:rPr>
          <w:i/>
          <w:iCs/>
        </w:rPr>
        <w:t xml:space="preserve">Combined monthly: $800/month</w:t>
      </w:r>
    </w:p>
    <w:p>
      <w:pPr>
        <w:spacing w:after="120"/>
      </w:pPr>
      <w:r>
        <w:rPr>
          <w:b/>
          <w:bCs/>
        </w:rPr>
        <w:t xml:space="preserve">Worked example — a club, Tier 4 leakage, standalone receptionist (no site yet):</w:t>
      </w:r>
    </w:p>
    <w:p>
      <w:pPr>
        <w:pBdr>
          <w:left w:val="single" w:color="2B2440" w:sz="18" w:space="8"/>
        </w:pBdr>
        <w:spacing w:after="150" w:before="80"/>
        <w:ind w:left="360"/>
      </w:pPr>
      <w:r>
        <w:rPr>
          <w:i/>
          <w:iCs/>
        </w:rPr>
        <w:t xml:space="preserve">AI Receptionist setup: $400 one-time</w:t>
      </w:r>
      <w:r>
        <w:br/>
        <w:t xml:space="preserve"/>
      </w:r>
      <w:r>
        <w:rPr>
          <w:i/>
          <w:iCs/>
        </w:rPr>
        <w:t xml:space="preserve">AI Receptionist (Tier 4 — Elite, standalone): $900/month</w:t>
      </w:r>
    </w:p>
    <w:p>
      <w:pPr>
        <w:pBdr>
          <w:bottom w:val="single" w:color="999999" w:sz="6" w:space="1"/>
        </w:pBdr>
        <w:spacing w:after="200" w:before="200"/>
      </w:pPr>
    </w:p>
    <w:p>
      <w:pPr>
        <w:pStyle w:val="Heading1"/>
        <w:spacing w:after="150" w:before="300"/>
      </w:pPr>
      <w:r>
        <w:t xml:space="preserve">Founding Client Offer (First 3 Clients Only)</w:t>
      </w:r>
    </w:p>
    <w:p>
      <w:pPr>
        <w:spacing w:after="120"/>
      </w:pPr>
      <w:r>
        <w:t xml:space="preserve">A real, time-limited discount — not a permanent price change. Use to build your first case studies and portfolio while you don't yet have proof the standard site price is right. Track who's used this; once 3 clients have taken it, it's gone and full pricing applies to everyone after.</w:t>
      </w:r>
    </w:p>
    <w:p>
      <w:pPr>
        <w:spacing w:after="120"/>
      </w:pPr>
      <w:r>
        <w:rPr>
          <w:b/>
          <w:bCs/>
        </w:rPr>
        <w:t xml:space="preserve">If standalone receptionist, Tier 3 or 4: </w:t>
      </w:r>
      <w:r>
        <w:t xml:space="preserve">setup fee waived. Show the real number crossed out — "normally $600 / normally $800" — and say it's waived for the first few businesses you're working with. Never invent a crossed-out number that isn't real.</w:t>
      </w:r>
    </w:p>
    <w:p>
      <w:pPr>
        <w:spacing w:after="120"/>
      </w:pPr>
      <w:r>
        <w:rPr>
          <w:b/>
          <w:bCs/>
        </w:rPr>
        <w:t xml:space="preserve">If bundling site + receptionist together: </w:t>
      </w:r>
      <w:r>
        <w:t xml:space="preserve">site build discounted to a flat $500 (regardless of category — normally $1,500–6,000). Receptionist bundled monthly rate applies as normal per its tier (bundled receptionist never has a separate setup fee anyway, per the standalone-vs-bundled rule above).</w:t>
      </w:r>
    </w:p>
    <w:p>
      <w:pPr>
        <w:spacing w:after="120"/>
      </w:pPr>
      <w:r>
        <w:rPr>
          <w:b/>
          <w:bCs/>
        </w:rPr>
        <w:t xml:space="preserve">Do not combine this with cutting the monthly rate.</w:t>
      </w:r>
      <w:r>
        <w:t xml:space="preserve"> The founding discount lives entirely in the one-time fee — the ongoing monthly number stays exactly as priced in the tier table, no exceptions.</w:t>
      </w:r>
    </w:p>
    <w:p>
      <w:pPr>
        <w:pBdr>
          <w:bottom w:val="single" w:color="999999" w:sz="6" w:space="1"/>
        </w:pBdr>
        <w:spacing w:after="200" w:before="200"/>
      </w:pPr>
    </w:p>
    <w:p>
      <w:pPr>
        <w:pStyle w:val="Heading1"/>
        <w:spacing w:after="150" w:before="300"/>
      </w:pPr>
      <w:r>
        <w:t xml:space="preserve">How to Say It — Scripted Phrasing</w:t>
      </w:r>
    </w:p>
    <w:p>
      <w:pPr>
        <w:spacing w:after="120"/>
      </w:pPr>
      <w:r>
        <w:rPr>
          <w:b/>
          <w:bCs/>
        </w:rPr>
        <w:t xml:space="preserve">If asked "how much does this cost":</w:t>
      </w:r>
    </w:p>
    <w:p>
      <w:pPr>
        <w:pBdr>
          <w:left w:val="single" w:color="2B2440" w:sz="18" w:space="8"/>
        </w:pBdr>
        <w:spacing w:after="150" w:before="80"/>
        <w:ind w:left="360"/>
      </w:pPr>
      <w:r>
        <w:rPr>
          <w:i/>
          <w:iCs/>
        </w:rPr>
        <w:t xml:space="preserve">"There's a one-time setup fee around $[X] to build it out for your business specifically, and then it's a flat monthly rate after that — no separate software bill, no per-call charges, I handle all of it on my end."</w:t>
      </w:r>
    </w:p>
    <w:p>
      <w:pPr>
        <w:spacing w:after="120"/>
      </w:pPr>
      <w:r>
        <w:rPr>
          <w:b/>
          <w:bCs/>
        </w:rPr>
        <w:t xml:space="preserve">If asked about contract length:</w:t>
      </w:r>
    </w:p>
    <w:p>
      <w:pPr>
        <w:pBdr>
          <w:left w:val="single" w:color="2B2440" w:sz="18" w:space="8"/>
        </w:pBdr>
        <w:spacing w:after="150" w:before="80"/>
        <w:ind w:left="360"/>
      </w:pPr>
      <w:r>
        <w:rPr>
          <w:i/>
          <w:iCs/>
        </w:rPr>
        <w:t xml:space="preserve">"Month-to-month — no long-term lock-in."</w:t>
      </w:r>
    </w:p>
    <w:p>
      <w:pPr>
        <w:spacing w:after="120"/>
      </w:pPr>
      <w:r>
        <w:rPr>
          <w:b/>
          <w:bCs/>
        </w:rPr>
        <w:t xml:space="preserve">If asked "could I just do this myself":</w:t>
      </w:r>
    </w:p>
    <w:p>
      <w:pPr>
        <w:pBdr>
          <w:left w:val="single" w:color="2B2440" w:sz="18" w:space="8"/>
        </w:pBdr>
        <w:spacing w:after="150" w:before="80"/>
        <w:ind w:left="360"/>
      </w:pPr>
      <w:r>
        <w:rPr>
          <w:i/>
          <w:iCs/>
        </w:rPr>
        <w:t xml:space="preserve">"Technically there's a version of this you could set up yourself, but what you're actually paying for is not having to learn the system, write all the content, or notice and fix it if something's off — same as your website, I handle it so you don't have to think about it."</w:t>
      </w:r>
    </w:p>
    <w:p>
      <w:pPr>
        <w:spacing w:after="120"/>
      </w:pPr>
      <w:r>
        <w:rPr>
          <w:b/>
          <w:bCs/>
        </w:rPr>
        <w:t xml:space="preserve">If they push back on standalone receptionist pricing:</w:t>
      </w:r>
    </w:p>
    <w:p>
      <w:pPr>
        <w:pBdr>
          <w:left w:val="single" w:color="2B2440" w:sz="18" w:space="8"/>
        </w:pBdr>
        <w:spacing w:after="150" w:before="80"/>
        <w:ind w:left="360"/>
      </w:pPr>
      <w:r>
        <w:rPr>
          <w:i/>
          <w:iCs/>
        </w:rPr>
        <w:t xml:space="preserve">"It's actually a better deal if we bundle it with a site build — want me to put together what that'd look like together?"</w:t>
      </w:r>
    </w:p>
    <w:p>
      <w:pPr>
        <w:pBdr>
          <w:bottom w:val="single" w:color="999999" w:sz="6" w:space="1"/>
        </w:pBdr>
        <w:spacing w:after="200" w:before="200"/>
      </w:pPr>
    </w:p>
    <w:p>
      <w:pPr>
        <w:pStyle w:val="Heading1"/>
        <w:spacing w:after="150" w:before="300"/>
      </w:pPr>
      <w:r>
        <w:t xml:space="preserve">Payment Collection</w:t>
      </w:r>
    </w:p>
    <w:p>
      <w:pPr>
        <w:spacing w:after="120"/>
      </w:pPr>
      <w:r>
        <w:rPr>
          <w:b/>
          <w:bCs/>
        </w:rPr>
        <w:t xml:space="preserve">Stripe Payment Links</w:t>
      </w:r>
      <w:r>
        <w:t xml:space="preserve"> for all recurring billing. Set up as a recurring monthly charge; the one-time setup fee (standalone only) can be a separate link or bundled into the first month's invoice, whichever is simpler for you to track per client. First invoice fires on the go-live date — bill in advance for the period ahead, same as every renewal after it.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2026-08-04T17:44:33.651Z</dcterms:created>
  <dcterms:modified xsi:type="dcterms:W3CDTF">2026-08-04T17:44:33.685Z</dcterms:modified>
</cp:coreProperties>
</file>

<file path=docProps/custom.xml><?xml version="1.0" encoding="utf-8"?>
<Properties xmlns="http://schemas.openxmlformats.org/officeDocument/2006/custom-properties" xmlns:vt="http://schemas.openxmlformats.org/officeDocument/2006/docPropsVTypes"/>
</file>