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RECEPTIONIST PITCH — QUICK REFERENCE CHEAT SHEET</w:t>
      </w:r>
    </w:p>
    <w:p>
      <w:pPr>
        <w:spacing w:after="320"/>
      </w:pPr>
      <w:r>
        <w:rPr>
          <w:b w:val="0"/>
          <w:i/>
          <w:sz w:val="22"/>
        </w:rPr>
        <w:t>v2.0 — the single field reference. Full scripts and reasoning live in the Sales Playbook; this is what you glance at mid-pitch.</w:t>
      </w:r>
    </w:p>
    <w:p>
      <w:pPr>
        <w:pStyle w:val="Heading2"/>
      </w:pPr>
      <w:r>
        <w:t>Pre-Walk-In Checklist</w:t>
      </w:r>
    </w:p>
    <w:p>
      <w:pPr>
        <w:pStyle w:val="ListBullet"/>
        <w:spacing w:after="60"/>
      </w:pPr>
      <w:r>
        <w:rPr>
          <w:sz w:val="22"/>
        </w:rPr>
        <w:t>Phone charged, demo line ready to hand over</w:t>
      </w:r>
    </w:p>
    <w:p>
      <w:pPr>
        <w:pStyle w:val="ListBullet"/>
        <w:spacing w:after="60"/>
      </w:pPr>
      <w:r>
        <w:rPr>
          <w:sz w:val="22"/>
        </w:rPr>
        <w:t>Calculator bookmarked (sunforgedigital.com/calculator)</w:t>
      </w:r>
    </w:p>
    <w:p>
      <w:pPr>
        <w:pStyle w:val="ListBullet"/>
        <w:spacing w:after="60"/>
      </w:pPr>
      <w:r>
        <w:rPr>
          <w:sz w:val="22"/>
        </w:rPr>
        <w:t>Business cards with demo number on the back</w:t>
      </w:r>
    </w:p>
    <w:p>
      <w:pPr>
        <w:pStyle w:val="ListBullet"/>
        <w:spacing w:after="60"/>
      </w:pPr>
      <w:r>
        <w:rPr>
          <w:sz w:val="22"/>
        </w:rPr>
        <w:t>Know which channel you're using: walk-in, warm lead, or cold call (see below)</w:t>
      </w:r>
    </w:p>
    <w:p>
      <w:pPr>
        <w:pStyle w:val="Heading2"/>
      </w:pPr>
      <w:r>
        <w:t>The Sequence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Opener + immediate demo — branch on engagement</w:t>
            </w:r>
          </w:p>
        </w:tc>
        <w:tc>
          <w:tcPr>
            <w:tcW w:type="dxa" w:w="2880"/>
          </w:tcPr>
          <w:p>
            <w:r>
              <w:t>30 secs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Confirm bookability — match opener to business type</w:t>
            </w:r>
          </w:p>
        </w:tc>
        <w:tc>
          <w:tcPr>
            <w:tcW w:type="dxa" w:w="2880"/>
          </w:tcPr>
          <w:p>
            <w:r>
              <w:t>30 secs</w:t>
            </w:r>
          </w:p>
        </w:tc>
      </w:tr>
      <w:tr>
        <w:tc>
          <w:tcPr>
            <w:tcW w:type="dxa" w:w="2880"/>
          </w:tcPr>
          <w:p>
            <w:r>
              <w:t>3a</w:t>
            </w:r>
          </w:p>
        </w:tc>
        <w:tc>
          <w:tcPr>
            <w:tcW w:type="dxa" w:w="2880"/>
          </w:tcPr>
          <w:p>
            <w:r>
              <w:t>Calculator Sec. 1 — monthly volume, miss %, locations</w:t>
            </w:r>
          </w:p>
        </w:tc>
        <w:tc>
          <w:tcPr>
            <w:tcW w:type="dxa" w:w="2880"/>
          </w:tcPr>
          <w:p>
            <w:r>
              <w:t>45 secs</w:t>
            </w:r>
          </w:p>
        </w:tc>
      </w:tr>
      <w:tr>
        <w:tc>
          <w:tcPr>
            <w:tcW w:type="dxa" w:w="2880"/>
          </w:tcPr>
          <w:p>
            <w:r>
              <w:t>3b</w:t>
            </w:r>
          </w:p>
        </w:tc>
        <w:tc>
          <w:tcPr>
            <w:tcW w:type="dxa" w:w="2880"/>
          </w:tcPr>
          <w:p>
            <w:r>
              <w:t>Calculator Sec. 2 — value per job, capacity to absorb more</w:t>
            </w:r>
          </w:p>
        </w:tc>
        <w:tc>
          <w:tcPr>
            <w:tcW w:type="dxa" w:w="2880"/>
          </w:tcPr>
          <w:p>
            <w:r>
              <w:t>45 secs</w:t>
            </w:r>
          </w:p>
        </w:tc>
      </w:tr>
      <w:tr>
        <w:tc>
          <w:tcPr>
            <w:tcW w:type="dxa" w:w="2880"/>
          </w:tcPr>
          <w:p>
            <w:r>
              <w:t>3c</w:t>
            </w:r>
          </w:p>
        </w:tc>
        <w:tc>
          <w:tcPr>
            <w:tcW w:type="dxa" w:w="2880"/>
          </w:tcPr>
          <w:p>
            <w:r>
              <w:t>Calculator Sec. 3 — hours/week on routine calls</w:t>
            </w:r>
          </w:p>
        </w:tc>
        <w:tc>
          <w:tcPr>
            <w:tcW w:type="dxa" w:w="2880"/>
          </w:tcPr>
          <w:p>
            <w:r>
              <w:t>30 secs</w:t>
            </w:r>
          </w:p>
        </w:tc>
      </w:tr>
      <w:tr>
        <w:tc>
          <w:tcPr>
            <w:tcW w:type="dxa" w:w="2880"/>
          </w:tcPr>
          <w:p>
            <w:r>
              <w:t>3d</w:t>
            </w:r>
          </w:p>
        </w:tc>
        <w:tc>
          <w:tcPr>
            <w:tcW w:type="dxa" w:w="2880"/>
          </w:tcPr>
          <w:p>
            <w:r>
              <w:t>Let both numbers sit</w:t>
            </w:r>
          </w:p>
        </w:tc>
        <w:tc>
          <w:tcPr>
            <w:tcW w:type="dxa" w:w="2880"/>
          </w:tcPr>
          <w:p>
            <w:r>
              <w:t>30 secs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Decision point — strong signal vs. weak signal (see below)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Name price from the tier table — no range</w:t>
            </w:r>
          </w:p>
        </w:tc>
        <w:tc>
          <w:tcPr>
            <w:tcW w:type="dxa" w:w="2880"/>
          </w:tcPr>
          <w:p>
            <w:r>
              <w:t>1 min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Close or set a specific follow-up date</w:t>
            </w:r>
          </w:p>
        </w:tc>
        <w:tc>
          <w:tcPr>
            <w:tcW w:type="dxa" w:w="2880"/>
          </w:tcPr>
          <w:p>
            <w:r>
              <w:t>1 min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2"/>
        </w:rPr>
        <w:t>Demo comes first, always. Everything past Step 1 only happens if they're actually engaged — if not, skip to the Compressed Close.</w:t>
      </w:r>
    </w:p>
    <w:p>
      <w:pPr>
        <w:pStyle w:val="Heading2"/>
      </w:pPr>
      <w:r>
        <w:t>If Asked Why the Dollar Number Is a Range</w:t>
      </w:r>
    </w:p>
    <w:p>
      <w:pPr>
        <w:spacing w:after="120"/>
      </w:pPr>
      <w:r>
        <w:rPr>
          <w:b w:val="0"/>
          <w:i/>
          <w:sz w:val="22"/>
        </w:rPr>
        <w:t>"Low end assumes only 3 in 10 of those calls become paying customers — realistic, not everyone converts. High end is if you captured all of them. Either way, that's real money leaking every month."</w:t>
      </w:r>
    </w:p>
    <w:p>
      <w:pPr>
        <w:spacing w:after="120"/>
      </w:pPr>
      <w:r>
        <w:rPr>
          <w:b w:val="0"/>
          <w:i/>
          <w:sz w:val="22"/>
        </w:rPr>
        <w:t>Low end also works as your fallback close if the number feels too big to them: "Even at the low end, that's $[X]/month — this costs less than that."</w:t>
      </w:r>
    </w:p>
    <w:p>
      <w:pPr>
        <w:pStyle w:val="Heading2"/>
      </w:pPr>
      <w:r>
        <w:t>Compressed Close (Low Engagement, Any Point)</w:t>
      </w:r>
    </w:p>
    <w:p>
      <w:pPr>
        <w:spacing w:after="120"/>
      </w:pPr>
      <w:r>
        <w:rPr>
          <w:b w:val="0"/>
          <w:i/>
          <w:sz w:val="22"/>
        </w:rPr>
        <w:t>"Totally get it — here's my card, the demo number's on the back. No pressure, call it whenever."</w:t>
      </w:r>
    </w:p>
    <w:p>
      <w:pPr>
        <w:spacing w:after="120"/>
      </w:pPr>
      <w:r>
        <w:rPr>
          <w:b/>
          <w:i w:val="0"/>
          <w:sz w:val="22"/>
        </w:rPr>
        <w:t>A graceful exit preserves the relationship for next time. Pushing past disinterest burns it for good.</w:t>
      </w:r>
    </w:p>
    <w:p>
      <w:pPr>
        <w:pStyle w:val="Heading2"/>
      </w:pPr>
      <w:r>
        <w:t>Getting to the Decision Maker</w:t>
      </w:r>
    </w:p>
    <w:p>
      <w:pPr>
        <w:spacing w:after="120"/>
      </w:pPr>
      <w:r>
        <w:rPr>
          <w:b/>
          <w:i w:val="0"/>
          <w:sz w:val="22"/>
        </w:rPr>
        <w:t>Owner/manager not there:</w:t>
      </w:r>
    </w:p>
    <w:p>
      <w:pPr>
        <w:spacing w:after="120"/>
      </w:pPr>
      <w:r>
        <w:rPr>
          <w:b w:val="0"/>
          <w:i/>
          <w:sz w:val="22"/>
        </w:rPr>
        <w:t>"Is the owner or manager around, or do you know when they're usually in?" Get a name + best time, leave the card. Don't push further.</w:t>
      </w:r>
    </w:p>
    <w:p>
      <w:pPr>
        <w:spacing w:after="120"/>
      </w:pPr>
      <w:r>
        <w:rPr>
          <w:b/>
          <w:i w:val="0"/>
          <w:sz w:val="22"/>
        </w:rPr>
        <w:t>Decision maker is there but checking out fast:</w:t>
      </w:r>
    </w:p>
    <w:p>
      <w:pPr>
        <w:spacing w:after="120"/>
      </w:pPr>
      <w:r>
        <w:rPr>
          <w:b w:val="0"/>
          <w:i/>
          <w:sz w:val="22"/>
        </w:rPr>
        <w:t>Compress immediately — "20 seconds: does your phone ever go unanswered when you're slammed? Here, try calling this." If it lands, you're back in the sequence. If not, Compressed Close.</w:t>
      </w:r>
    </w:p>
    <w:p>
      <w:pPr>
        <w:pStyle w:val="Heading2"/>
      </w:pPr>
      <w:r>
        <w:t>Adapting by Channel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2A24"/>
          </w:tcPr>
          <w:p>
            <w:r/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4320"/>
            <w:shd w:val="clear" w:fill="2F2A24"/>
          </w:tcPr>
          <w:p>
            <w:r/>
            <w:r>
              <w:rPr>
                <w:b/>
                <w:color w:val="FFFFFF"/>
              </w:rPr>
              <w:t>What Changes</w:t>
            </w:r>
          </w:p>
        </w:tc>
      </w:tr>
      <w:tr>
        <w:tc>
          <w:tcPr>
            <w:tcW w:type="dxa" w:w="4320"/>
          </w:tcPr>
          <w:p>
            <w:r>
              <w:t>Cold walk-in</w:t>
            </w:r>
          </w:p>
        </w:tc>
        <w:tc>
          <w:tcPr>
            <w:tcW w:type="dxa" w:w="4320"/>
          </w:tcPr>
          <w:p>
            <w:r>
              <w:t>Default sequence, as written above</w:t>
            </w:r>
          </w:p>
        </w:tc>
      </w:tr>
      <w:tr>
        <w:tc>
          <w:tcPr>
            <w:tcW w:type="dxa" w:w="4320"/>
          </w:tcPr>
          <w:p>
            <w:r>
              <w:t>Warm lead / referral</w:t>
            </w:r>
          </w:p>
        </w:tc>
        <w:tc>
          <w:tcPr>
            <w:tcW w:type="dxa" w:w="4320"/>
          </w:tcPr>
          <w:p>
            <w:r>
              <w:t>Skip the 20-sec opener — go straight to "tell me how calls come in" then the demo ask</w:t>
            </w:r>
          </w:p>
        </w:tc>
      </w:tr>
      <w:tr>
        <w:tc>
          <w:tcPr>
            <w:tcW w:type="dxa" w:w="4320"/>
          </w:tcPr>
          <w:p>
            <w:r>
              <w:t>Cold call</w:t>
            </w:r>
          </w:p>
        </w:tc>
        <w:tc>
          <w:tcPr>
            <w:tcW w:type="dxa" w:w="4320"/>
          </w:tcPr>
          <w:p>
            <w:r>
              <w:t>Can't hand over a phone — text the demo number immediately, follow up same day</w:t>
            </w:r>
          </w:p>
        </w:tc>
      </w:tr>
    </w:tbl>
    <w:p>
      <w:pPr>
        <w:spacing w:after="80"/>
      </w:pPr>
    </w:p>
    <w:p>
      <w:pPr>
        <w:pStyle w:val="Heading2"/>
      </w:pPr>
      <w:r>
        <w:t>Decision Point — After the Calculator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2A24"/>
          </w:tcPr>
          <w:p>
            <w:r/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320"/>
            <w:shd w:val="clear" w:fill="2F2A24"/>
          </w:tcPr>
          <w:p>
            <w:r/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320"/>
          </w:tcPr>
          <w:p>
            <w:r>
              <w:t>Strong (real $ and/or time impact)</w:t>
            </w:r>
          </w:p>
        </w:tc>
        <w:tc>
          <w:tcPr>
            <w:tcW w:type="dxa" w:w="4320"/>
          </w:tcPr>
          <w:p>
            <w:r>
              <w:t>Stay receptionist-primary → name price. Site doesn't come up yet.</w:t>
            </w:r>
          </w:p>
        </w:tc>
      </w:tr>
      <w:tr>
        <w:tc>
          <w:tcPr>
            <w:tcW w:type="dxa" w:w="4320"/>
          </w:tcPr>
          <w:p>
            <w:r>
              <w:t>Weak + site is bad/outdated</w:t>
            </w:r>
          </w:p>
        </w:tc>
        <w:tc>
          <w:tcPr>
            <w:tcW w:type="dxa" w:w="4320"/>
          </w:tcPr>
          <w:p>
            <w:r>
              <w:t>Pivot: "Sounds like your phone side is covered — mind if I ask about your website instead?" → site discovery + demo</w:t>
            </w:r>
          </w:p>
        </w:tc>
      </w:tr>
      <w:tr>
        <w:tc>
          <w:tcPr>
            <w:tcW w:type="dxa" w:w="4320"/>
          </w:tcPr>
          <w:p>
            <w:r>
              <w:t>Weak + site is also fine</w:t>
            </w:r>
          </w:p>
        </w:tc>
        <w:tc>
          <w:tcPr>
            <w:tcW w:type="dxa" w:w="4320"/>
          </w:tcPr>
          <w:p>
            <w:r>
              <w:t>Not a fit for either right now. Polite exit, leave the card.</w:t>
            </w:r>
          </w:p>
        </w:tc>
      </w:tr>
    </w:tbl>
    <w:p>
      <w:pPr>
        <w:spacing w:after="80"/>
      </w:pPr>
    </w:p>
    <w:p>
      <w:pPr>
        <w:pStyle w:val="Heading2"/>
      </w:pPr>
      <w:r>
        <w:t>Mentioning the Website Bundle</w:t>
      </w:r>
    </w:p>
    <w:p>
      <w:pPr>
        <w:spacing w:after="120"/>
      </w:pPr>
      <w:r>
        <w:rPr>
          <w:b/>
          <w:i w:val="0"/>
          <w:sz w:val="22"/>
        </w:rPr>
        <w:t>Only after receptionist interest is established, only after the close, only one sentence:</w:t>
      </w:r>
    </w:p>
    <w:p>
      <w:pPr>
        <w:spacing w:after="120"/>
      </w:pPr>
      <w:r>
        <w:rPr>
          <w:b w:val="0"/>
          <w:i/>
          <w:sz w:val="22"/>
        </w:rPr>
        <w:t>"One more thing — I also build websites. If you ever want yours redone, I can bundle it into the same monthly retainer."</w:t>
      </w:r>
    </w:p>
    <w:p>
      <w:pPr>
        <w:spacing w:after="120"/>
      </w:pPr>
      <w:r>
        <w:rPr>
          <w:b w:val="0"/>
          <w:i/>
          <w:sz w:val="22"/>
        </w:rPr>
        <w:t>That's it. Don't turn the close into a second pitch.</w:t>
      </w:r>
    </w:p>
    <w:p>
      <w:pPr>
        <w:pStyle w:val="Heading2"/>
      </w:pPr>
      <w:r>
        <w:t>Objections — Quick Responses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2A24"/>
          </w:tcPr>
          <w:p>
            <w:r/>
            <w:r>
              <w:rPr>
                <w:b/>
                <w:color w:val="FFFFFF"/>
              </w:rPr>
              <w:t>Objection</w:t>
            </w:r>
          </w:p>
        </w:tc>
        <w:tc>
          <w:tcPr>
            <w:tcW w:type="dxa" w:w="4320"/>
            <w:shd w:val="clear" w:fill="2F2A24"/>
          </w:tcPr>
          <w:p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We have voicemail</w:t>
            </w:r>
          </w:p>
        </w:tc>
        <w:tc>
          <w:tcPr>
            <w:tcW w:type="dxa" w:w="4320"/>
          </w:tcPr>
          <w:p>
            <w:r>
              <w:t>Voicemail is a black hole — people hang up without leaving a message. A real voice keeps them on the line.</w:t>
            </w:r>
          </w:p>
        </w:tc>
      </w:tr>
      <w:tr>
        <w:tc>
          <w:tcPr>
            <w:tcW w:type="dxa" w:w="4320"/>
          </w:tcPr>
          <w:p>
            <w:r>
              <w:t>Sounds expensive</w:t>
            </w:r>
          </w:p>
        </w:tc>
        <w:tc>
          <w:tcPr>
            <w:tcW w:type="dxa" w:w="4320"/>
          </w:tcPr>
          <w:p>
            <w:r>
              <w:t>You just calculated you're losing $[Z]/month. This costs less than that — it's closing a leak, not new spending.</w:t>
            </w:r>
          </w:p>
        </w:tc>
      </w:tr>
      <w:tr>
        <w:tc>
          <w:tcPr>
            <w:tcW w:type="dxa" w:w="4320"/>
          </w:tcPr>
          <w:p>
            <w:r>
              <w:t>How do I know it works?</w:t>
            </w:r>
          </w:p>
        </w:tc>
        <w:tc>
          <w:tcPr>
            <w:tcW w:type="dxa" w:w="4320"/>
          </w:tcPr>
          <w:p>
            <w:r>
              <w:t>You just tested it. Doesn't replace your team — it's a safety net for busy hours.</w:t>
            </w:r>
          </w:p>
        </w:tc>
      </w:tr>
      <w:tr>
        <w:tc>
          <w:tcPr>
            <w:tcW w:type="dxa" w:w="4320"/>
          </w:tcPr>
          <w:p>
            <w:r>
              <w:t>Can I manage it myself?</w:t>
            </w:r>
          </w:p>
        </w:tc>
        <w:tc>
          <w:tcPr>
            <w:tcW w:type="dxa" w:w="4320"/>
          </w:tcPr>
          <w:p>
            <w:r>
              <w:t>You could, but you don't have to. I keep it running, you get a monthly report.</w:t>
            </w:r>
          </w:p>
        </w:tc>
      </w:tr>
      <w:tr>
        <w:tc>
          <w:tcPr>
            <w:tcW w:type="dxa" w:w="4320"/>
          </w:tcPr>
          <w:p>
            <w:r>
              <w:t>Let me think about it</w:t>
            </w:r>
          </w:p>
        </w:tc>
        <w:tc>
          <w:tcPr>
            <w:tcW w:type="dxa" w:w="4320"/>
          </w:tcPr>
          <w:p>
            <w:r>
              <w:t>Of course. Demo's at [URL]. I'll follow up [specific day].</w:t>
            </w:r>
          </w:p>
        </w:tc>
      </w:tr>
      <w:tr>
        <w:tc>
          <w:tcPr>
            <w:tcW w:type="dxa" w:w="4320"/>
          </w:tcPr>
          <w:p>
            <w:r>
              <w:t>Not looking to invest right now</w:t>
            </w:r>
          </w:p>
        </w:tc>
        <w:tc>
          <w:tcPr>
            <w:tcW w:type="dxa" w:w="4320"/>
          </w:tcPr>
          <w:p>
            <w:r>
              <w:t>Fair — I'm not asking you to buy today, just 2 minutes to see if you're already losing money. If it's small, we're done, no hard feelings.</w:t>
            </w:r>
          </w:p>
        </w:tc>
      </w:tr>
      <w:tr>
        <w:tc>
          <w:tcPr>
            <w:tcW w:type="dxa" w:w="4320"/>
          </w:tcPr>
          <w:p>
            <w:r>
              <w:t>Tried SEO before, didn't work</w:t>
            </w:r>
          </w:p>
        </w:tc>
        <w:tc>
          <w:tcPr>
            <w:tcW w:type="dxa" w:w="4320"/>
          </w:tcPr>
          <w:p>
            <w:r>
              <w:t>This isn't traffic — it's making sure calls you already get don't disappear. Test it in 30 seconds, no waiting to see if it worked.</w:t>
            </w:r>
          </w:p>
        </w:tc>
      </w:tr>
      <w:tr>
        <w:tc>
          <w:tcPr>
            <w:tcW w:type="dxa" w:w="4320"/>
          </w:tcPr>
          <w:p>
            <w:r>
              <w:t>Don't have the cash right now</w:t>
            </w:r>
          </w:p>
        </w:tc>
        <w:tc>
          <w:tcPr>
            <w:tcW w:type="dxa" w:w="4320"/>
          </w:tcPr>
          <w:p>
            <w:r>
              <w:t>This isn't an added expense — you're already losing $[X]/month. This costs less than that. It's month-to-month, no contract.</w:t>
            </w:r>
          </w:p>
        </w:tc>
      </w:tr>
    </w:tbl>
    <w:p>
      <w:pPr>
        <w:spacing w:after="80"/>
      </w:pPr>
    </w:p>
    <w:p>
      <w:pPr>
        <w:pStyle w:val="Heading2"/>
      </w:pPr>
      <w:r>
        <w:t>Pricing — 4-Tier System</w:t>
      </w:r>
    </w:p>
    <w:p>
      <w:pPr>
        <w:spacing w:after="120"/>
      </w:pPr>
      <w:r>
        <w:rPr>
          <w:b w:val="0"/>
          <w:i w:val="0"/>
          <w:sz w:val="22"/>
        </w:rPr>
        <w:t>Tier comes from the calculator's own output (leakage + volume) — never a custom on-the-spot number.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2A24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val="clear" w:fill="2F2A24"/>
          </w:tcPr>
          <w:p>
            <w:r/>
            <w:r>
              <w:rPr>
                <w:b/>
                <w:color w:val="FFFFFF"/>
              </w:rPr>
              <w:t>Tier 1</w:t>
            </w:r>
          </w:p>
        </w:tc>
        <w:tc>
          <w:tcPr>
            <w:tcW w:type="dxa" w:w="1728"/>
            <w:shd w:val="clear" w:fill="2F2A24"/>
          </w:tcPr>
          <w:p>
            <w:r/>
            <w:r>
              <w:rPr>
                <w:b/>
                <w:color w:val="FFFFFF"/>
              </w:rPr>
              <w:t>Tier 2</w:t>
            </w:r>
          </w:p>
        </w:tc>
        <w:tc>
          <w:tcPr>
            <w:tcW w:type="dxa" w:w="1728"/>
            <w:shd w:val="clear" w:fill="2F2A24"/>
          </w:tcPr>
          <w:p>
            <w:r/>
            <w:r>
              <w:rPr>
                <w:b/>
                <w:color w:val="FFFFFF"/>
              </w:rPr>
              <w:t>Tier 3</w:t>
            </w:r>
          </w:p>
        </w:tc>
        <w:tc>
          <w:tcPr>
            <w:tcW w:type="dxa" w:w="1728"/>
            <w:shd w:val="clear" w:fill="2F2A24"/>
          </w:tcPr>
          <w:p>
            <w:r/>
            <w:r>
              <w:rPr>
                <w:b/>
                <w:color w:val="FFFFFF"/>
              </w:rPr>
              <w:t>Tier 4</w:t>
            </w:r>
          </w:p>
        </w:tc>
      </w:tr>
      <w:tr>
        <w:tc>
          <w:tcPr>
            <w:tcW w:type="dxa" w:w="1728"/>
          </w:tcPr>
          <w:p>
            <w:r>
              <w:t>Leakage</w:t>
            </w:r>
          </w:p>
        </w:tc>
        <w:tc>
          <w:tcPr>
            <w:tcW w:type="dxa" w:w="1728"/>
          </w:tcPr>
          <w:p>
            <w:r>
              <w:t>&lt;$750/mo</w:t>
            </w:r>
          </w:p>
        </w:tc>
        <w:tc>
          <w:tcPr>
            <w:tcW w:type="dxa" w:w="1728"/>
          </w:tcPr>
          <w:p>
            <w:r>
              <w:t>$750–2,000</w:t>
            </w:r>
          </w:p>
        </w:tc>
        <w:tc>
          <w:tcPr>
            <w:tcW w:type="dxa" w:w="1728"/>
          </w:tcPr>
          <w:p>
            <w:r>
              <w:t>$2,000–5,000</w:t>
            </w:r>
          </w:p>
        </w:tc>
        <w:tc>
          <w:tcPr>
            <w:tcW w:type="dxa" w:w="1728"/>
          </w:tcPr>
          <w:p>
            <w:r>
              <w:t>$5,000+</w:t>
            </w:r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&lt;20 missed/mo</w:t>
            </w:r>
          </w:p>
        </w:tc>
        <w:tc>
          <w:tcPr>
            <w:tcW w:type="dxa" w:w="1728"/>
          </w:tcPr>
          <w:p>
            <w:r>
              <w:t>20–65</w:t>
            </w:r>
          </w:p>
        </w:tc>
        <w:tc>
          <w:tcPr>
            <w:tcW w:type="dxa" w:w="1728"/>
          </w:tcPr>
          <w:p>
            <w:r>
              <w:t>65–150</w:t>
            </w:r>
          </w:p>
        </w:tc>
        <w:tc>
          <w:tcPr>
            <w:tcW w:type="dxa" w:w="1728"/>
          </w:tcPr>
          <w:p>
            <w:r>
              <w:t>150+</w:t>
            </w:r>
          </w:p>
        </w:tc>
      </w:tr>
      <w:tr>
        <w:tc>
          <w:tcPr>
            <w:tcW w:type="dxa" w:w="1728"/>
          </w:tcPr>
          <w:p>
            <w:r>
              <w:t>Setup (standalone)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</w:tr>
      <w:tr>
        <w:tc>
          <w:tcPr>
            <w:tcW w:type="dxa" w:w="1728"/>
          </w:tcPr>
          <w:p>
            <w:r>
              <w:t>Monthly — standalone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$900</w:t>
            </w:r>
          </w:p>
        </w:tc>
      </w:tr>
      <w:tr>
        <w:tc>
          <w:tcPr>
            <w:tcW w:type="dxa" w:w="1728"/>
          </w:tcPr>
          <w:p>
            <w:r>
              <w:t>Monthly — bundled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2"/>
        </w:rPr>
        <w:t>Standalone = $400 setup applies. Bundled (with a site) = no separate setup fee. If in doubt, default to the higher tier.</w:t>
      </w:r>
    </w:p>
    <w:p>
      <w:pPr>
        <w:pStyle w:val="Heading3"/>
      </w:pPr>
      <w:r>
        <w:t>Website Pricing — By Category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Build Fee</w:t>
            </w:r>
          </w:p>
        </w:tc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Monthly</w:t>
            </w:r>
          </w:p>
        </w:tc>
      </w:tr>
      <w:tr>
        <w:tc>
          <w:tcPr>
            <w:tcW w:type="dxa" w:w="2880"/>
          </w:tcPr>
          <w:p>
            <w:r>
              <w:t>Clubs</w:t>
            </w:r>
          </w:p>
        </w:tc>
        <w:tc>
          <w:tcPr>
            <w:tcW w:type="dxa" w:w="2880"/>
          </w:tcPr>
          <w:p>
            <w:r>
              <w:t>$3,000–6,000</w:t>
            </w:r>
          </w:p>
        </w:tc>
        <w:tc>
          <w:tcPr>
            <w:tcW w:type="dxa" w:w="2880"/>
          </w:tcPr>
          <w:p>
            <w:r>
              <w:t>$800–1,200/mo</w:t>
            </w:r>
          </w:p>
        </w:tc>
      </w:tr>
      <w:tr>
        <w:tc>
          <w:tcPr>
            <w:tcW w:type="dxa" w:w="2880"/>
          </w:tcPr>
          <w:p>
            <w:r>
              <w:t>Restaurants — simple</w:t>
            </w:r>
          </w:p>
        </w:tc>
        <w:tc>
          <w:tcPr>
            <w:tcW w:type="dxa" w:w="2880"/>
          </w:tcPr>
          <w:p>
            <w:r>
              <w:t>$1,500–2,500</w:t>
            </w:r>
          </w:p>
        </w:tc>
        <w:tc>
          <w:tcPr>
            <w:tcW w:type="dxa" w:w="2880"/>
          </w:tcPr>
          <w:p>
            <w:r>
              <w:t>$400–600/mo</w:t>
            </w:r>
          </w:p>
        </w:tc>
      </w:tr>
      <w:tr>
        <w:tc>
          <w:tcPr>
            <w:tcW w:type="dxa" w:w="2880"/>
          </w:tcPr>
          <w:p>
            <w:r>
              <w:t>Restaurants — ambitious</w:t>
            </w:r>
          </w:p>
        </w:tc>
        <w:tc>
          <w:tcPr>
            <w:tcW w:type="dxa" w:w="2880"/>
          </w:tcPr>
          <w:p>
            <w:r>
              <w:t>$2,500–4,000</w:t>
            </w:r>
          </w:p>
        </w:tc>
        <w:tc>
          <w:tcPr>
            <w:tcW w:type="dxa" w:w="2880"/>
          </w:tcPr>
          <w:p>
            <w:r>
              <w:t>$600–800/mo</w:t>
            </w:r>
          </w:p>
        </w:tc>
      </w:tr>
      <w:tr>
        <w:tc>
          <w:tcPr>
            <w:tcW w:type="dxa" w:w="2880"/>
          </w:tcPr>
          <w:p>
            <w:r>
              <w:t>Bars</w:t>
            </w:r>
          </w:p>
        </w:tc>
        <w:tc>
          <w:tcPr>
            <w:tcW w:type="dxa" w:w="2880"/>
          </w:tcPr>
          <w:p>
            <w:r>
              <w:t>$2,000–4,000</w:t>
            </w:r>
          </w:p>
        </w:tc>
        <w:tc>
          <w:tcPr>
            <w:tcW w:type="dxa" w:w="2880"/>
          </w:tcPr>
          <w:p>
            <w:r>
              <w:t>$500–800/mo</w:t>
            </w:r>
          </w:p>
        </w:tc>
      </w:tr>
      <w:tr>
        <w:tc>
          <w:tcPr>
            <w:tcW w:type="dxa" w:w="2880"/>
          </w:tcPr>
          <w:p>
            <w:r>
              <w:t>Generic small business</w:t>
            </w:r>
          </w:p>
        </w:tc>
        <w:tc>
          <w:tcPr>
            <w:tcW w:type="dxa" w:w="2880"/>
          </w:tcPr>
          <w:p>
            <w:r>
              <w:t>$1,500–2,500</w:t>
            </w:r>
          </w:p>
        </w:tc>
        <w:tc>
          <w:tcPr>
            <w:tcW w:type="dxa" w:w="2880"/>
          </w:tcPr>
          <w:p>
            <w:r>
              <w:t>$300–450/mo</w:t>
            </w:r>
          </w:p>
        </w:tc>
      </w:tr>
      <w:tr>
        <w:tc>
          <w:tcPr>
            <w:tcW w:type="dxa" w:w="2880"/>
          </w:tcPr>
          <w:p>
            <w:r>
              <w:t>Multi-concept bundle</w:t>
            </w:r>
          </w:p>
        </w:tc>
        <w:tc>
          <w:tcPr>
            <w:tcW w:type="dxa" w:w="2880"/>
          </w:tcPr>
          <w:p>
            <w:r>
              <w:t>$8,000–15,000</w:t>
            </w:r>
          </w:p>
        </w:tc>
        <w:tc>
          <w:tcPr>
            <w:tcW w:type="dxa" w:w="2880"/>
          </w:tcPr>
          <w:p>
            <w:r>
              <w:t>$1,500–2,500/mo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2"/>
        </w:rPr>
        <w:t>Founding client offer (first 3 only): bundled site build → $500 flat, any category. Standalone receptionist setup waived for higher tiers. Monthly rate never discounted.</w:t>
      </w:r>
    </w:p>
    <w:p>
      <w:pPr>
        <w:pStyle w:val="Heading2"/>
      </w:pPr>
      <w:r>
        <w:t>Category-Specific Framing</w:t>
      </w:r>
    </w:p>
    <w:p>
      <w:pPr>
        <w:spacing w:after="120"/>
      </w:pPr>
      <w:r>
        <w:rPr>
          <w:b w:val="0"/>
          <w:i w:val="0"/>
          <w:sz w:val="22"/>
        </w:rPr>
        <w:t>Same sequence every time — only the words for "the booking" change.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"The booking"</w:t>
            </w:r>
          </w:p>
        </w:tc>
        <w:tc>
          <w:tcPr>
            <w:tcW w:type="dxa" w:w="2880"/>
            <w:shd w:val="clear" w:fill="2F2A24"/>
          </w:tcPr>
          <w:p>
            <w:r/>
            <w:r>
              <w:rPr>
                <w:b/>
                <w:color w:val="FFFFFF"/>
              </w:rPr>
              <w:t>Ticket size</w:t>
            </w:r>
          </w:p>
        </w:tc>
      </w:tr>
      <w:tr>
        <w:tc>
          <w:tcPr>
            <w:tcW w:type="dxa" w:w="2880"/>
          </w:tcPr>
          <w:p>
            <w:r>
              <w:t>Restaurants / bars</w:t>
            </w:r>
          </w:p>
        </w:tc>
        <w:tc>
          <w:tcPr>
            <w:tcW w:type="dxa" w:w="2880"/>
          </w:tcPr>
          <w:p>
            <w:r>
              <w:t>Reservation, event, catering</w:t>
            </w:r>
          </w:p>
        </w:tc>
        <w:tc>
          <w:tcPr>
            <w:tcW w:type="dxa" w:w="2880"/>
          </w:tcPr>
          <w:p>
            <w:r>
              <w:t>$40–150/table, $500–5,000/event</w:t>
            </w:r>
          </w:p>
        </w:tc>
      </w:tr>
      <w:tr>
        <w:tc>
          <w:tcPr>
            <w:tcW w:type="dxa" w:w="2880"/>
          </w:tcPr>
          <w:p>
            <w:r>
              <w:t>Home services</w:t>
            </w:r>
          </w:p>
        </w:tc>
        <w:tc>
          <w:tcPr>
            <w:tcW w:type="dxa" w:w="2880"/>
          </w:tcPr>
          <w:p>
            <w:r>
              <w:t>Service call, estimate, repair</w:t>
            </w:r>
          </w:p>
        </w:tc>
        <w:tc>
          <w:tcPr>
            <w:tcW w:type="dxa" w:w="2880"/>
          </w:tcPr>
          <w:p>
            <w:r>
              <w:t>$150–800/job</w:t>
            </w:r>
          </w:p>
        </w:tc>
      </w:tr>
      <w:tr>
        <w:tc>
          <w:tcPr>
            <w:tcW w:type="dxa" w:w="2880"/>
          </w:tcPr>
          <w:p>
            <w:r>
              <w:t>Personal services</w:t>
            </w:r>
          </w:p>
        </w:tc>
        <w:tc>
          <w:tcPr>
            <w:tcW w:type="dxa" w:w="2880"/>
          </w:tcPr>
          <w:p>
            <w:r>
              <w:t>Appointment, class booking</w:t>
            </w:r>
          </w:p>
        </w:tc>
        <w:tc>
          <w:tcPr>
            <w:tcW w:type="dxa" w:w="2880"/>
          </w:tcPr>
          <w:p>
            <w:r>
              <w:t>$50–250/visit</w:t>
            </w:r>
          </w:p>
        </w:tc>
      </w:tr>
      <w:tr>
        <w:tc>
          <w:tcPr>
            <w:tcW w:type="dxa" w:w="2880"/>
          </w:tcPr>
          <w:p>
            <w:r>
              <w:t>Retail / specialty</w:t>
            </w:r>
          </w:p>
        </w:tc>
        <w:tc>
          <w:tcPr>
            <w:tcW w:type="dxa" w:w="2880"/>
          </w:tcPr>
          <w:p>
            <w:r>
              <w:t>Custom order, consultation</w:t>
            </w:r>
          </w:p>
        </w:tc>
        <w:tc>
          <w:tcPr>
            <w:tcW w:type="dxa" w:w="2880"/>
          </w:tcPr>
          <w:p>
            <w:r>
              <w:t>Use their real number</w:t>
            </w:r>
          </w:p>
        </w:tc>
      </w:tr>
    </w:tbl>
    <w:p>
      <w:pPr>
        <w:spacing w:after="80"/>
      </w:pPr>
    </w:p>
    <w:p>
      <w:pPr>
        <w:pStyle w:val="Heading2"/>
      </w:pPr>
      <w:r>
        <w:t>Before You Leave</w:t>
      </w:r>
    </w:p>
    <w:p>
      <w:pPr>
        <w:pStyle w:val="ListBullet"/>
        <w:spacing w:after="60"/>
      </w:pPr>
      <w:r>
        <w:rPr>
          <w:sz w:val="22"/>
        </w:rPr>
        <w:t>They know the price and timeline</w:t>
      </w:r>
    </w:p>
    <w:p>
      <w:pPr>
        <w:pStyle w:val="ListBullet"/>
        <w:spacing w:after="60"/>
      </w:pPr>
      <w:r>
        <w:rPr>
          <w:sz w:val="22"/>
        </w:rPr>
        <w:t>They have a specific next-step date, not "I'll call you"</w:t>
      </w:r>
    </w:p>
    <w:p>
      <w:pPr>
        <w:pStyle w:val="ListBullet"/>
        <w:spacing w:after="60"/>
      </w:pPr>
      <w:r>
        <w:rPr>
          <w:sz w:val="22"/>
        </w:rPr>
        <w:t>They have the demo URL or number</w:t>
      </w:r>
    </w:p>
    <w:p>
      <w:pPr>
        <w:pStyle w:val="ListBullet"/>
        <w:spacing w:after="60"/>
      </w:pPr>
      <w:r>
        <w:rPr>
          <w:sz w:val="22"/>
        </w:rPr>
        <w:t>You have their number to follow up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2"/>
        </w:rPr>
        <w:t>Demo first. Calculator second. Price with confidence. Never push past disengagement.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