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Inter" w:hAnsi="Inter"/>
        </w:rPr>
        <w:drawing>
          <wp:inline xmlns:a="http://schemas.openxmlformats.org/drawingml/2006/main" xmlns:pic="http://schemas.openxmlformats.org/drawingml/2006/picture">
            <wp:extent cx="7560000" cy="10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styleguide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Title"/>
        <w:spacing w:after="120"/>
      </w:pPr>
      <w:r>
        <w:rPr>
          <w:rFonts w:ascii="Inter" w:hAnsi="Inter"/>
          <w:b w:val="0"/>
        </w:rPr>
        <w:t>ARC Brand &amp; UI Style Guide</w:t>
      </w:r>
    </w:p>
    <w:p>
      <w:pPr>
        <w:spacing w:after="320"/>
      </w:pPr>
      <w:r>
        <w:rPr>
          <w:rFonts w:ascii="Inter" w:hAnsi="Inter"/>
          <w:b w:val="0"/>
          <w:color w:val="526675"/>
          <w:sz w:val="24"/>
        </w:rPr>
        <w:t>Робочий стандарт візуальної мови ARC для сайту, Stand, документації, презентацій та продуктового інтерфейсу.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 w:val="true"/>
        </w:trPr>
        <w:tc>
          <w:tcPr>
            <w:tcW w:type="dxa" w:w="9922"/>
            <w:shd w:fill="F3F8FB"/>
            <w:tcBorders>
              <w:top w:val="single" w:sz="12" w:color="0995F1"/>
              <w:left w:val="single" w:sz="18" w:color="0995F1"/>
              <w:bottom w:val="single" w:sz="4" w:color="DDE7ED"/>
              <w:right w:val="single" w:sz="4" w:color="DDE7ED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A0F14"/>
              </w:rPr>
              <w:t xml:space="preserve">Як правильно називати документ.  </w:t>
            </w:r>
            <w:r>
              <w:rPr>
                <w:rFonts w:ascii="Inter" w:hAnsi="Inter"/>
                <w:color w:val="415463"/>
              </w:rPr>
              <w:t>Для ARC найточніша назва — “Brand &amp; UI Style Guide”. “Brand Guidelines” — ширше про бренд, “Visual Identity Guidelines” — переважно про логотип і графіку, а “Design System” — уже про реалізовані UI-компоненти, токени та код. Цей документ є базою; з нього пізніше можна виростити окремий ARC Design System.</w:t>
            </w:r>
          </w:p>
        </w:tc>
      </w:tr>
    </w:tbl>
    <w:p>
      <w:pPr>
        <w:spacing w:after="20"/>
      </w:pPr>
    </w:p>
    <w:p>
      <w:pPr>
        <w:pStyle w:val="Heading2"/>
        <w:spacing w:after="120"/>
      </w:pPr>
      <w:r>
        <w:rPr>
          <w:rFonts w:ascii="Inter" w:hAnsi="Inter"/>
          <w:b w:val="0"/>
        </w:rPr>
        <w:t>Що є незмінним ядром стилю</w:t>
      </w:r>
    </w:p>
    <w:p>
      <w:pPr>
        <w:pStyle w:val="ARCBullet"/>
      </w:pPr>
      <w:r>
        <w:rPr>
          <w:rFonts w:ascii="Inter" w:hAnsi="Inter"/>
        </w:rPr>
        <w:t>• Graph-first: архітектура і зв’язки мають бути видимими, а не захованими за декоративним UI.</w:t>
      </w:r>
    </w:p>
    <w:p>
      <w:pPr>
        <w:pStyle w:val="ARCBullet"/>
      </w:pPr>
      <w:r>
        <w:rPr>
          <w:rFonts w:ascii="Inter" w:hAnsi="Inter"/>
        </w:rPr>
        <w:t>• Technical clarity: менше візуального шуму, більше структури, ієрархії та вимірюваних станів.</w:t>
      </w:r>
    </w:p>
    <w:p>
      <w:pPr>
        <w:pStyle w:val="ARCBullet"/>
      </w:pPr>
      <w:r>
        <w:rPr>
          <w:rFonts w:ascii="Inter" w:hAnsi="Inter"/>
        </w:rPr>
        <w:t>• Observable by default: runtime, latency, throughput, queue depth і errors — природна частина візуальної мови.</w:t>
      </w:r>
    </w:p>
    <w:p>
      <w:pPr>
        <w:pStyle w:val="ARCBullet"/>
      </w:pPr>
      <w:r>
        <w:rPr>
          <w:rFonts w:ascii="Inter" w:hAnsi="Inter"/>
        </w:rPr>
        <w:t>• Calmly futuristic: сучасно і технологічно, але без “кіберпанкового” перевантаження неоном.</w:t>
      </w:r>
    </w:p>
    <w:p>
      <w:pPr>
        <w:pStyle w:val="ARCBullet"/>
      </w:pPr>
      <w:r>
        <w:rPr>
          <w:rFonts w:ascii="Inter" w:hAnsi="Inter"/>
        </w:rPr>
        <w:t>• Dark-first product UI: темне полотно допомагає графам і telemetry бути головним візуальним об’єктом.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Рекомендовані ключові слова</w:t>
      </w:r>
    </w:p>
    <w:p>
      <w:pPr>
        <w:spacing w:after="240"/>
      </w:pPr>
      <w:r>
        <w:rPr>
          <w:rFonts w:ascii="Inter" w:hAnsi="Inter"/>
          <w:b w:val="0"/>
          <w:color w:val="0995F1"/>
          <w:sz w:val="22"/>
        </w:rPr>
        <w:t>precise  •  architectural  •  observable  •  graph-native  •  restrained  •  technical  •  calm  •  futuristic</w:t>
      </w:r>
    </w:p>
    <w:p>
      <w:pPr>
        <w:pStyle w:val="Heading1"/>
        <w:spacing w:after="120"/>
      </w:pPr>
      <w:r>
        <w:rPr>
          <w:rFonts w:ascii="Inter" w:hAnsi="Inter"/>
          <w:b w:val="0"/>
        </w:rPr>
        <w:t>1. Brand idea</w:t>
      </w:r>
    </w:p>
    <w:p>
      <w:pPr>
        <w:spacing w:after="200"/>
      </w:pPr>
      <w:r>
        <w:rPr>
          <w:rFonts w:ascii="Inter" w:hAnsi="Inter"/>
          <w:b w:val="0"/>
        </w:rPr>
        <w:t>ARC — це не “ще один HTTP router”. Візуальна айдентика має підкреслювати центральну ідею продукту: executable architecture graph як спільну основу для compiler, runtime та Stand.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 w:val="true"/>
        </w:trPr>
        <w:tc>
          <w:tcPr>
            <w:tcW w:type="dxa" w:w="9922"/>
            <w:shd w:fill="F3F8FB"/>
            <w:tcBorders>
              <w:top w:val="single" w:sz="12" w:color="0995F1"/>
              <w:left w:val="single" w:sz="18" w:color="0995F1"/>
              <w:bottom w:val="single" w:sz="4" w:color="DDE7ED"/>
              <w:right w:val="single" w:sz="4" w:color="DDE7ED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A0F14"/>
              </w:rPr>
              <w:t xml:space="preserve">Візуальна метафора.  </w:t>
            </w:r>
            <w:r>
              <w:rPr>
                <w:rFonts w:ascii="Inter" w:hAnsi="Inter"/>
                <w:color w:val="415463"/>
              </w:rPr>
              <w:t>Дуга / арка у знаку ARC одночасно читається як літера A, як arc/trajectory і як мережа зв’язаних вузлів. Саме цей мотив варто повторювати в графах, motion та ілюстраціях, але не перетворювати кожен екран на логотип.</w:t>
            </w:r>
          </w:p>
        </w:tc>
      </w:tr>
    </w:tbl>
    <w:p>
      <w:pPr>
        <w:spacing w:after="20"/>
      </w:pPr>
    </w:p>
    <w:p>
      <w:pPr>
        <w:pStyle w:val="Heading2"/>
        <w:spacing w:after="120"/>
      </w:pPr>
      <w:r>
        <w:rPr>
          <w:rFonts w:ascii="Inter" w:hAnsi="Inter"/>
          <w:b w:val="0"/>
        </w:rPr>
        <w:t>Коротка формула бренду</w:t>
      </w:r>
    </w:p>
    <w:p>
      <w:pPr>
        <w:spacing w:after="200"/>
      </w:pPr>
      <w:r>
        <w:rPr>
          <w:rFonts w:ascii="Inter" w:hAnsi="Inter"/>
          <w:b/>
          <w:color w:val="0A0F14"/>
          <w:sz w:val="32"/>
        </w:rPr>
        <w:t>Define the graph. Compile the runtime. Observe the system.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Tone of voice</w:t>
      </w:r>
    </w:p>
    <w:p>
      <w:pPr>
        <w:pStyle w:val="ARCBullet"/>
      </w:pPr>
      <w:r>
        <w:rPr>
          <w:rFonts w:ascii="Inter" w:hAnsi="Inter"/>
        </w:rPr>
        <w:t>• Короткий, технічний, конкретний.</w:t>
      </w:r>
    </w:p>
    <w:p>
      <w:pPr>
        <w:pStyle w:val="ARCBullet"/>
      </w:pPr>
      <w:r>
        <w:rPr>
          <w:rFonts w:ascii="Inter" w:hAnsi="Inter"/>
        </w:rPr>
        <w:t>• Без гіпербол на кшталт “revolutionary”, “magic”, “10× everything”.</w:t>
      </w:r>
    </w:p>
    <w:p>
      <w:pPr>
        <w:pStyle w:val="ARCBullet"/>
      </w:pPr>
      <w:r>
        <w:rPr>
          <w:rFonts w:ascii="Inter" w:hAnsi="Inter"/>
        </w:rPr>
        <w:t>• Пояснювати через систему, граф, виконання і вимірювання.</w:t>
      </w:r>
    </w:p>
    <w:p>
      <w:pPr>
        <w:pStyle w:val="ARCBullet"/>
      </w:pPr>
      <w:r>
        <w:rPr>
          <w:rFonts w:ascii="Inter" w:hAnsi="Inter"/>
        </w:rPr>
        <w:t>• У документації — прямі дієслова: Define, Connect, Compile, Run, Inspect, Measure.</w:t>
      </w:r>
    </w:p>
    <w:p>
      <w:pPr>
        <w:pStyle w:val="Heading1"/>
        <w:spacing w:after="120"/>
      </w:pPr>
      <w:r>
        <w:rPr>
          <w:rFonts w:ascii="Inter" w:hAnsi="Inter"/>
          <w:b w:val="0"/>
        </w:rPr>
        <w:t>2. Logo system</w:t>
      </w:r>
    </w:p>
    <w:p>
      <w:pPr>
        <w:jc w:val="center"/>
      </w:pPr>
      <w:r>
        <w:rPr>
          <w:rFonts w:ascii="Inter" w:hAnsi="Inter"/>
        </w:rP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n_arc_network_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rFonts w:ascii="Inter" w:hAnsi="Inter"/>
          <w:b w:val="0"/>
        </w:rPr>
        <w:t>Primary lockup</w:t>
      </w:r>
    </w:p>
    <w:p>
      <w:pPr>
        <w:spacing w:after="120"/>
      </w:pPr>
      <w:r>
        <w:rPr>
          <w:rFonts w:ascii="Inter" w:hAnsi="Inter"/>
          <w:b w:val="0"/>
        </w:rPr>
        <w:t>Основний варіант — gradient symbol + світлий wordmark “ARC” на graphite/near-black тлі. Це hero-версія для сайту, Stand splash screen, README та презентацій.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Symbol</w:t>
      </w:r>
    </w:p>
    <w:p>
      <w:pPr>
        <w:spacing w:after="120"/>
      </w:pPr>
      <w:r>
        <w:rPr>
          <w:rFonts w:ascii="Inter" w:hAnsi="Inter"/>
          <w:b w:val="0"/>
        </w:rPr>
        <w:t>Самостійний знак використовується для favicon, app icon, маленьких badges та компактних місць. На дуже малих розмірах допускається спрощена версія без внутрішніх декоративних деталей, але зі збереженою аркою та вузлами.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tblHeader w:val="true"/>
          <w:cantSplit w:val="true"/>
        </w:trPr>
        <w:tc>
          <w:tcPr>
            <w:tcW w:type="dxa" w:w="4961"/>
            <w:shd w:fill="0A0F14"/>
          </w:tcPr>
          <w:p>
            <w:r>
              <w:rPr>
                <w:b/>
                <w:color w:val="EDF5F9"/>
              </w:rPr>
              <w:t>Rule</w:t>
            </w:r>
          </w:p>
        </w:tc>
        <w:tc>
          <w:tcPr>
            <w:tcW w:type="dxa" w:w="4961"/>
            <w:shd w:fill="0A0F14"/>
          </w:tcPr>
          <w:p>
            <w:r>
              <w:rPr>
                <w:b/>
                <w:color w:val="EDF5F9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Clear space</w:t>
            </w:r>
          </w:p>
        </w:tc>
        <w:tc>
          <w:tcPr>
            <w:tcW w:type="dxa" w:w="4961"/>
            <w:vAlign w:val="center"/>
          </w:tcPr>
          <w:p>
            <w:r>
              <w:t>Не менше 1× діаметра верхнього вузла з усіх боків.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Minimum web size</w:t>
            </w:r>
          </w:p>
        </w:tc>
        <w:tc>
          <w:tcPr>
            <w:tcW w:type="dxa" w:w="4961"/>
            <w:vAlign w:val="center"/>
          </w:tcPr>
          <w:p>
            <w:r>
              <w:t>Symbol: 24 px. Full lockup: 120 px по ширині.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Minimum print size</w:t>
            </w:r>
          </w:p>
        </w:tc>
        <w:tc>
          <w:tcPr>
            <w:tcW w:type="dxa" w:w="4961"/>
            <w:vAlign w:val="center"/>
          </w:tcPr>
          <w:p>
            <w:r>
              <w:t>Full lockup: приблизно 32 mm по ширині.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Preferred background</w:t>
            </w:r>
          </w:p>
        </w:tc>
        <w:tc>
          <w:tcPr>
            <w:tcW w:type="dxa" w:w="4961"/>
            <w:vAlign w:val="center"/>
          </w:tcPr>
          <w:p>
            <w:r>
              <w:t>#06090D або #0A0F14.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Light backgrounds</w:t>
            </w:r>
          </w:p>
        </w:tc>
        <w:tc>
          <w:tcPr>
            <w:tcW w:type="dxa" w:w="4961"/>
            <w:vAlign w:val="center"/>
          </w:tcPr>
          <w:p>
            <w:r>
              <w:t>Використовувати монохромний graphite варіант; не класти primary gradient lockup на випадкові світлі фото.</w:t>
            </w:r>
          </w:p>
        </w:tc>
      </w:tr>
      <w:tr>
        <w:trPr>
          <w:cantSplit w:val="true"/>
        </w:trPr>
        <w:tc>
          <w:tcPr>
            <w:tcW w:type="dxa" w:w="4961"/>
            <w:vAlign w:val="center"/>
          </w:tcPr>
          <w:p>
            <w:r>
              <w:t>Master files</w:t>
            </w:r>
          </w:p>
        </w:tc>
        <w:tc>
          <w:tcPr>
            <w:tcW w:type="dxa" w:w="4961"/>
            <w:vAlign w:val="center"/>
          </w:tcPr>
          <w:p>
            <w:r>
              <w:t>Для production потрібен SVG/vector master. Raster PNG використовувати як preview, не як єдине джерело логотипу.</w:t>
            </w:r>
          </w:p>
        </w:tc>
      </w:tr>
    </w:tbl>
    <w:p>
      <w:pPr>
        <w:pStyle w:val="Heading2"/>
        <w:spacing w:after="120"/>
      </w:pPr>
      <w:r>
        <w:rPr>
          <w:rFonts w:ascii="Inter" w:hAnsi="Inter"/>
          <w:b w:val="0"/>
        </w:rPr>
        <w:t>Не робити</w:t>
      </w:r>
    </w:p>
    <w:p>
      <w:pPr>
        <w:pStyle w:val="ARCBullet"/>
      </w:pPr>
      <w:r>
        <w:rPr>
          <w:rFonts w:ascii="Inter" w:hAnsi="Inter"/>
        </w:rPr>
        <w:t>• Не розтягувати або стискати знак.</w:t>
      </w:r>
    </w:p>
    <w:p>
      <w:pPr>
        <w:pStyle w:val="ARCBullet"/>
      </w:pPr>
      <w:r>
        <w:rPr>
          <w:rFonts w:ascii="Inter" w:hAnsi="Inter"/>
        </w:rPr>
        <w:t>• Не обертати логотип.</w:t>
      </w:r>
    </w:p>
    <w:p>
      <w:pPr>
        <w:pStyle w:val="ARCBullet"/>
      </w:pPr>
      <w:r>
        <w:rPr>
          <w:rFonts w:ascii="Inter" w:hAnsi="Inter"/>
        </w:rPr>
        <w:t>• Не міняти gradient випадковими кольорами.</w:t>
      </w:r>
    </w:p>
    <w:p>
      <w:pPr>
        <w:pStyle w:val="ARCBullet"/>
      </w:pPr>
      <w:r>
        <w:rPr>
          <w:rFonts w:ascii="Inter" w:hAnsi="Inter"/>
        </w:rPr>
        <w:t>• Не додавати сильний outer glow до wordmark.</w:t>
      </w:r>
    </w:p>
    <w:p>
      <w:pPr>
        <w:pStyle w:val="ARCBullet"/>
      </w:pPr>
      <w:r>
        <w:rPr>
          <w:rFonts w:ascii="Inter" w:hAnsi="Inter"/>
        </w:rPr>
        <w:t>• Не використовувати вузли логотипу як декоративний патерн на кожному блоці.</w:t>
      </w:r>
    </w:p>
    <w:p>
      <w:pPr>
        <w:pStyle w:val="ARCBullet"/>
      </w:pPr>
      <w:r>
        <w:rPr>
          <w:rFonts w:ascii="Inter" w:hAnsi="Inter"/>
        </w:rPr>
        <w:t>• Не набирати “ARC” звичайним шрифтом замість офіційного wordmark у логотипному контексті.</w:t>
      </w:r>
    </w:p>
    <w:p>
      <w:pPr>
        <w:pStyle w:val="Heading1"/>
        <w:spacing w:after="120"/>
      </w:pPr>
      <w:r>
        <w:rPr>
          <w:rFonts w:ascii="Inter" w:hAnsi="Inter"/>
          <w:b w:val="0"/>
        </w:rPr>
        <w:t>3. Color system</w:t>
      </w:r>
    </w:p>
    <w:p>
      <w:pPr>
        <w:spacing w:after="120"/>
      </w:pPr>
      <w:r>
        <w:rPr>
          <w:rFonts w:ascii="Inter" w:hAnsi="Inter"/>
          <w:b w:val="0"/>
        </w:rPr>
        <w:t>Палітра ARC будується навколо майже чорного graphite-полотна, світлого “ice” тексту та холодного blue→cyan→teal accent. Accent не повинен домінувати над даними.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tblHeader w:val="true"/>
          <w:cantSplit w:val="true"/>
        </w:trPr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Swatch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Token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HEX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Use</w:t>
            </w:r>
          </w:p>
        </w:tc>
      </w:tr>
      <w:tr>
        <w:trPr>
          <w:cantSplit w:val="true"/>
        </w:trPr>
        <w:tc>
          <w:tcPr>
            <w:tcW w:type="dxa" w:w="2480"/>
            <w:shd w:fill="06090D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Graphite 950</w:t>
            </w:r>
          </w:p>
        </w:tc>
        <w:tc>
          <w:tcPr>
            <w:tcW w:type="dxa" w:w="2480"/>
            <w:vAlign w:val="center"/>
          </w:tcPr>
          <w:p>
            <w:r>
              <w:t>#06090D</w:t>
            </w:r>
          </w:p>
        </w:tc>
        <w:tc>
          <w:tcPr>
            <w:tcW w:type="dxa" w:w="2480"/>
            <w:vAlign w:val="center"/>
          </w:tcPr>
          <w:p>
            <w:r>
              <w:t>Основне тло / hero / graph canvas</w:t>
            </w:r>
          </w:p>
        </w:tc>
      </w:tr>
      <w:tr>
        <w:trPr>
          <w:cantSplit w:val="true"/>
        </w:trPr>
        <w:tc>
          <w:tcPr>
            <w:tcW w:type="dxa" w:w="2480"/>
            <w:shd w:fill="0A0F14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Graphite 900</w:t>
            </w:r>
          </w:p>
        </w:tc>
        <w:tc>
          <w:tcPr>
            <w:tcW w:type="dxa" w:w="2480"/>
            <w:vAlign w:val="center"/>
          </w:tcPr>
          <w:p>
            <w:r>
              <w:t>#0A0F14</w:t>
            </w:r>
          </w:p>
        </w:tc>
        <w:tc>
          <w:tcPr>
            <w:tcW w:type="dxa" w:w="2480"/>
            <w:vAlign w:val="center"/>
          </w:tcPr>
          <w:p>
            <w:r>
              <w:t>Основне dark UI тло</w:t>
            </w:r>
          </w:p>
        </w:tc>
      </w:tr>
      <w:tr>
        <w:trPr>
          <w:cantSplit w:val="true"/>
        </w:trPr>
        <w:tc>
          <w:tcPr>
            <w:tcW w:type="dxa" w:w="2480"/>
            <w:shd w:fill="101820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Surface</w:t>
            </w:r>
          </w:p>
        </w:tc>
        <w:tc>
          <w:tcPr>
            <w:tcW w:type="dxa" w:w="2480"/>
            <w:vAlign w:val="center"/>
          </w:tcPr>
          <w:p>
            <w:r>
              <w:t>#101820</w:t>
            </w:r>
          </w:p>
        </w:tc>
        <w:tc>
          <w:tcPr>
            <w:tcW w:type="dxa" w:w="2480"/>
            <w:vAlign w:val="center"/>
          </w:tcPr>
          <w:p>
            <w:r>
              <w:t>Cards / panels</w:t>
            </w:r>
          </w:p>
        </w:tc>
      </w:tr>
      <w:tr>
        <w:trPr>
          <w:cantSplit w:val="true"/>
        </w:trPr>
        <w:tc>
          <w:tcPr>
            <w:tcW w:type="dxa" w:w="2480"/>
            <w:shd w:fill="16212B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Surface raised</w:t>
            </w:r>
          </w:p>
        </w:tc>
        <w:tc>
          <w:tcPr>
            <w:tcW w:type="dxa" w:w="2480"/>
            <w:vAlign w:val="center"/>
          </w:tcPr>
          <w:p>
            <w:r>
              <w:t>#16212B</w:t>
            </w:r>
          </w:p>
        </w:tc>
        <w:tc>
          <w:tcPr>
            <w:tcW w:type="dxa" w:w="2480"/>
            <w:vAlign w:val="center"/>
          </w:tcPr>
          <w:p>
            <w:r>
              <w:t>Selected / raised panels</w:t>
            </w:r>
          </w:p>
        </w:tc>
      </w:tr>
      <w:tr>
        <w:trPr>
          <w:cantSplit w:val="true"/>
        </w:trPr>
        <w:tc>
          <w:tcPr>
            <w:tcW w:type="dxa" w:w="2480"/>
            <w:shd w:fill="263540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Border</w:t>
            </w:r>
          </w:p>
        </w:tc>
        <w:tc>
          <w:tcPr>
            <w:tcW w:type="dxa" w:w="2480"/>
            <w:vAlign w:val="center"/>
          </w:tcPr>
          <w:p>
            <w:r>
              <w:t>#263540</w:t>
            </w:r>
          </w:p>
        </w:tc>
        <w:tc>
          <w:tcPr>
            <w:tcW w:type="dxa" w:w="2480"/>
            <w:vAlign w:val="center"/>
          </w:tcPr>
          <w:p>
            <w:r>
              <w:t>Тонкі межі й separators</w:t>
            </w:r>
          </w:p>
        </w:tc>
      </w:tr>
      <w:tr>
        <w:trPr>
          <w:cantSplit w:val="true"/>
        </w:trPr>
        <w:tc>
          <w:tcPr>
            <w:tcW w:type="dxa" w:w="2480"/>
            <w:shd w:fill="EDF5F9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Ice</w:t>
            </w:r>
          </w:p>
        </w:tc>
        <w:tc>
          <w:tcPr>
            <w:tcW w:type="dxa" w:w="2480"/>
            <w:vAlign w:val="center"/>
          </w:tcPr>
          <w:p>
            <w:r>
              <w:t>#EDF5F9</w:t>
            </w:r>
          </w:p>
        </w:tc>
        <w:tc>
          <w:tcPr>
            <w:tcW w:type="dxa" w:w="2480"/>
            <w:vAlign w:val="center"/>
          </w:tcPr>
          <w:p>
            <w:r>
              <w:t>Primary text на dark</w:t>
            </w:r>
          </w:p>
        </w:tc>
      </w:tr>
      <w:tr>
        <w:trPr>
          <w:cantSplit w:val="true"/>
        </w:trPr>
        <w:tc>
          <w:tcPr>
            <w:tcW w:type="dxa" w:w="2480"/>
            <w:shd w:fill="8EA3B4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Muted</w:t>
            </w:r>
          </w:p>
        </w:tc>
        <w:tc>
          <w:tcPr>
            <w:tcW w:type="dxa" w:w="2480"/>
            <w:vAlign w:val="center"/>
          </w:tcPr>
          <w:p>
            <w:r>
              <w:t>#8EA3B4</w:t>
            </w:r>
          </w:p>
        </w:tc>
        <w:tc>
          <w:tcPr>
            <w:tcW w:type="dxa" w:w="2480"/>
            <w:vAlign w:val="center"/>
          </w:tcPr>
          <w:p>
            <w:r>
              <w:t>Secondary text / inactive</w:t>
            </w:r>
          </w:p>
        </w:tc>
      </w:tr>
      <w:tr>
        <w:trPr>
          <w:cantSplit w:val="true"/>
        </w:trPr>
        <w:tc>
          <w:tcPr>
            <w:tcW w:type="dxa" w:w="2480"/>
            <w:shd w:fill="0995F1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Arc Blue</w:t>
            </w:r>
          </w:p>
        </w:tc>
        <w:tc>
          <w:tcPr>
            <w:tcW w:type="dxa" w:w="2480"/>
            <w:vAlign w:val="center"/>
          </w:tcPr>
          <w:p>
            <w:r>
              <w:t>#0995F1</w:t>
            </w:r>
          </w:p>
        </w:tc>
        <w:tc>
          <w:tcPr>
            <w:tcW w:type="dxa" w:w="2480"/>
            <w:vAlign w:val="center"/>
          </w:tcPr>
          <w:p>
            <w:r>
              <w:t>Graph / active path</w:t>
            </w:r>
          </w:p>
        </w:tc>
      </w:tr>
      <w:tr>
        <w:trPr>
          <w:cantSplit w:val="true"/>
        </w:trPr>
        <w:tc>
          <w:tcPr>
            <w:tcW w:type="dxa" w:w="2480"/>
            <w:shd w:fill="3DE4F1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Arc Cyan</w:t>
            </w:r>
          </w:p>
        </w:tc>
        <w:tc>
          <w:tcPr>
            <w:tcW w:type="dxa" w:w="2480"/>
            <w:vAlign w:val="center"/>
          </w:tcPr>
          <w:p>
            <w:r>
              <w:t>#3DE4F1</w:t>
            </w:r>
          </w:p>
        </w:tc>
        <w:tc>
          <w:tcPr>
            <w:tcW w:type="dxa" w:w="2480"/>
            <w:vAlign w:val="center"/>
          </w:tcPr>
          <w:p>
            <w:r>
              <w:t>Primary accent / selection</w:t>
            </w:r>
          </w:p>
        </w:tc>
      </w:tr>
      <w:tr>
        <w:trPr>
          <w:cantSplit w:val="true"/>
        </w:trPr>
        <w:tc>
          <w:tcPr>
            <w:tcW w:type="dxa" w:w="2480"/>
            <w:shd w:fill="06BCBC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Arc Teal</w:t>
            </w:r>
          </w:p>
        </w:tc>
        <w:tc>
          <w:tcPr>
            <w:tcW w:type="dxa" w:w="2480"/>
            <w:vAlign w:val="center"/>
          </w:tcPr>
          <w:p>
            <w:r>
              <w:t>#06BCBC</w:t>
            </w:r>
          </w:p>
        </w:tc>
        <w:tc>
          <w:tcPr>
            <w:tcW w:type="dxa" w:w="2480"/>
            <w:vAlign w:val="center"/>
          </w:tcPr>
          <w:p>
            <w:r>
              <w:t>Events / secondary accent</w:t>
            </w:r>
          </w:p>
        </w:tc>
      </w:tr>
      <w:tr>
        <w:trPr>
          <w:cantSplit w:val="true"/>
        </w:trPr>
        <w:tc>
          <w:tcPr>
            <w:tcW w:type="dxa" w:w="2480"/>
            <w:shd w:fill="38C98A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Success</w:t>
            </w:r>
          </w:p>
        </w:tc>
        <w:tc>
          <w:tcPr>
            <w:tcW w:type="dxa" w:w="2480"/>
            <w:vAlign w:val="center"/>
          </w:tcPr>
          <w:p>
            <w:r>
              <w:t>#38C98A</w:t>
            </w:r>
          </w:p>
        </w:tc>
        <w:tc>
          <w:tcPr>
            <w:tcW w:type="dxa" w:w="2480"/>
            <w:vAlign w:val="center"/>
          </w:tcPr>
          <w:p>
            <w:r>
              <w:t>Healthy / passed</w:t>
            </w:r>
          </w:p>
        </w:tc>
      </w:tr>
      <w:tr>
        <w:trPr>
          <w:cantSplit w:val="true"/>
        </w:trPr>
        <w:tc>
          <w:tcPr>
            <w:tcW w:type="dxa" w:w="2480"/>
            <w:shd w:fill="F2B84B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Warning</w:t>
            </w:r>
          </w:p>
        </w:tc>
        <w:tc>
          <w:tcPr>
            <w:tcW w:type="dxa" w:w="2480"/>
            <w:vAlign w:val="center"/>
          </w:tcPr>
          <w:p>
            <w:r>
              <w:t>#F2B84B</w:t>
            </w:r>
          </w:p>
        </w:tc>
        <w:tc>
          <w:tcPr>
            <w:tcW w:type="dxa" w:w="2480"/>
            <w:vAlign w:val="center"/>
          </w:tcPr>
          <w:p>
            <w:r>
              <w:t>Degraded / approaching limit</w:t>
            </w:r>
          </w:p>
        </w:tc>
      </w:tr>
      <w:tr>
        <w:trPr>
          <w:cantSplit w:val="true"/>
        </w:trPr>
        <w:tc>
          <w:tcPr>
            <w:tcW w:type="dxa" w:w="2480"/>
            <w:shd w:fill="FF5E6C"/>
            <w:vAlign w:val="center"/>
          </w:tcPr>
          <w:p>
            <w:r/>
          </w:p>
        </w:tc>
        <w:tc>
          <w:tcPr>
            <w:tcW w:type="dxa" w:w="2480"/>
            <w:vAlign w:val="center"/>
          </w:tcPr>
          <w:p>
            <w:r>
              <w:t>Critical</w:t>
            </w:r>
          </w:p>
        </w:tc>
        <w:tc>
          <w:tcPr>
            <w:tcW w:type="dxa" w:w="2480"/>
            <w:vAlign w:val="center"/>
          </w:tcPr>
          <w:p>
            <w:r>
              <w:t>#FF5E6C</w:t>
            </w:r>
          </w:p>
        </w:tc>
        <w:tc>
          <w:tcPr>
            <w:tcW w:type="dxa" w:w="2480"/>
            <w:vAlign w:val="center"/>
          </w:tcPr>
          <w:p>
            <w:r>
              <w:t>Failure / error / saturation</w:t>
            </w:r>
          </w:p>
        </w:tc>
      </w:tr>
    </w:tbl>
    <w:p>
      <w:pPr>
        <w:pStyle w:val="Heading2"/>
        <w:spacing w:after="120"/>
      </w:pPr>
      <w:r>
        <w:rPr>
          <w:rFonts w:ascii="Inter" w:hAnsi="Inter"/>
          <w:b w:val="0"/>
        </w:rPr>
        <w:t>Primary gradient</w:t>
      </w:r>
    </w:p>
    <w:p>
      <w:pPr>
        <w:spacing w:after="120"/>
      </w:pPr>
      <w:r>
        <w:rPr>
          <w:rFonts w:ascii="Inter" w:hAnsi="Inter"/>
          <w:b w:val="0"/>
        </w:rPr>
        <w:t>#0995F1 → #3DE4F1 → #06BCBC. Використання: logo symbol, selected execution path, hero accent, короткі active-flow transitions. Не заливати цим gradient великі фони або довгі тексти.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 w:val="true"/>
        </w:trPr>
        <w:tc>
          <w:tcPr>
            <w:tcW w:type="dxa" w:w="9922"/>
            <w:shd w:fill="F3F8FB"/>
            <w:tcBorders>
              <w:top w:val="single" w:sz="12" w:color="0995F1"/>
              <w:left w:val="single" w:sz="18" w:color="0995F1"/>
              <w:bottom w:val="single" w:sz="4" w:color="DDE7ED"/>
              <w:right w:val="single" w:sz="4" w:color="DDE7ED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A0F14"/>
              </w:rPr>
              <w:t xml:space="preserve">Accessibility rule.  </w:t>
            </w:r>
            <w:r>
              <w:rPr>
                <w:rFonts w:ascii="Inter" w:hAnsi="Inter"/>
                <w:color w:val="415463"/>
              </w:rPr>
              <w:t>Статус не позначається лише кольором. Error / warning / healthy завжди мають також текст, іконку, shape або label. Для основного тексту на dark використовувати Ice, а не Cyan.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Inter" w:hAnsi="Inter"/>
          <w:b w:val="0"/>
        </w:rPr>
        <w:t>4. Typography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Primary UI / web font</w:t>
      </w:r>
    </w:p>
    <w:p>
      <w:pPr>
        <w:spacing w:after="120"/>
      </w:pPr>
      <w:r>
        <w:rPr>
          <w:rFonts w:ascii="Inter" w:hAnsi="Inter"/>
          <w:b w:val="0"/>
        </w:rPr>
        <w:t>Inter. Нейтральний, добре читається у щільних інтерфейсах, метриках і документації. Для великих display-заголовків — Inter Display.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Code / metrics</w:t>
      </w:r>
    </w:p>
    <w:p>
      <w:pPr>
        <w:spacing w:after="120"/>
      </w:pPr>
      <w:r>
        <w:rPr>
          <w:rFonts w:ascii="Inter" w:hAnsi="Inter"/>
          <w:b w:val="0"/>
        </w:rPr>
        <w:t>JetBrains Mono, Geist Mono або ui-monospace. У цьому документі як технічний fallback використано Liberation Mono.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 w:val="true"/>
        </w:trPr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Role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Size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Weight</w:t>
            </w:r>
          </w:p>
        </w:tc>
        <w:tc>
          <w:tcPr>
            <w:tcW w:type="dxa" w:w="2480"/>
            <w:shd w:fill="0A0F14"/>
          </w:tcPr>
          <w:p>
            <w:r>
              <w:rPr>
                <w:b/>
                <w:color w:val="EDF5F9"/>
              </w:rPr>
              <w:t>Use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Display / Hero</w:t>
            </w:r>
          </w:p>
        </w:tc>
        <w:tc>
          <w:tcPr>
            <w:tcW w:type="dxa" w:w="2480"/>
          </w:tcPr>
          <w:p>
            <w:r>
              <w:t>48–72 px</w:t>
            </w:r>
          </w:p>
        </w:tc>
        <w:tc>
          <w:tcPr>
            <w:tcW w:type="dxa" w:w="2480"/>
          </w:tcPr>
          <w:p>
            <w:r>
              <w:t>600–700</w:t>
            </w:r>
          </w:p>
        </w:tc>
        <w:tc>
          <w:tcPr>
            <w:tcW w:type="dxa" w:w="2480"/>
          </w:tcPr>
          <w:p>
            <w:r>
              <w:t>Короткі заголовки, 1–2 рядки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H1</w:t>
            </w:r>
          </w:p>
        </w:tc>
        <w:tc>
          <w:tcPr>
            <w:tcW w:type="dxa" w:w="2480"/>
          </w:tcPr>
          <w:p>
            <w:r>
              <w:t>32–40 px</w:t>
            </w:r>
          </w:p>
        </w:tc>
        <w:tc>
          <w:tcPr>
            <w:tcW w:type="dxa" w:w="2480"/>
          </w:tcPr>
          <w:p>
            <w:r>
              <w:t>600–700</w:t>
            </w:r>
          </w:p>
        </w:tc>
        <w:tc>
          <w:tcPr>
            <w:tcW w:type="dxa" w:w="2480"/>
          </w:tcPr>
          <w:p>
            <w:r>
              <w:t>Сторінка / велика секція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H2</w:t>
            </w:r>
          </w:p>
        </w:tc>
        <w:tc>
          <w:tcPr>
            <w:tcW w:type="dxa" w:w="2480"/>
          </w:tcPr>
          <w:p>
            <w:r>
              <w:t>22–28 px</w:t>
            </w:r>
          </w:p>
        </w:tc>
        <w:tc>
          <w:tcPr>
            <w:tcW w:type="dxa" w:w="2480"/>
          </w:tcPr>
          <w:p>
            <w:r>
              <w:t>600</w:t>
            </w:r>
          </w:p>
        </w:tc>
        <w:tc>
          <w:tcPr>
            <w:tcW w:type="dxa" w:w="2480"/>
          </w:tcPr>
          <w:p>
            <w:r>
              <w:t>Секція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Body</w:t>
            </w:r>
          </w:p>
        </w:tc>
        <w:tc>
          <w:tcPr>
            <w:tcW w:type="dxa" w:w="2480"/>
          </w:tcPr>
          <w:p>
            <w:r>
              <w:t>15–17 px</w:t>
            </w:r>
          </w:p>
        </w:tc>
        <w:tc>
          <w:tcPr>
            <w:tcW w:type="dxa" w:w="2480"/>
          </w:tcPr>
          <w:p>
            <w:r>
              <w:t>400–500</w:t>
            </w:r>
          </w:p>
        </w:tc>
        <w:tc>
          <w:tcPr>
            <w:tcW w:type="dxa" w:w="2480"/>
          </w:tcPr>
          <w:p>
            <w:r>
              <w:t>Основний текст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UI label</w:t>
            </w:r>
          </w:p>
        </w:tc>
        <w:tc>
          <w:tcPr>
            <w:tcW w:type="dxa" w:w="2480"/>
          </w:tcPr>
          <w:p>
            <w:r>
              <w:t>13–14 px</w:t>
            </w:r>
          </w:p>
        </w:tc>
        <w:tc>
          <w:tcPr>
            <w:tcW w:type="dxa" w:w="2480"/>
          </w:tcPr>
          <w:p>
            <w:r>
              <w:t>500–600</w:t>
            </w:r>
          </w:p>
        </w:tc>
        <w:tc>
          <w:tcPr>
            <w:tcW w:type="dxa" w:w="2480"/>
          </w:tcPr>
          <w:p>
            <w:r>
              <w:t>Tabs, controls, metadata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r>
              <w:t>Code / metric</w:t>
            </w:r>
          </w:p>
        </w:tc>
        <w:tc>
          <w:tcPr>
            <w:tcW w:type="dxa" w:w="2480"/>
          </w:tcPr>
          <w:p>
            <w:r>
              <w:t>13–15 px</w:t>
            </w:r>
          </w:p>
        </w:tc>
        <w:tc>
          <w:tcPr>
            <w:tcW w:type="dxa" w:w="2480"/>
          </w:tcPr>
          <w:p>
            <w:r>
              <w:t>400–500</w:t>
            </w:r>
          </w:p>
        </w:tc>
        <w:tc>
          <w:tcPr>
            <w:tcW w:type="dxa" w:w="2480"/>
          </w:tcPr>
          <w:p>
            <w:r>
              <w:t>Paths, timings, identifiers</w:t>
            </w:r>
          </w:p>
        </w:tc>
      </w:tr>
    </w:tbl>
    <w:p>
      <w:pPr>
        <w:pStyle w:val="Heading2"/>
        <w:spacing w:after="120"/>
      </w:pPr>
      <w:r>
        <w:rPr>
          <w:rFonts w:ascii="Inter" w:hAnsi="Inter"/>
          <w:b w:val="0"/>
        </w:rPr>
        <w:t>Typography rules</w:t>
      </w:r>
    </w:p>
    <w:p>
      <w:pPr>
        <w:pStyle w:val="ARCBullet"/>
      </w:pPr>
      <w:r>
        <w:rPr>
          <w:rFonts w:ascii="Inter" w:hAnsi="Inter"/>
        </w:rPr>
        <w:t>• Заголовки короткі; не робити довгі маркетингові абзаци великим кеглем.</w:t>
      </w:r>
    </w:p>
    <w:p>
      <w:pPr>
        <w:pStyle w:val="ARCBullet"/>
      </w:pPr>
      <w:r>
        <w:rPr>
          <w:rFonts w:ascii="Inter" w:hAnsi="Inter"/>
        </w:rPr>
        <w:t>• Не використовувати monospace як основний бренд-шрифт.</w:t>
      </w:r>
    </w:p>
    <w:p>
      <w:pPr>
        <w:pStyle w:val="ARCBullet"/>
      </w:pPr>
      <w:r>
        <w:rPr>
          <w:rFonts w:ascii="Inter" w:hAnsi="Inter"/>
        </w:rPr>
        <w:t>• Metric values мають бути візуально сильнішими за metric labels.</w:t>
      </w:r>
    </w:p>
    <w:p>
      <w:pPr>
        <w:pStyle w:val="ARCBullet"/>
      </w:pPr>
      <w:r>
        <w:rPr>
          <w:rFonts w:ascii="Inter" w:hAnsi="Inter"/>
        </w:rPr>
        <w:t>• Uppercase — лише для коротких technical labels, tabs або eyebrow text.</w:t>
      </w:r>
    </w:p>
    <w:p>
      <w:pPr>
        <w:pStyle w:val="Heading1"/>
        <w:spacing w:after="120"/>
      </w:pPr>
      <w:r>
        <w:rPr>
          <w:rFonts w:ascii="Inter" w:hAnsi="Inter"/>
          <w:b w:val="0"/>
        </w:rPr>
        <w:t>5. Layout, spacing &amp; surfaces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 w:val="true"/>
        </w:trPr>
        <w:tc>
          <w:tcPr>
            <w:tcW w:type="dxa" w:w="4961"/>
            <w:shd w:fill="0A0F14"/>
          </w:tcPr>
          <w:p>
            <w:r>
              <w:rPr>
                <w:b/>
                <w:color w:val="EDF5F9"/>
              </w:rPr>
              <w:t>Token / rule</w:t>
            </w:r>
          </w:p>
        </w:tc>
        <w:tc>
          <w:tcPr>
            <w:tcW w:type="dxa" w:w="4961"/>
            <w:shd w:fill="0A0F14"/>
          </w:tcPr>
          <w:p>
            <w:r>
              <w:rPr>
                <w:b/>
                <w:color w:val="EDF5F9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Base unit</w:t>
            </w:r>
          </w:p>
        </w:tc>
        <w:tc>
          <w:tcPr>
            <w:tcW w:type="dxa" w:w="4961"/>
          </w:tcPr>
          <w:p>
            <w:r>
              <w:t>4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Common spacing</w:t>
            </w:r>
          </w:p>
        </w:tc>
        <w:tc>
          <w:tcPr>
            <w:tcW w:type="dxa" w:w="4961"/>
          </w:tcPr>
          <w:p>
            <w:r>
              <w:t>8 / 12 / 16 / 24 / 32 / 48 / 64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Control radius</w:t>
            </w:r>
          </w:p>
        </w:tc>
        <w:tc>
          <w:tcPr>
            <w:tcW w:type="dxa" w:w="4961"/>
          </w:tcPr>
          <w:p>
            <w:r>
              <w:t>8–10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Card radius</w:t>
            </w:r>
          </w:p>
        </w:tc>
        <w:tc>
          <w:tcPr>
            <w:tcW w:type="dxa" w:w="4961"/>
          </w:tcPr>
          <w:p>
            <w:r>
              <w:t>12–16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Large panel radius</w:t>
            </w:r>
          </w:p>
        </w:tc>
        <w:tc>
          <w:tcPr>
            <w:tcW w:type="dxa" w:w="4961"/>
          </w:tcPr>
          <w:p>
            <w:r>
              <w:t>16–20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Border</w:t>
            </w:r>
          </w:p>
        </w:tc>
        <w:tc>
          <w:tcPr>
            <w:tcW w:type="dxa" w:w="4961"/>
          </w:tcPr>
          <w:p>
            <w:r>
              <w:t>1 px, low contrast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Web content max-width</w:t>
            </w:r>
          </w:p>
        </w:tc>
        <w:tc>
          <w:tcPr>
            <w:tcW w:type="dxa" w:w="4961"/>
          </w:tcPr>
          <w:p>
            <w:r>
              <w:t>1200–1280 px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Desktop grid</w:t>
            </w:r>
          </w:p>
        </w:tc>
        <w:tc>
          <w:tcPr>
            <w:tcW w:type="dxa" w:w="4961"/>
          </w:tcPr>
          <w:p>
            <w:r>
              <w:t>12 columns</w:t>
            </w:r>
          </w:p>
        </w:tc>
      </w:tr>
      <w:tr>
        <w:trPr>
          <w:cantSplit w:val="true"/>
        </w:trPr>
        <w:tc>
          <w:tcPr>
            <w:tcW w:type="dxa" w:w="4961"/>
          </w:tcPr>
          <w:p>
            <w:r>
              <w:t>Motion</w:t>
            </w:r>
          </w:p>
        </w:tc>
        <w:tc>
          <w:tcPr>
            <w:tcW w:type="dxa" w:w="4961"/>
          </w:tcPr>
          <w:p>
            <w:r>
              <w:t>150–250 ms for UI; 500–900 ms for live-flow indications</w:t>
            </w:r>
          </w:p>
        </w:tc>
      </w:tr>
    </w:tbl>
    <w:p>
      <w:pPr>
        <w:pStyle w:val="Heading2"/>
        <w:spacing w:after="120"/>
      </w:pPr>
      <w:r>
        <w:rPr>
          <w:rFonts w:ascii="Inter" w:hAnsi="Inter"/>
          <w:b w:val="0"/>
        </w:rPr>
        <w:t>Surface philosophy</w:t>
      </w:r>
    </w:p>
    <w:p>
      <w:pPr>
        <w:pStyle w:val="ARCBullet"/>
      </w:pPr>
      <w:r>
        <w:rPr>
          <w:rFonts w:ascii="Inter" w:hAnsi="Inter"/>
        </w:rPr>
        <w:t>• Панелі відділяються переважно контрастом surface + border, а не тінями.</w:t>
      </w:r>
    </w:p>
    <w:p>
      <w:pPr>
        <w:pStyle w:val="ARCBullet"/>
      </w:pPr>
      <w:r>
        <w:rPr>
          <w:rFonts w:ascii="Inter" w:hAnsi="Inter"/>
        </w:rPr>
        <w:t>• Accent background використовується для selected / primary action, не для кожної картки.</w:t>
      </w:r>
    </w:p>
    <w:p>
      <w:pPr>
        <w:pStyle w:val="ARCBullet"/>
      </w:pPr>
      <w:r>
        <w:rPr>
          <w:rFonts w:ascii="Inter" w:hAnsi="Inter"/>
        </w:rPr>
        <w:t>• Shadow — дуже слабкий і лише коли треба показати elevation.</w:t>
      </w:r>
    </w:p>
    <w:p>
      <w:pPr>
        <w:pStyle w:val="ARCBullet"/>
      </w:pPr>
      <w:r>
        <w:rPr>
          <w:rFonts w:ascii="Inter" w:hAnsi="Inter"/>
        </w:rPr>
        <w:t>• Не робити dashboard із десятків однакових карток; граф і система мають бути головними.</w:t>
      </w:r>
    </w:p>
    <w:p>
      <w:pPr>
        <w:jc w:val="center"/>
      </w:pPr>
      <w:r>
        <w:rPr>
          <w:rFonts w:ascii="Inter" w:hAnsi="Inter"/>
        </w:rPr>
        <w:drawing>
          <wp:inline xmlns:a="http://schemas.openxmlformats.org/drawingml/2006/main" xmlns:pic="http://schemas.openxmlformats.org/drawingml/2006/picture">
            <wp:extent cx="6192000" cy="34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ui_langu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rPr>
          <w:rFonts w:ascii="Inter" w:hAnsi="Inter"/>
          <w:b w:val="0"/>
        </w:rPr>
        <w:t>6. Graph visual language</w:t>
      </w:r>
    </w:p>
    <w:p>
      <w:pPr>
        <w:spacing w:after="120"/>
      </w:pPr>
      <w:r>
        <w:rPr>
          <w:rFonts w:ascii="Inter" w:hAnsi="Inter"/>
          <w:b w:val="0"/>
        </w:rPr>
        <w:t>Граф — центральний візуальний об’єкт ARC. Він не повинен бути декоративною “сіткою з точок”; кожен node і edge має семантику.</w:t>
      </w:r>
    </w:p>
    <w:p>
      <w:pPr>
        <w:jc w:val="center"/>
      </w:pPr>
      <w:r>
        <w:rPr>
          <w:rFonts w:ascii="Inter" w:hAnsi="Inter"/>
        </w:rPr>
        <w:drawing>
          <wp:inline xmlns:a="http://schemas.openxmlformats.org/drawingml/2006/main" xmlns:pic="http://schemas.openxmlformats.org/drawingml/2006/picture">
            <wp:extent cx="6192000" cy="317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graph_langu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rFonts w:ascii="Inter" w:hAnsi="Inter"/>
          <w:b w:val="0"/>
        </w:rPr>
        <w:t>Node rules</w:t>
      </w:r>
    </w:p>
    <w:p>
      <w:pPr>
        <w:pStyle w:val="ARCBullet"/>
      </w:pPr>
      <w:r>
        <w:rPr>
          <w:rFonts w:ascii="Inter" w:hAnsi="Inter"/>
        </w:rPr>
        <w:t>• Operation — основний functional node; назва + короткий тип + ключова runtime metric.</w:t>
      </w:r>
    </w:p>
    <w:p>
      <w:pPr>
        <w:pStyle w:val="ARCBullet"/>
      </w:pPr>
      <w:r>
        <w:rPr>
          <w:rFonts w:ascii="Inter" w:hAnsi="Inter"/>
        </w:rPr>
        <w:t>• Resource — DB, cache, queue, external API; візуально стриманіший за operation.</w:t>
      </w:r>
    </w:p>
    <w:p>
      <w:pPr>
        <w:pStyle w:val="ARCBullet"/>
      </w:pPr>
      <w:r>
        <w:rPr>
          <w:rFonts w:ascii="Inter" w:hAnsi="Inter"/>
        </w:rPr>
        <w:t>• Worker / process — показує active/idle/busy та throughput.</w:t>
      </w:r>
    </w:p>
    <w:p>
      <w:pPr>
        <w:pStyle w:val="ARCBullet"/>
      </w:pPr>
      <w:r>
        <w:rPr>
          <w:rFonts w:ascii="Inter" w:hAnsi="Inter"/>
        </w:rPr>
        <w:t>• Статус не кодувати формою довільно: shape system має лишатися стабільним між екранами.</w:t>
      </w:r>
    </w:p>
    <w:p>
      <w:pPr>
        <w:pStyle w:val="ARCBullet"/>
      </w:pPr>
      <w:r>
        <w:rPr>
          <w:rFonts w:ascii="Inter" w:hAnsi="Inter"/>
        </w:rPr>
        <w:t>• Selected node — Cyan border/accent, але не суцільна яскрава заливка.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Edge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Semantic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Visual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CALLS / DEPENDS_ON</w:t>
            </w:r>
          </w:p>
        </w:tc>
        <w:tc>
          <w:tcPr>
            <w:tcW w:type="dxa" w:w="3307"/>
          </w:tcPr>
          <w:p>
            <w:r>
              <w:t>Solid neutral/cyan line</w:t>
            </w:r>
          </w:p>
        </w:tc>
        <w:tc>
          <w:tcPr>
            <w:tcW w:type="dxa" w:w="3307"/>
          </w:tcPr>
          <w:p>
            <w:r>
              <w:t>Control or dependency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READS / WRITES</w:t>
            </w:r>
          </w:p>
        </w:tc>
        <w:tc>
          <w:tcPr>
            <w:tcW w:type="dxa" w:w="3307"/>
          </w:tcPr>
          <w:p>
            <w:r>
              <w:t>Blue line + label</w:t>
            </w:r>
          </w:p>
        </w:tc>
        <w:tc>
          <w:tcPr>
            <w:tcW w:type="dxa" w:w="3307"/>
          </w:tcPr>
          <w:p>
            <w:r>
              <w:t>Data access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EMITS / SUBSCRIBES</w:t>
            </w:r>
          </w:p>
        </w:tc>
        <w:tc>
          <w:tcPr>
            <w:tcW w:type="dxa" w:w="3307"/>
          </w:tcPr>
          <w:p>
            <w:r>
              <w:t>Teal, optional dashed motion</w:t>
            </w:r>
          </w:p>
        </w:tc>
        <w:tc>
          <w:tcPr>
            <w:tcW w:type="dxa" w:w="3307"/>
          </w:tcPr>
          <w:p>
            <w:r>
              <w:t>Event flow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INVALIDATES</w:t>
            </w:r>
          </w:p>
        </w:tc>
        <w:tc>
          <w:tcPr>
            <w:tcW w:type="dxa" w:w="3307"/>
          </w:tcPr>
          <w:p>
            <w:r>
              <w:t>Muted dashed</w:t>
            </w:r>
          </w:p>
        </w:tc>
        <w:tc>
          <w:tcPr>
            <w:tcW w:type="dxa" w:w="3307"/>
          </w:tcPr>
          <w:p>
            <w:r>
              <w:t>Cache/derived-state invalidation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Live throughput</w:t>
            </w:r>
          </w:p>
        </w:tc>
        <w:tc>
          <w:tcPr>
            <w:tcW w:type="dxa" w:w="3307"/>
          </w:tcPr>
          <w:p>
            <w:r>
              <w:t>Line thickness / subtle directional motion</w:t>
            </w:r>
          </w:p>
        </w:tc>
        <w:tc>
          <w:tcPr>
            <w:tcW w:type="dxa" w:w="3307"/>
          </w:tcPr>
          <w:p>
            <w:r>
              <w:t>Runtime only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 w:val="true"/>
        </w:trPr>
        <w:tc>
          <w:tcPr>
            <w:tcW w:type="dxa" w:w="9922"/>
            <w:shd w:fill="F3F8FB"/>
            <w:tcBorders>
              <w:top w:val="single" w:sz="12" w:color="0995F1"/>
              <w:left w:val="single" w:sz="18" w:color="0995F1"/>
              <w:bottom w:val="single" w:sz="4" w:color="DDE7ED"/>
              <w:right w:val="single" w:sz="4" w:color="DDE7ED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A0F14"/>
              </w:rPr>
              <w:t xml:space="preserve">Runtime overlay.  </w:t>
            </w:r>
            <w:r>
              <w:rPr>
                <w:rFonts w:ascii="Inter" w:hAnsi="Inter"/>
                <w:color w:val="415463"/>
              </w:rPr>
              <w:t>Design/Compile/Runtime/History — це різні режими одного графа, а не різні діаграми. У Runtime товщина ребер може показувати throughput, node badge — p95/errors/queue depth, а motion — напрямок фактичного потоку.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Inter" w:hAnsi="Inter"/>
          <w:b w:val="0"/>
        </w:rPr>
        <w:t>7. ARC Stand</w:t>
      </w:r>
    </w:p>
    <w:p>
      <w:pPr>
        <w:spacing w:after="120"/>
      </w:pPr>
      <w:r>
        <w:rPr>
          <w:rFonts w:ascii="Inter" w:hAnsi="Inter"/>
          <w:b w:val="0"/>
        </w:rPr>
        <w:t>Stand — не dashboard, а інтерактивний стенд для запуску, спостереження, тестування, навантаження й failure injection. Головний екран Stand — Graph.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Recommended information architecture</w:t>
      </w:r>
    </w:p>
    <w:p>
      <w:pPr>
        <w:spacing w:after="120"/>
      </w:pPr>
      <w:r>
        <w:rPr>
          <w:rFonts w:ascii="Inter" w:hAnsi="Inter"/>
          <w:b/>
          <w:color w:val="0995F1"/>
          <w:sz w:val="24"/>
        </w:rPr>
        <w:t>Graph  |  Requests  |  Tests  |  Load  |  Traces  |  DB  |  Events</w:t>
      </w:r>
    </w:p>
    <w:p>
      <w:pPr>
        <w:pStyle w:val="ARCBullet"/>
      </w:pPr>
      <w:r>
        <w:rPr>
          <w:rFonts w:ascii="Inter" w:hAnsi="Inter"/>
        </w:rPr>
        <w:t>• Environment selector завжди видимий: Local / Test / Staging / Production.</w:t>
      </w:r>
    </w:p>
    <w:p>
      <w:pPr>
        <w:pStyle w:val="ARCBullet"/>
      </w:pPr>
      <w:r>
        <w:rPr>
          <w:rFonts w:ascii="Inter" w:hAnsi="Inter"/>
        </w:rPr>
        <w:t>• Design / Compile / Runtime / History — режими графа, а не окремі продукти.</w:t>
      </w:r>
    </w:p>
    <w:p>
      <w:pPr>
        <w:pStyle w:val="ARCBullet"/>
      </w:pPr>
      <w:r>
        <w:rPr>
          <w:rFonts w:ascii="Inter" w:hAnsi="Inter"/>
        </w:rPr>
        <w:t>• Клік по node відкриває inspector праворуч: contract, dependencies, runtime metrics, actions.</w:t>
      </w:r>
    </w:p>
    <w:p>
      <w:pPr>
        <w:pStyle w:val="ARCBullet"/>
      </w:pPr>
      <w:r>
        <w:rPr>
          <w:rFonts w:ascii="Inter" w:hAnsi="Inter"/>
        </w:rPr>
        <w:t>• Primary actions: Run, Test, Load Test, Trace, Mock / Failure injection.</w:t>
      </w:r>
    </w:p>
    <w:p>
      <w:pPr>
        <w:pStyle w:val="ARCBullet"/>
      </w:pPr>
      <w:r>
        <w:rPr>
          <w:rFonts w:ascii="Inter" w:hAnsi="Inter"/>
        </w:rPr>
        <w:t>• Live telemetry накладається на architecture graph, а не живе окремо у “metrics island”.</w:t>
      </w:r>
    </w:p>
    <w:p>
      <w:r>
        <w:rPr>
          <w:rFonts w:ascii="Inter" w:hAnsi="Inter"/>
        </w:rPr>
        <w:br w:type="page"/>
      </w:r>
    </w:p>
    <w:p>
      <w:pPr>
        <w:pStyle w:val="Heading2"/>
        <w:spacing w:after="120"/>
      </w:pPr>
      <w:r>
        <w:rPr>
          <w:rFonts w:ascii="Inter" w:hAnsi="Inter"/>
          <w:b w:val="0"/>
        </w:rPr>
        <w:t>Inspector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Order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Block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Contents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1</w:t>
            </w:r>
          </w:p>
        </w:tc>
        <w:tc>
          <w:tcPr>
            <w:tcW w:type="dxa" w:w="3307"/>
          </w:tcPr>
          <w:p>
            <w:r>
              <w:t>Identity</w:t>
            </w:r>
          </w:p>
        </w:tc>
        <w:tc>
          <w:tcPr>
            <w:tcW w:type="dxa" w:w="3307"/>
          </w:tcPr>
          <w:p>
            <w:r>
              <w:t>operation/resource name, route/topic, environment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2</w:t>
            </w:r>
          </w:p>
        </w:tc>
        <w:tc>
          <w:tcPr>
            <w:tcW w:type="dxa" w:w="3307"/>
          </w:tcPr>
          <w:p>
            <w:r>
              <w:t>Contract</w:t>
            </w:r>
          </w:p>
        </w:tc>
        <w:tc>
          <w:tcPr>
            <w:tcW w:type="dxa" w:w="3307"/>
          </w:tcPr>
          <w:p>
            <w:r>
              <w:t>input, output, errors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3</w:t>
            </w:r>
          </w:p>
        </w:tc>
        <w:tc>
          <w:tcPr>
            <w:tcW w:type="dxa" w:w="3307"/>
          </w:tcPr>
          <w:p>
            <w:r>
              <w:t>Dependencies</w:t>
            </w:r>
          </w:p>
        </w:tc>
        <w:tc>
          <w:tcPr>
            <w:tcW w:type="dxa" w:w="3307"/>
          </w:tcPr>
          <w:p>
            <w:r>
              <w:t>needs / calls / reads / emits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4</w:t>
            </w:r>
          </w:p>
        </w:tc>
        <w:tc>
          <w:tcPr>
            <w:tcW w:type="dxa" w:w="3307"/>
          </w:tcPr>
          <w:p>
            <w:r>
              <w:t>Runtime</w:t>
            </w:r>
          </w:p>
        </w:tc>
        <w:tc>
          <w:tcPr>
            <w:tcW w:type="dxa" w:w="3307"/>
          </w:tcPr>
          <w:p>
            <w:r>
              <w:t>rpm, p50/p95/p99, errors, saturation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5</w:t>
            </w:r>
          </w:p>
        </w:tc>
        <w:tc>
          <w:tcPr>
            <w:tcW w:type="dxa" w:w="3307"/>
          </w:tcPr>
          <w:p>
            <w:r>
              <w:t>Actions</w:t>
            </w:r>
          </w:p>
        </w:tc>
        <w:tc>
          <w:tcPr>
            <w:tcW w:type="dxa" w:w="3307"/>
          </w:tcPr>
          <w:p>
            <w:r>
              <w:t>Run / Test / Load / Trace / Inject failure</w:t>
            </w:r>
          </w:p>
        </w:tc>
      </w:tr>
    </w:tbl>
    <w:p>
      <w:pPr>
        <w:pStyle w:val="Heading1"/>
        <w:spacing w:after="120"/>
      </w:pPr>
      <w:r>
        <w:rPr>
          <w:rFonts w:ascii="Inter" w:hAnsi="Inter"/>
          <w:b w:val="0"/>
        </w:rPr>
        <w:t>8. Website &amp; documentation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Landing page direction</w:t>
      </w:r>
    </w:p>
    <w:p>
      <w:pPr>
        <w:pStyle w:val="ARCBullet"/>
      </w:pPr>
      <w:r>
        <w:rPr>
          <w:rFonts w:ascii="Inter" w:hAnsi="Inter"/>
        </w:rPr>
        <w:t>• Dark hero with primary ARC lockup, one concise value proposition and a real graph/runtime visual.</w:t>
      </w:r>
    </w:p>
    <w:p>
      <w:pPr>
        <w:pStyle w:val="ARCBullet"/>
      </w:pPr>
      <w:r>
        <w:rPr>
          <w:rFonts w:ascii="Inter" w:hAnsi="Inter"/>
        </w:rPr>
        <w:t>• Показувати product proof: execution graph, Stand, compile diagnostics, trace — раніше за довгі marketing claims.</w:t>
      </w:r>
    </w:p>
    <w:p>
      <w:pPr>
        <w:pStyle w:val="ARCBullet"/>
      </w:pPr>
      <w:r>
        <w:rPr>
          <w:rFonts w:ascii="Inter" w:hAnsi="Inter"/>
        </w:rPr>
        <w:t>• Code snippets — secondary proof, а не головний візуальний стиль бренду.</w:t>
      </w:r>
    </w:p>
    <w:p>
      <w:pPr>
        <w:pStyle w:val="ARCBullet"/>
      </w:pPr>
      <w:r>
        <w:rPr>
          <w:rFonts w:ascii="Inter" w:hAnsi="Inter"/>
        </w:rPr>
        <w:t>• Використовувати screenshots/diagrams замість stock photography.</w:t>
      </w:r>
    </w:p>
    <w:p>
      <w:pPr>
        <w:pStyle w:val="ARCBullet"/>
      </w:pPr>
      <w:r>
        <w:rPr>
          <w:rFonts w:ascii="Inter" w:hAnsi="Inter"/>
        </w:rPr>
        <w:t>• Секції можуть переходити від near-black до трохи світліших graphite surfaces; не використовувати строкаті backgrounds.</w:t>
      </w:r>
    </w:p>
    <w:p>
      <w:pPr>
        <w:pStyle w:val="Heading2"/>
        <w:spacing w:after="120"/>
      </w:pPr>
      <w:r>
        <w:rPr>
          <w:rFonts w:ascii="Inter" w:hAnsi="Inter"/>
          <w:b w:val="0"/>
        </w:rPr>
        <w:t>Documentation</w:t>
      </w:r>
    </w:p>
    <w:p>
      <w:pPr>
        <w:pStyle w:val="ARCBullet"/>
      </w:pPr>
      <w:r>
        <w:rPr>
          <w:rFonts w:ascii="Inter" w:hAnsi="Inter"/>
        </w:rPr>
        <w:t>• Світла тема допустима для довгого читання, але brand accent залишається тим самим.</w:t>
      </w:r>
    </w:p>
    <w:p>
      <w:pPr>
        <w:pStyle w:val="ARCBullet"/>
      </w:pPr>
      <w:r>
        <w:rPr>
          <w:rFonts w:ascii="Inter" w:hAnsi="Inter"/>
        </w:rPr>
        <w:t>• Code blocks — neutral dark surface, без rainbow-neon syntax theme.</w:t>
      </w:r>
    </w:p>
    <w:p>
      <w:pPr>
        <w:pStyle w:val="ARCBullet"/>
      </w:pPr>
      <w:r>
        <w:rPr>
          <w:rFonts w:ascii="Inter" w:hAnsi="Inter"/>
        </w:rPr>
        <w:t>• Diagrams повинні використовувати ті самі node/edge semantics, що і Stand.</w:t>
      </w:r>
    </w:p>
    <w:p>
      <w:pPr>
        <w:pStyle w:val="ARCBullet"/>
      </w:pPr>
      <w:r>
        <w:rPr>
          <w:rFonts w:ascii="Inter" w:hAnsi="Inter"/>
        </w:rPr>
        <w:t>• Термінологія в документації має збігатися з UI: Operation, Resource, Capability, Graph, Compile, Runtime, Stand.</w:t>
      </w:r>
    </w:p>
    <w:p>
      <w:r>
        <w:rPr>
          <w:rFonts w:ascii="Inter" w:hAnsi="Inter"/>
        </w:rPr>
        <w:br w:type="page"/>
      </w:r>
    </w:p>
    <w:p>
      <w:pPr>
        <w:pStyle w:val="Heading1"/>
        <w:spacing w:after="120"/>
      </w:pPr>
      <w:r>
        <w:rPr>
          <w:rFonts w:ascii="Inter" w:hAnsi="Inter"/>
          <w:b w:val="0"/>
        </w:rPr>
        <w:t>9. UI components &amp;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Component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Visual rule</w:t>
            </w:r>
          </w:p>
        </w:tc>
        <w:tc>
          <w:tcPr>
            <w:tcW w:type="dxa" w:w="3307"/>
            <w:shd w:fill="0A0F14"/>
          </w:tcPr>
          <w:p>
            <w:r>
              <w:rPr>
                <w:b/>
                <w:color w:val="EDF5F9"/>
              </w:rPr>
              <w:t>Use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Primary button</w:t>
            </w:r>
          </w:p>
        </w:tc>
        <w:tc>
          <w:tcPr>
            <w:tcW w:type="dxa" w:w="3307"/>
          </w:tcPr>
          <w:p>
            <w:r>
              <w:t>Arc Cyan fill, graphite text</w:t>
            </w:r>
          </w:p>
        </w:tc>
        <w:tc>
          <w:tcPr>
            <w:tcW w:type="dxa" w:w="3307"/>
          </w:tcPr>
          <w:p>
            <w:r>
              <w:t>1 per local action group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Secondary button</w:t>
            </w:r>
          </w:p>
        </w:tc>
        <w:tc>
          <w:tcPr>
            <w:tcW w:type="dxa" w:w="3307"/>
          </w:tcPr>
          <w:p>
            <w:r>
              <w:t>Surface + border + Ice text</w:t>
            </w:r>
          </w:p>
        </w:tc>
        <w:tc>
          <w:tcPr>
            <w:tcW w:type="dxa" w:w="3307"/>
          </w:tcPr>
          <w:p>
            <w:r>
              <w:t>Default secondary action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Ghost button</w:t>
            </w:r>
          </w:p>
        </w:tc>
        <w:tc>
          <w:tcPr>
            <w:tcW w:type="dxa" w:w="3307"/>
          </w:tcPr>
          <w:p>
            <w:r>
              <w:t>Transparent / text</w:t>
            </w:r>
          </w:p>
        </w:tc>
        <w:tc>
          <w:tcPr>
            <w:tcW w:type="dxa" w:w="3307"/>
          </w:tcPr>
          <w:p>
            <w:r>
              <w:t>Low-priority actions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Tabs</w:t>
            </w:r>
          </w:p>
        </w:tc>
        <w:tc>
          <w:tcPr>
            <w:tcW w:type="dxa" w:w="3307"/>
          </w:tcPr>
          <w:p>
            <w:r>
              <w:t>Muted text; active = Ice + Cyan indicator</w:t>
            </w:r>
          </w:p>
        </w:tc>
        <w:tc>
          <w:tcPr>
            <w:tcW w:type="dxa" w:w="3307"/>
          </w:tcPr>
          <w:p>
            <w:r>
              <w:t>Navigation/modes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Cards</w:t>
            </w:r>
          </w:p>
        </w:tc>
        <w:tc>
          <w:tcPr>
            <w:tcW w:type="dxa" w:w="3307"/>
          </w:tcPr>
          <w:p>
            <w:r>
              <w:t>Surface + subtle border</w:t>
            </w:r>
          </w:p>
        </w:tc>
        <w:tc>
          <w:tcPr>
            <w:tcW w:type="dxa" w:w="3307"/>
          </w:tcPr>
          <w:p>
            <w:r>
              <w:t>Use only for meaningful grouping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Status badge</w:t>
            </w:r>
          </w:p>
        </w:tc>
        <w:tc>
          <w:tcPr>
            <w:tcW w:type="dxa" w:w="3307"/>
          </w:tcPr>
          <w:p>
            <w:r>
              <w:t>Text + icon + status color</w:t>
            </w:r>
          </w:p>
        </w:tc>
        <w:tc>
          <w:tcPr>
            <w:tcW w:type="dxa" w:w="3307"/>
          </w:tcPr>
          <w:p>
            <w:r>
              <w:t>Never color-only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Input</w:t>
            </w:r>
          </w:p>
        </w:tc>
        <w:tc>
          <w:tcPr>
            <w:tcW w:type="dxa" w:w="3307"/>
          </w:tcPr>
          <w:p>
            <w:r>
              <w:t>Dark surface, clear border, cyan focus ring</w:t>
            </w:r>
          </w:p>
        </w:tc>
        <w:tc>
          <w:tcPr>
            <w:tcW w:type="dxa" w:w="3307"/>
          </w:tcPr>
          <w:p>
            <w:r>
              <w:t>Visible focus required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r>
              <w:t>Tooltip</w:t>
            </w:r>
          </w:p>
        </w:tc>
        <w:tc>
          <w:tcPr>
            <w:tcW w:type="dxa" w:w="3307"/>
          </w:tcPr>
          <w:p>
            <w:r>
              <w:t>Compact, neutral, no unnecessary animation</w:t>
            </w:r>
          </w:p>
        </w:tc>
        <w:tc>
          <w:tcPr>
            <w:tcW w:type="dxa" w:w="3307"/>
          </w:tcPr>
          <w:p>
            <w:r>
              <w:t>Explain metric/semantic</w:t>
            </w:r>
          </w:p>
        </w:tc>
      </w:tr>
    </w:tbl>
    <w:p>
      <w:pPr>
        <w:pStyle w:val="Heading2"/>
        <w:spacing w:after="120"/>
      </w:pPr>
      <w:r>
        <w:rPr>
          <w:rFonts w:ascii="Inter" w:hAnsi="Inter"/>
          <w:b w:val="0"/>
        </w:rPr>
        <w:t>Motion principles</w:t>
      </w:r>
    </w:p>
    <w:p>
      <w:pPr>
        <w:pStyle w:val="ARCBullet"/>
      </w:pPr>
      <w:r>
        <w:rPr>
          <w:rFonts w:ascii="Inter" w:hAnsi="Inter"/>
        </w:rPr>
        <w:t>• Motion пояснює стан або напрямок потоку, а не просто “оживляє” UI.</w:t>
      </w:r>
    </w:p>
    <w:p>
      <w:pPr>
        <w:pStyle w:val="ARCBullet"/>
      </w:pPr>
      <w:r>
        <w:rPr>
          <w:rFonts w:ascii="Inter" w:hAnsi="Inter"/>
        </w:rPr>
        <w:t>• Не анімувати весь граф постійно. Активний trace/flow — так; idle architecture — переважно статична.</w:t>
      </w:r>
    </w:p>
    <w:p>
      <w:pPr>
        <w:pStyle w:val="ARCBullet"/>
      </w:pPr>
      <w:r>
        <w:rPr>
          <w:rFonts w:ascii="Inter" w:hAnsi="Inter"/>
        </w:rPr>
        <w:t>• Поважати prefers-reduced-motion.</w:t>
      </w:r>
    </w:p>
    <w:p>
      <w:pPr>
        <w:pStyle w:val="ARCBullet"/>
      </w:pPr>
      <w:r>
        <w:rPr>
          <w:rFonts w:ascii="Inter" w:hAnsi="Inter"/>
        </w:rPr>
        <w:t>• Не використовувати сильні glow/pulse ефекти для нормального healthy state.</w:t>
      </w:r>
    </w:p>
    <w:p>
      <w:pPr>
        <w:pStyle w:val="Heading1"/>
        <w:spacing w:after="120"/>
      </w:pPr>
      <w:r>
        <w:rPr>
          <w:rFonts w:ascii="Inter" w:hAnsi="Inter"/>
          <w:b w:val="0"/>
        </w:rPr>
        <w:t>10. Handoff checklist</w:t>
      </w:r>
    </w:p>
    <w:p>
      <w:pPr>
        <w:spacing w:after="120"/>
      </w:pPr>
      <w:r>
        <w:rPr>
          <w:rFonts w:ascii="Inter" w:hAnsi="Inter"/>
          <w:b w:val="0"/>
        </w:rPr>
        <w:t>Перед тим як затвердити нову сторінку, Stand screen, презентацію або маркетинговий матеріал, перевірити:</w:t>
      </w:r>
    </w:p>
    <w:p>
      <w:pPr>
        <w:pStyle w:val="ARCBullet"/>
      </w:pPr>
      <w:r>
        <w:rPr>
          <w:rFonts w:ascii="Inter" w:hAnsi="Inter"/>
        </w:rPr>
        <w:t>□ Чи зрозуміла ієрархія без декоративного шуму?</w:t>
      </w:r>
    </w:p>
    <w:p>
      <w:pPr>
        <w:pStyle w:val="ARCBullet"/>
      </w:pPr>
      <w:r>
        <w:rPr>
          <w:rFonts w:ascii="Inter" w:hAnsi="Inter"/>
        </w:rPr>
        <w:t>□ Чи graphite/ice є базою, а accent використано стримано?</w:t>
      </w:r>
    </w:p>
    <w:p>
      <w:pPr>
        <w:pStyle w:val="ARCBullet"/>
      </w:pPr>
      <w:r>
        <w:rPr>
          <w:rFonts w:ascii="Inter" w:hAnsi="Inter"/>
        </w:rPr>
        <w:t>□ Чи graph semantics не змінені випадково?</w:t>
      </w:r>
    </w:p>
    <w:p>
      <w:pPr>
        <w:pStyle w:val="ARCBullet"/>
      </w:pPr>
      <w:r>
        <w:rPr>
          <w:rFonts w:ascii="Inter" w:hAnsi="Inter"/>
        </w:rPr>
        <w:t>□ Чи status передається не лише кольором?</w:t>
      </w:r>
    </w:p>
    <w:p>
      <w:pPr>
        <w:pStyle w:val="ARCBullet"/>
      </w:pPr>
      <w:r>
        <w:rPr>
          <w:rFonts w:ascii="Inter" w:hAnsi="Inter"/>
        </w:rPr>
        <w:t>□ Чи UI показує структуру й дані, а не ховає їх за “красивими” картками?</w:t>
      </w:r>
    </w:p>
    <w:p>
      <w:pPr>
        <w:pStyle w:val="ARCBullet"/>
      </w:pPr>
      <w:r>
        <w:rPr>
          <w:rFonts w:ascii="Inter" w:hAnsi="Inter"/>
        </w:rPr>
        <w:t>□ Чи typography використовує Inter / Inter Display, а monospace — лише для технічних даних?</w:t>
      </w:r>
    </w:p>
    <w:p>
      <w:pPr>
        <w:pStyle w:val="ARCBullet"/>
      </w:pPr>
      <w:r>
        <w:rPr>
          <w:rFonts w:ascii="Inter" w:hAnsi="Inter"/>
        </w:rPr>
        <w:t>□ Чи motion має функцію?</w:t>
      </w:r>
    </w:p>
    <w:p>
      <w:pPr>
        <w:pStyle w:val="ARCBullet"/>
      </w:pPr>
      <w:r>
        <w:rPr>
          <w:rFonts w:ascii="Inter" w:hAnsi="Inter"/>
        </w:rPr>
        <w:t>□ Чи логотип має достатньо clear space і не деформований?</w:t>
      </w:r>
    </w:p>
    <w:p>
      <w:pPr>
        <w:pStyle w:val="ARCBullet"/>
      </w:pPr>
      <w:r>
        <w:rPr>
          <w:rFonts w:ascii="Inter" w:hAnsi="Inter"/>
        </w:rPr>
        <w:t>□ Чи термінологія збігається з ARC architecture model?</w:t>
      </w:r>
    </w:p>
    <w:p>
      <w:pPr>
        <w:pStyle w:val="ARCBullet"/>
      </w:pPr>
      <w:r>
        <w:rPr>
          <w:rFonts w:ascii="Inter" w:hAnsi="Inter"/>
        </w:rPr>
        <w:t>□ Чи екран можна зрозуміти через 5–10 секунд без читання коду?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 w:val="true"/>
        </w:trPr>
        <w:tc>
          <w:tcPr>
            <w:tcW w:type="dxa" w:w="9922"/>
            <w:shd w:fill="F3F8FB"/>
            <w:tcBorders>
              <w:top w:val="single" w:sz="12" w:color="0995F1"/>
              <w:left w:val="single" w:sz="18" w:color="0995F1"/>
              <w:bottom w:val="single" w:sz="4" w:color="DDE7ED"/>
              <w:right w:val="single" w:sz="4" w:color="DDE7ED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A0F14"/>
              </w:rPr>
              <w:t xml:space="preserve">Versioning.  </w:t>
            </w:r>
            <w:r>
              <w:rPr>
                <w:rFonts w:ascii="Inter" w:hAnsi="Inter"/>
                <w:color w:val="415463"/>
              </w:rPr>
              <w:t>Цей документ варто вести як versioned specification: v0.1 зараз, v0.2 після першого реального Stand/UI прототипу, v1.0 — коли стабілізуються logo masters, design tokens і component library.</w:t>
            </w:r>
          </w:p>
        </w:tc>
      </w:tr>
    </w:tbl>
    <w:p>
      <w:pPr>
        <w:spacing w:after="20"/>
      </w:pPr>
    </w:p>
    <w:p>
      <w:pPr>
        <w:pStyle w:val="Heading2"/>
        <w:spacing w:after="120"/>
      </w:pPr>
      <w:r>
        <w:rPr>
          <w:rFonts w:ascii="Inter" w:hAnsi="Inter"/>
          <w:b w:val="0"/>
        </w:rPr>
        <w:t>Recommended next artifact</w:t>
      </w:r>
    </w:p>
    <w:p>
      <w:pPr>
        <w:spacing w:after="120"/>
      </w:pPr>
      <w:r>
        <w:rPr>
          <w:rFonts w:ascii="Inter" w:hAnsi="Inter"/>
          <w:b w:val="0"/>
        </w:rPr>
        <w:t>Після цього style guide логічний наступний документ — “ARC Design System”: машинно-читні design tokens + готові компоненти (Button, Panel, Inspector, Graph Node, Metric, Trace Row, Status Badge) у коді. Style Guide відповідає “як має виглядати і чому”, Design System — “як це реалізовано і повторно використовується”.</w:t>
      </w:r>
    </w:p>
    <w:p>
      <w:pPr>
        <w:spacing w:before="360"/>
        <w:jc w:val="center"/>
      </w:pPr>
      <w:r>
        <w:rPr>
          <w:rFonts w:ascii="Inter" w:hAnsi="Inter"/>
        </w:rPr>
        <w:drawing>
          <wp:inline xmlns:a="http://schemas.openxmlformats.org/drawingml/2006/main" xmlns:pic="http://schemas.openxmlformats.org/drawingml/2006/picture">
            <wp:extent cx="6192000" cy="2399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next_artif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99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1906" w:h="16838"/>
      <w:pgMar w:top="907" w:right="992" w:bottom="907" w:left="992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8EA3B4"/>
        <w:sz w:val="16"/>
      </w:rPr>
      <w:t xml:space="preserve">ARC  •  v0.1   | 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nter" w:hAnsi="Inter"/>
        <w:color w:val="8EA3B4"/>
        <w:sz w:val="16"/>
      </w:rPr>
      <w:t>ARC / BRAND &amp; UI STYLE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nter" w:hAnsi="Inter"/>
      <w:color w:val="25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A0F1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0995F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0A0F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0A0F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Bullet">
    <w:name w:val="ARC Bullet"/>
    <w:basedOn w:val="Normal"/>
    <w:pPr>
      <w:spacing w:after="80"/>
      <w:ind w:left="312" w:hanging="170"/>
    </w:pPr>
  </w:style>
  <w:style w:type="paragraph" w:customStyle="1" w:styleId="ARCBullet2">
    <w:name w:val="ARC Bullet 2"/>
    <w:basedOn w:val="Normal"/>
    <w:pPr>
      <w:spacing w:after="60"/>
      <w:ind w:left="567" w:hanging="14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Brand &amp; UI Style Guide v0.1</dc:title>
  <dc:subject>Visual identity, UI, graph language and Stand conventions for ARC framework</dc:subject>
  <dc:creator>ARC</dc:creator>
  <cp:keywords>ARC, brand guide, UI, style guide, graph, Stand, Node.js framework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