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F0A" w:rsidRPr="000775CF" w:rsidRDefault="00ED2800" w:rsidP="00594EE7">
      <w:pPr>
        <w:tabs>
          <w:tab w:val="left" w:pos="2880"/>
        </w:tabs>
        <w:spacing w:line="240" w:lineRule="auto"/>
        <w:rPr>
          <w:b/>
          <w:bCs w:val="0"/>
          <w:color w:val="404040" w:themeColor="text1" w:themeTint="BF"/>
          <w:sz w:val="28"/>
          <w:szCs w:val="28"/>
        </w:rPr>
      </w:pPr>
      <w:r w:rsidRPr="000775CF">
        <w:rPr>
          <w:color w:val="404040" w:themeColor="text1" w:themeTint="BF"/>
          <w:sz w:val="28"/>
          <w:szCs w:val="28"/>
        </w:rPr>
        <w:t>JPMorgan Chase Financial Company LLC</w:t>
      </w:r>
      <w:r w:rsidR="00750F0A" w:rsidRPr="000775CF">
        <w:rPr>
          <w:color w:val="404040" w:themeColor="text1" w:themeTint="BF"/>
          <w:sz w:val="28"/>
          <w:szCs w:val="28"/>
        </w:rPr>
        <w:br/>
        <w:t>Structured Investments</w:t>
      </w:r>
    </w:p>
    <w:p w:rsidR="00921A56" w:rsidRDefault="00921A56" w:rsidP="006539AC">
      <w:pPr>
        <w:spacing w:before="120" w:after="120" w:line="240" w:lineRule="auto"/>
        <w:rPr>
          <w:bCs w:val="0"/>
          <w:color w:val="54301A"/>
          <w:sz w:val="38"/>
          <w:szCs w:val="38"/>
        </w:rPr>
      </w:pPr>
      <w:r>
        <w:rPr>
          <w:bCs w:val="0"/>
          <w:color w:val="54301A"/>
          <w:sz w:val="38"/>
          <w:szCs w:val="38"/>
        </w:rPr>
        <w:t xml:space="preserve">Auto Callable </w:t>
      </w:r>
      <w:r w:rsidRPr="005E7B24">
        <w:rPr>
          <w:bCs w:val="0"/>
          <w:color w:val="54301A"/>
          <w:sz w:val="38"/>
          <w:szCs w:val="38"/>
        </w:rPr>
        <w:t xml:space="preserve">Contingent </w:t>
      </w:r>
      <w:r>
        <w:rPr>
          <w:bCs w:val="0"/>
          <w:color w:val="54301A"/>
          <w:sz w:val="38"/>
          <w:szCs w:val="38"/>
        </w:rPr>
        <w:t>Interest Notes</w:t>
      </w:r>
      <w:r w:rsidRPr="005E7B24">
        <w:rPr>
          <w:bCs w:val="0"/>
          <w:color w:val="54301A"/>
          <w:sz w:val="38"/>
          <w:szCs w:val="38"/>
        </w:rPr>
        <w:t xml:space="preserve"> Linked to </w:t>
      </w:r>
      <w:r>
        <w:rPr>
          <w:bCs w:val="0"/>
          <w:color w:val="54301A"/>
          <w:sz w:val="38"/>
          <w:szCs w:val="38"/>
        </w:rPr>
        <w:t xml:space="preserve">the </w:t>
      </w:r>
      <w:r w:rsidR="00532289">
        <w:rPr>
          <w:bCs w:val="0"/>
          <w:color w:val="54301A"/>
          <w:sz w:val="38"/>
          <w:szCs w:val="38"/>
        </w:rPr>
        <w:t>S&amp;P 500</w:t>
      </w:r>
      <w:r w:rsidR="00532289">
        <w:rPr>
          <w:bCs w:val="0"/>
          <w:color w:val="54301A"/>
          <w:sz w:val="38"/>
          <w:szCs w:val="38"/>
          <w:vertAlign w:val="superscript"/>
        </w:rPr>
        <w:t>®</w:t>
      </w:r>
      <w:r w:rsidR="00532289">
        <w:rPr>
          <w:bCs w:val="0"/>
          <w:color w:val="54301A"/>
          <w:sz w:val="38"/>
          <w:szCs w:val="38"/>
        </w:rPr>
        <w:t xml:space="preserve"> Index</w:t>
      </w:r>
      <w:r w:rsidRPr="005E7B24">
        <w:rPr>
          <w:bCs w:val="0"/>
          <w:color w:val="54301A"/>
          <w:sz w:val="38"/>
          <w:szCs w:val="38"/>
        </w:rPr>
        <w:t xml:space="preserve"> due </w:t>
      </w:r>
      <w:r w:rsidR="008E7C15">
        <w:rPr>
          <w:bCs w:val="0"/>
          <w:color w:val="54301A"/>
          <w:sz w:val="38"/>
          <w:szCs w:val="38"/>
        </w:rPr>
        <w:t>December 29, 2023</w:t>
      </w:r>
    </w:p>
    <w:p w:rsidR="00ED2800" w:rsidRPr="00ED2800" w:rsidRDefault="00ED2800" w:rsidP="00A23F40">
      <w:pPr>
        <w:spacing w:before="120" w:after="120" w:line="240" w:lineRule="auto"/>
        <w:rPr>
          <w:color w:val="54301A"/>
          <w:sz w:val="28"/>
          <w:szCs w:val="28"/>
        </w:rPr>
      </w:pPr>
      <w:r>
        <w:rPr>
          <w:bCs w:val="0"/>
          <w:color w:val="54301A"/>
          <w:sz w:val="28"/>
          <w:szCs w:val="28"/>
        </w:rPr>
        <w:t>Fully and Unconditionally G</w:t>
      </w:r>
      <w:r w:rsidRPr="00490117">
        <w:rPr>
          <w:bCs w:val="0"/>
          <w:color w:val="54301A"/>
          <w:sz w:val="28"/>
          <w:szCs w:val="28"/>
        </w:rPr>
        <w:t>uaranteed by JPMorgan Chase &amp; Co.</w:t>
      </w:r>
    </w:p>
    <w:p w:rsidR="00005672" w:rsidRPr="004969C7" w:rsidRDefault="005E7B24" w:rsidP="00532289">
      <w:pPr>
        <w:numPr>
          <w:ilvl w:val="0"/>
          <w:numId w:val="1"/>
        </w:numPr>
        <w:spacing w:before="120" w:after="120" w:line="240" w:lineRule="auto"/>
        <w:rPr>
          <w:color w:val="262626" w:themeColor="text1" w:themeTint="D9"/>
        </w:rPr>
      </w:pPr>
      <w:r w:rsidRPr="009C5FD7">
        <w:rPr>
          <w:color w:val="262626" w:themeColor="text1" w:themeTint="D9"/>
        </w:rPr>
        <w:t xml:space="preserve">The </w:t>
      </w:r>
      <w:r w:rsidR="001C1A8B" w:rsidRPr="009C5FD7">
        <w:rPr>
          <w:color w:val="262626" w:themeColor="text1" w:themeTint="D9"/>
        </w:rPr>
        <w:t>notes</w:t>
      </w:r>
      <w:r w:rsidRPr="009C5FD7">
        <w:rPr>
          <w:color w:val="262626" w:themeColor="text1" w:themeTint="D9"/>
        </w:rPr>
        <w:t xml:space="preserve"> are designed for investors who seek a Contingent Interest Payment with respect to each </w:t>
      </w:r>
      <w:r w:rsidR="00593BC3" w:rsidRPr="00593BC3">
        <w:rPr>
          <w:color w:val="262626" w:themeColor="text1" w:themeTint="D9"/>
        </w:rPr>
        <w:t>Review</w:t>
      </w:r>
      <w:r w:rsidR="001C1A8B" w:rsidRPr="009C5FD7">
        <w:rPr>
          <w:color w:val="262626" w:themeColor="text1" w:themeTint="D9"/>
        </w:rPr>
        <w:t xml:space="preserve"> Date</w:t>
      </w:r>
      <w:r w:rsidRPr="009C5FD7">
        <w:rPr>
          <w:color w:val="262626" w:themeColor="text1" w:themeTint="D9"/>
        </w:rPr>
        <w:t xml:space="preserve"> for which the </w:t>
      </w:r>
      <w:r w:rsidR="00593BC3" w:rsidRPr="00593BC3">
        <w:rPr>
          <w:color w:val="262626" w:themeColor="text1" w:themeTint="D9"/>
        </w:rPr>
        <w:t>closing level of the</w:t>
      </w:r>
      <w:r w:rsidR="00E644F1">
        <w:rPr>
          <w:color w:val="262626" w:themeColor="text1" w:themeTint="D9"/>
        </w:rPr>
        <w:t xml:space="preserve"> </w:t>
      </w:r>
      <w:r w:rsidR="00532289">
        <w:rPr>
          <w:color w:val="262626" w:themeColor="text1" w:themeTint="D9"/>
        </w:rPr>
        <w:t>S&amp;P 500</w:t>
      </w:r>
      <w:r w:rsidR="00532289">
        <w:rPr>
          <w:color w:val="262626" w:themeColor="text1" w:themeTint="D9"/>
          <w:vertAlign w:val="superscript"/>
        </w:rPr>
        <w:t>®</w:t>
      </w:r>
      <w:r w:rsidR="00532289">
        <w:rPr>
          <w:color w:val="262626" w:themeColor="text1" w:themeTint="D9"/>
        </w:rPr>
        <w:t xml:space="preserve"> Index</w:t>
      </w:r>
      <w:r w:rsidRPr="009C5FD7">
        <w:rPr>
          <w:color w:val="262626" w:themeColor="text1" w:themeTint="D9"/>
        </w:rPr>
        <w:t xml:space="preserve"> is greater than or equal to </w:t>
      </w:r>
      <w:r w:rsidR="008E7C15">
        <w:rPr>
          <w:color w:val="262626" w:themeColor="text1" w:themeTint="D9"/>
        </w:rPr>
        <w:t>80.00</w:t>
      </w:r>
      <w:r w:rsidR="00593BC3" w:rsidRPr="00593BC3">
        <w:rPr>
          <w:color w:val="262626" w:themeColor="text1" w:themeTint="D9"/>
        </w:rPr>
        <w:t>%</w:t>
      </w:r>
      <w:r w:rsidR="00A02F07" w:rsidRPr="009C5FD7">
        <w:rPr>
          <w:color w:val="262626" w:themeColor="text1" w:themeTint="D9"/>
        </w:rPr>
        <w:t xml:space="preserve"> </w:t>
      </w:r>
      <w:r w:rsidR="009951B6" w:rsidRPr="009C5FD7">
        <w:rPr>
          <w:color w:val="262626" w:themeColor="text1" w:themeTint="D9"/>
        </w:rPr>
        <w:t>of the</w:t>
      </w:r>
      <w:r w:rsidRPr="009C5FD7">
        <w:rPr>
          <w:color w:val="262626" w:themeColor="text1" w:themeTint="D9"/>
        </w:rPr>
        <w:t xml:space="preserve"> </w:t>
      </w:r>
      <w:r w:rsidR="00593BC3" w:rsidRPr="00593BC3">
        <w:rPr>
          <w:color w:val="262626" w:themeColor="text1" w:themeTint="D9"/>
        </w:rPr>
        <w:t>Initial Value</w:t>
      </w:r>
      <w:r w:rsidR="00EB24B3" w:rsidRPr="009C5FD7">
        <w:rPr>
          <w:color w:val="262626" w:themeColor="text1" w:themeTint="D9"/>
        </w:rPr>
        <w:t xml:space="preserve">, which we refer to as </w:t>
      </w:r>
      <w:r w:rsidR="009951B6" w:rsidRPr="009C5FD7">
        <w:rPr>
          <w:color w:val="262626" w:themeColor="text1" w:themeTint="D9"/>
        </w:rPr>
        <w:t xml:space="preserve">the </w:t>
      </w:r>
      <w:r w:rsidR="00B95D6B" w:rsidRPr="009C5FD7">
        <w:rPr>
          <w:color w:val="262626" w:themeColor="text1" w:themeTint="D9"/>
        </w:rPr>
        <w:t>Interest Barrier</w:t>
      </w:r>
      <w:r w:rsidR="00422B5A">
        <w:rPr>
          <w:color w:val="262626" w:themeColor="text1" w:themeTint="D9"/>
        </w:rPr>
        <w:t xml:space="preserve">.  </w:t>
      </w:r>
    </w:p>
    <w:p w:rsidR="008736B2" w:rsidRPr="00F021B2" w:rsidRDefault="005E7B24" w:rsidP="00BC2241">
      <w:pPr>
        <w:numPr>
          <w:ilvl w:val="0"/>
          <w:numId w:val="1"/>
        </w:numPr>
        <w:spacing w:before="120" w:after="120"/>
        <w:rPr>
          <w:color w:val="262626" w:themeColor="text1" w:themeTint="D9"/>
        </w:rPr>
      </w:pPr>
      <w:r w:rsidRPr="00F021B2">
        <w:rPr>
          <w:color w:val="262626" w:themeColor="text1" w:themeTint="D9"/>
        </w:rPr>
        <w:t xml:space="preserve">The </w:t>
      </w:r>
      <w:r w:rsidR="001C1A8B" w:rsidRPr="00F021B2">
        <w:rPr>
          <w:color w:val="262626" w:themeColor="text1" w:themeTint="D9"/>
        </w:rPr>
        <w:t>notes</w:t>
      </w:r>
      <w:r w:rsidR="00882502" w:rsidRPr="00F021B2">
        <w:rPr>
          <w:color w:val="262626" w:themeColor="text1" w:themeTint="D9"/>
        </w:rPr>
        <w:t xml:space="preserve"> will be automatically called if the </w:t>
      </w:r>
      <w:r w:rsidR="00593BC3" w:rsidRPr="00593BC3">
        <w:rPr>
          <w:bCs w:val="0"/>
          <w:color w:val="262626" w:themeColor="text1" w:themeTint="D9"/>
        </w:rPr>
        <w:t>closing level of the Index</w:t>
      </w:r>
      <w:r w:rsidR="00882502" w:rsidRPr="00F021B2">
        <w:rPr>
          <w:color w:val="262626" w:themeColor="text1" w:themeTint="D9"/>
        </w:rPr>
        <w:t xml:space="preserve"> on any </w:t>
      </w:r>
      <w:r w:rsidR="00593BC3" w:rsidRPr="00593BC3">
        <w:rPr>
          <w:color w:val="262626" w:themeColor="text1" w:themeTint="D9"/>
        </w:rPr>
        <w:t>Review</w:t>
      </w:r>
      <w:r w:rsidR="00BA300F" w:rsidRPr="00F021B2">
        <w:rPr>
          <w:color w:val="262626" w:themeColor="text1" w:themeTint="D9"/>
        </w:rPr>
        <w:t xml:space="preserve"> </w:t>
      </w:r>
      <w:r w:rsidR="00593BC3" w:rsidRPr="00593BC3">
        <w:rPr>
          <w:color w:val="262626" w:themeColor="text1" w:themeTint="D9"/>
        </w:rPr>
        <w:t xml:space="preserve">Date (other than </w:t>
      </w:r>
      <w:r w:rsidR="0027398F">
        <w:rPr>
          <w:color w:val="262626" w:themeColor="text1" w:themeTint="D9"/>
        </w:rPr>
        <w:t xml:space="preserve">the </w:t>
      </w:r>
      <w:r w:rsidR="00BC2241">
        <w:rPr>
          <w:color w:val="262626" w:themeColor="text1" w:themeTint="D9"/>
        </w:rPr>
        <w:t>first through fifth and</w:t>
      </w:r>
      <w:r w:rsidR="0027398F">
        <w:rPr>
          <w:color w:val="262626" w:themeColor="text1" w:themeTint="D9"/>
        </w:rPr>
        <w:t xml:space="preserve"> final Review Dates</w:t>
      </w:r>
      <w:r w:rsidR="00593BC3" w:rsidRPr="00593BC3">
        <w:rPr>
          <w:color w:val="262626" w:themeColor="text1" w:themeTint="D9"/>
        </w:rPr>
        <w:t>)</w:t>
      </w:r>
      <w:r w:rsidR="00882502" w:rsidRPr="00F021B2">
        <w:rPr>
          <w:color w:val="262626" w:themeColor="text1" w:themeTint="D9"/>
        </w:rPr>
        <w:t xml:space="preserve"> </w:t>
      </w:r>
      <w:r w:rsidR="00BA300F" w:rsidRPr="00F021B2">
        <w:rPr>
          <w:color w:val="262626" w:themeColor="text1" w:themeTint="D9"/>
        </w:rPr>
        <w:t xml:space="preserve">is greater than or equal to the </w:t>
      </w:r>
      <w:r w:rsidR="00593BC3" w:rsidRPr="00593BC3">
        <w:rPr>
          <w:bCs w:val="0"/>
          <w:color w:val="262626" w:themeColor="text1" w:themeTint="D9"/>
        </w:rPr>
        <w:t>Initial Value</w:t>
      </w:r>
      <w:r w:rsidR="00422B5A" w:rsidRPr="00F021B2">
        <w:rPr>
          <w:color w:val="262626" w:themeColor="text1" w:themeTint="D9"/>
        </w:rPr>
        <w:t>.</w:t>
      </w:r>
      <w:r w:rsidR="00422B5A">
        <w:rPr>
          <w:color w:val="262626" w:themeColor="text1" w:themeTint="D9"/>
        </w:rPr>
        <w:t xml:space="preserve">  </w:t>
      </w:r>
    </w:p>
    <w:p w:rsidR="00C153AB" w:rsidRPr="009C5FD7" w:rsidRDefault="00C153AB" w:rsidP="0015643B">
      <w:pPr>
        <w:numPr>
          <w:ilvl w:val="0"/>
          <w:numId w:val="1"/>
        </w:numPr>
        <w:spacing w:before="120" w:after="120"/>
        <w:rPr>
          <w:color w:val="262626" w:themeColor="text1" w:themeTint="D9"/>
        </w:rPr>
      </w:pPr>
      <w:r>
        <w:rPr>
          <w:color w:val="262626" w:themeColor="text1" w:themeTint="D9"/>
        </w:rPr>
        <w:t xml:space="preserve">The earliest date on which an automatic call may be initiated is </w:t>
      </w:r>
      <w:r w:rsidR="0015643B">
        <w:rPr>
          <w:color w:val="262626" w:themeColor="text1" w:themeTint="D9"/>
        </w:rPr>
        <w:t>December 2</w:t>
      </w:r>
      <w:r w:rsidR="008E7C15">
        <w:rPr>
          <w:color w:val="262626" w:themeColor="text1" w:themeTint="D9"/>
        </w:rPr>
        <w:t>3</w:t>
      </w:r>
      <w:r w:rsidR="00CE0F79">
        <w:rPr>
          <w:color w:val="262626" w:themeColor="text1" w:themeTint="D9"/>
        </w:rPr>
        <w:t>, 2022</w:t>
      </w:r>
      <w:r>
        <w:rPr>
          <w:color w:val="262626" w:themeColor="text1" w:themeTint="D9"/>
        </w:rPr>
        <w:t>.</w:t>
      </w:r>
    </w:p>
    <w:p w:rsidR="00005672" w:rsidRPr="00352E75" w:rsidRDefault="00005672" w:rsidP="000D39B9">
      <w:pPr>
        <w:numPr>
          <w:ilvl w:val="0"/>
          <w:numId w:val="1"/>
        </w:numPr>
        <w:spacing w:before="120" w:after="120" w:line="240" w:lineRule="auto"/>
        <w:rPr>
          <w:color w:val="262626" w:themeColor="text1" w:themeTint="D9"/>
        </w:rPr>
      </w:pPr>
      <w:r w:rsidRPr="00352E75">
        <w:rPr>
          <w:color w:val="262626" w:themeColor="text1" w:themeTint="D9"/>
        </w:rPr>
        <w:t>Investors should</w:t>
      </w:r>
      <w:r w:rsidR="009951B6" w:rsidRPr="00352E75">
        <w:rPr>
          <w:color w:val="262626" w:themeColor="text1" w:themeTint="D9"/>
        </w:rPr>
        <w:t xml:space="preserve"> </w:t>
      </w:r>
      <w:r w:rsidRPr="00352E75">
        <w:rPr>
          <w:color w:val="262626" w:themeColor="text1" w:themeTint="D9"/>
        </w:rPr>
        <w:t xml:space="preserve">be willing to accept the risk of losing </w:t>
      </w:r>
      <w:r w:rsidR="000D39B9" w:rsidRPr="000D39B9">
        <w:rPr>
          <w:bCs w:val="0"/>
          <w:color w:val="262626" w:themeColor="text1" w:themeTint="D9"/>
        </w:rPr>
        <w:t xml:space="preserve">up to </w:t>
      </w:r>
      <w:r w:rsidR="008E7C15">
        <w:rPr>
          <w:bCs w:val="0"/>
          <w:color w:val="262626" w:themeColor="text1" w:themeTint="D9"/>
        </w:rPr>
        <w:t>80.00</w:t>
      </w:r>
      <w:r w:rsidR="000D39B9" w:rsidRPr="000D39B9">
        <w:rPr>
          <w:bCs w:val="0"/>
          <w:color w:val="262626" w:themeColor="text1" w:themeTint="D9"/>
        </w:rPr>
        <w:t>%</w:t>
      </w:r>
      <w:r w:rsidRPr="00352E75">
        <w:rPr>
          <w:color w:val="262626" w:themeColor="text1" w:themeTint="D9"/>
        </w:rPr>
        <w:t xml:space="preserve"> of their principal and the risk that no Contingent Interest Payment may be made with respect to some or all </w:t>
      </w:r>
      <w:r w:rsidR="00593BC3" w:rsidRPr="00593BC3">
        <w:rPr>
          <w:bCs w:val="0"/>
          <w:color w:val="262626" w:themeColor="text1" w:themeTint="D9"/>
        </w:rPr>
        <w:t>Review</w:t>
      </w:r>
      <w:r w:rsidR="001C1A8B" w:rsidRPr="00352E75">
        <w:rPr>
          <w:color w:val="262626" w:themeColor="text1" w:themeTint="D9"/>
        </w:rPr>
        <w:t xml:space="preserve"> Date</w:t>
      </w:r>
      <w:r w:rsidRPr="00352E75">
        <w:rPr>
          <w:color w:val="262626" w:themeColor="text1" w:themeTint="D9"/>
        </w:rPr>
        <w:t>s.</w:t>
      </w:r>
    </w:p>
    <w:p w:rsidR="00005672" w:rsidRDefault="00005672" w:rsidP="00A23F40">
      <w:pPr>
        <w:numPr>
          <w:ilvl w:val="0"/>
          <w:numId w:val="1"/>
        </w:numPr>
        <w:spacing w:before="120" w:after="120" w:line="240" w:lineRule="auto"/>
        <w:rPr>
          <w:color w:val="262626" w:themeColor="text1" w:themeTint="D9"/>
        </w:rPr>
      </w:pPr>
      <w:r w:rsidRPr="00005672">
        <w:rPr>
          <w:color w:val="262626" w:themeColor="text1" w:themeTint="D9"/>
        </w:rPr>
        <w:t>Investors should also be willing to forgo fixed interest and dividend payments, in exchange for the opportunity to receive Contingent Interest Payments.</w:t>
      </w:r>
    </w:p>
    <w:p w:rsidR="00ED2800" w:rsidRPr="0051283C" w:rsidRDefault="00ED2800" w:rsidP="00A23F40">
      <w:pPr>
        <w:numPr>
          <w:ilvl w:val="0"/>
          <w:numId w:val="1"/>
        </w:numPr>
        <w:spacing w:before="0" w:line="240" w:lineRule="auto"/>
        <w:rPr>
          <w:color w:val="262626" w:themeColor="text1" w:themeTint="D9"/>
        </w:rPr>
      </w:pPr>
      <w:r w:rsidRPr="00606C66">
        <w:rPr>
          <w:color w:val="262626" w:themeColor="text1" w:themeTint="D9"/>
        </w:rPr>
        <w:t>The notes are unsecured and unsubordinated obligations of</w:t>
      </w:r>
      <w:r>
        <w:rPr>
          <w:color w:val="262626" w:themeColor="text1" w:themeTint="D9"/>
        </w:rPr>
        <w:t xml:space="preserve"> </w:t>
      </w:r>
      <w:r w:rsidRPr="007B32FA">
        <w:rPr>
          <w:color w:val="262626" w:themeColor="text1" w:themeTint="D9"/>
        </w:rPr>
        <w:t>JPMorgan Chase Financial Company LLC, which we refer to as JPMorgan Financial, the payment on which is fully and unconditionally guaranteed by</w:t>
      </w:r>
      <w:r w:rsidRPr="00606C66">
        <w:rPr>
          <w:color w:val="262626" w:themeColor="text1" w:themeTint="D9"/>
        </w:rPr>
        <w:t xml:space="preserve"> JPMorgan Chase &amp; </w:t>
      </w:r>
      <w:r w:rsidR="00422B5A">
        <w:rPr>
          <w:color w:val="262626" w:themeColor="text1" w:themeTint="D9"/>
        </w:rPr>
        <w:t xml:space="preserve">Co. </w:t>
      </w:r>
      <w:r w:rsidRPr="00606C66">
        <w:rPr>
          <w:b/>
          <w:bCs w:val="0"/>
          <w:color w:val="262626" w:themeColor="text1" w:themeTint="D9"/>
        </w:rPr>
        <w:t>Any payment on the notes is subject to the credit risk of JPMorgan</w:t>
      </w:r>
      <w:r>
        <w:rPr>
          <w:b/>
          <w:bCs w:val="0"/>
          <w:color w:val="262626" w:themeColor="text1" w:themeTint="D9"/>
        </w:rPr>
        <w:t xml:space="preserve"> </w:t>
      </w:r>
      <w:r w:rsidRPr="007B32FA">
        <w:rPr>
          <w:b/>
          <w:bCs w:val="0"/>
          <w:color w:val="262626" w:themeColor="text1" w:themeTint="D9"/>
        </w:rPr>
        <w:t>Financial, as issuer of the notes, and the credit risk of JPMorgan</w:t>
      </w:r>
      <w:r w:rsidRPr="00606C66">
        <w:rPr>
          <w:b/>
          <w:bCs w:val="0"/>
          <w:color w:val="262626" w:themeColor="text1" w:themeTint="D9"/>
        </w:rPr>
        <w:t xml:space="preserve"> Chase &amp; Co.</w:t>
      </w:r>
      <w:r>
        <w:rPr>
          <w:b/>
          <w:bCs w:val="0"/>
          <w:color w:val="262626" w:themeColor="text1" w:themeTint="D9"/>
        </w:rPr>
        <w:t>, as guarantor of the notes.</w:t>
      </w:r>
    </w:p>
    <w:p w:rsidR="00750F0A" w:rsidRDefault="00750F0A" w:rsidP="00A23F40">
      <w:pPr>
        <w:numPr>
          <w:ilvl w:val="0"/>
          <w:numId w:val="1"/>
        </w:numPr>
        <w:spacing w:before="0" w:after="120" w:line="240" w:lineRule="auto"/>
        <w:rPr>
          <w:color w:val="262626" w:themeColor="text1" w:themeTint="D9"/>
        </w:rPr>
      </w:pPr>
      <w:r w:rsidRPr="0051283C">
        <w:rPr>
          <w:color w:val="262626" w:themeColor="text1" w:themeTint="D9"/>
        </w:rPr>
        <w:t xml:space="preserve">Minimum denominations of </w:t>
      </w:r>
      <w:r w:rsidR="00544600" w:rsidRPr="00544600">
        <w:rPr>
          <w:color w:val="262626" w:themeColor="text1" w:themeTint="D9"/>
        </w:rPr>
        <w:t>$1,000 and integral multiples</w:t>
      </w:r>
      <w:r>
        <w:rPr>
          <w:color w:val="262626" w:themeColor="text1" w:themeTint="D9"/>
        </w:rPr>
        <w:t xml:space="preserve"> </w:t>
      </w:r>
      <w:r w:rsidRPr="0051283C">
        <w:rPr>
          <w:color w:val="262626" w:themeColor="text1" w:themeTint="D9"/>
        </w:rPr>
        <w:t>thereof</w:t>
      </w:r>
    </w:p>
    <w:p w:rsidR="00A77359" w:rsidRDefault="004F0FC7" w:rsidP="00AB52B4">
      <w:pPr>
        <w:numPr>
          <w:ilvl w:val="0"/>
          <w:numId w:val="1"/>
        </w:numPr>
        <w:spacing w:before="0" w:after="120" w:line="240" w:lineRule="auto"/>
        <w:rPr>
          <w:color w:val="262626" w:themeColor="text1" w:themeTint="D9"/>
        </w:rPr>
      </w:pPr>
      <w:r>
        <w:rPr>
          <w:color w:val="262626" w:themeColor="text1" w:themeTint="D9"/>
        </w:rPr>
        <w:t xml:space="preserve">The </w:t>
      </w:r>
      <w:r w:rsidR="001C1A8B">
        <w:rPr>
          <w:color w:val="262626" w:themeColor="text1" w:themeTint="D9"/>
        </w:rPr>
        <w:t>notes</w:t>
      </w:r>
      <w:r>
        <w:rPr>
          <w:color w:val="262626" w:themeColor="text1" w:themeTint="D9"/>
        </w:rPr>
        <w:t xml:space="preserve"> are expected </w:t>
      </w:r>
      <w:r w:rsidR="00A77359">
        <w:rPr>
          <w:color w:val="262626" w:themeColor="text1" w:themeTint="D9"/>
        </w:rPr>
        <w:t xml:space="preserve">to price on or about </w:t>
      </w:r>
      <w:r w:rsidR="008E7C15">
        <w:rPr>
          <w:color w:val="262626" w:themeColor="text1" w:themeTint="D9"/>
        </w:rPr>
        <w:t>June 23, 2022</w:t>
      </w:r>
      <w:r w:rsidR="00A77359">
        <w:rPr>
          <w:color w:val="262626" w:themeColor="text1" w:themeTint="D9"/>
        </w:rPr>
        <w:t xml:space="preserve"> and are expected to settle on or about</w:t>
      </w:r>
      <w:r w:rsidR="00B715F3">
        <w:rPr>
          <w:color w:val="262626" w:themeColor="text1" w:themeTint="D9"/>
        </w:rPr>
        <w:t xml:space="preserve"> </w:t>
      </w:r>
      <w:r w:rsidR="008E7C15">
        <w:rPr>
          <w:color w:val="262626" w:themeColor="text1" w:themeTint="D9"/>
        </w:rPr>
        <w:t>June 28, 2022</w:t>
      </w:r>
      <w:r w:rsidR="00593BC3" w:rsidRPr="00593BC3">
        <w:rPr>
          <w:color w:val="262626" w:themeColor="text1" w:themeTint="D9"/>
        </w:rPr>
        <w:t>.</w:t>
      </w:r>
    </w:p>
    <w:p w:rsidR="003E7C40" w:rsidRPr="00594EE7" w:rsidRDefault="00A77359" w:rsidP="00EB5AA6">
      <w:pPr>
        <w:numPr>
          <w:ilvl w:val="0"/>
          <w:numId w:val="1"/>
        </w:numPr>
        <w:spacing w:before="0" w:line="240" w:lineRule="auto"/>
        <w:rPr>
          <w:bCs w:val="0"/>
          <w:color w:val="262626" w:themeColor="text1" w:themeTint="D9"/>
        </w:rPr>
      </w:pPr>
      <w:r>
        <w:rPr>
          <w:color w:val="262626" w:themeColor="text1" w:themeTint="D9"/>
        </w:rPr>
        <w:t xml:space="preserve">CUSIP: </w:t>
      </w:r>
      <w:r w:rsidR="00EB5AA6" w:rsidRPr="00EB5AA6">
        <w:rPr>
          <w:color w:val="262626" w:themeColor="text1" w:themeTint="D9"/>
        </w:rPr>
        <w:t>48133GG72</w:t>
      </w:r>
    </w:p>
    <w:p w:rsidR="00796B5F" w:rsidRPr="005258C4" w:rsidRDefault="00796B5F" w:rsidP="00594EE7">
      <w:pPr>
        <w:pStyle w:val="body8pt"/>
        <w:spacing w:before="300" w:line="240" w:lineRule="auto"/>
        <w:ind w:left="0" w:right="0"/>
        <w:rPr>
          <w:b/>
          <w:bCs w:val="0"/>
          <w:sz w:val="18"/>
          <w:szCs w:val="18"/>
        </w:rPr>
      </w:pPr>
      <w:r w:rsidRPr="005258C4">
        <w:rPr>
          <w:b/>
          <w:bCs w:val="0"/>
          <w:sz w:val="18"/>
          <w:szCs w:val="18"/>
        </w:rPr>
        <w:t xml:space="preserve">Investing in the </w:t>
      </w:r>
      <w:r w:rsidR="001C1A8B">
        <w:rPr>
          <w:b/>
          <w:bCs w:val="0"/>
          <w:sz w:val="18"/>
          <w:szCs w:val="18"/>
        </w:rPr>
        <w:t>notes</w:t>
      </w:r>
      <w:r w:rsidRPr="005258C4">
        <w:rPr>
          <w:b/>
          <w:bCs w:val="0"/>
          <w:sz w:val="18"/>
          <w:szCs w:val="18"/>
        </w:rPr>
        <w:t xml:space="preserve"> involves a number of risks</w:t>
      </w:r>
      <w:r w:rsidR="00422B5A" w:rsidRPr="005258C4">
        <w:rPr>
          <w:b/>
          <w:bCs w:val="0"/>
          <w:sz w:val="18"/>
          <w:szCs w:val="18"/>
        </w:rPr>
        <w:t>.</w:t>
      </w:r>
      <w:r w:rsidR="00422B5A">
        <w:rPr>
          <w:b/>
          <w:bCs w:val="0"/>
          <w:sz w:val="18"/>
          <w:szCs w:val="18"/>
        </w:rPr>
        <w:t xml:space="preserve">  </w:t>
      </w:r>
      <w:r w:rsidRPr="005258C4">
        <w:rPr>
          <w:b/>
          <w:bCs w:val="0"/>
          <w:sz w:val="18"/>
          <w:szCs w:val="18"/>
        </w:rPr>
        <w:t xml:space="preserve">See </w:t>
      </w:r>
      <w:r w:rsidR="00593BC3">
        <w:rPr>
          <w:b/>
          <w:bCs w:val="0"/>
          <w:sz w:val="18"/>
          <w:szCs w:val="18"/>
        </w:rPr>
        <w:t>“</w:t>
      </w:r>
      <w:r w:rsidRPr="005258C4">
        <w:rPr>
          <w:b/>
          <w:bCs w:val="0"/>
          <w:sz w:val="18"/>
          <w:szCs w:val="18"/>
        </w:rPr>
        <w:t>Risk Factors</w:t>
      </w:r>
      <w:r w:rsidR="00593BC3">
        <w:rPr>
          <w:b/>
          <w:bCs w:val="0"/>
          <w:sz w:val="18"/>
          <w:szCs w:val="18"/>
        </w:rPr>
        <w:t>”</w:t>
      </w:r>
      <w:r w:rsidRPr="005258C4">
        <w:rPr>
          <w:b/>
          <w:bCs w:val="0"/>
          <w:sz w:val="18"/>
          <w:szCs w:val="18"/>
        </w:rPr>
        <w:t xml:space="preserve"> beginning on page</w:t>
      </w:r>
      <w:r w:rsidR="00E644F1">
        <w:rPr>
          <w:b/>
          <w:bCs w:val="0"/>
          <w:sz w:val="18"/>
          <w:szCs w:val="18"/>
        </w:rPr>
        <w:t xml:space="preserve"> </w:t>
      </w:r>
      <w:r w:rsidR="00E644F1" w:rsidRPr="00E644F1">
        <w:rPr>
          <w:b/>
          <w:bCs w:val="0"/>
          <w:sz w:val="18"/>
          <w:szCs w:val="18"/>
        </w:rPr>
        <w:t>S-2 of the accompanying prospectus supplement, “Risk Factors” beginning on page</w:t>
      </w:r>
      <w:r w:rsidRPr="005258C4">
        <w:rPr>
          <w:b/>
          <w:bCs w:val="0"/>
          <w:sz w:val="18"/>
          <w:szCs w:val="18"/>
        </w:rPr>
        <w:t xml:space="preserve"> PS-</w:t>
      </w:r>
      <w:r w:rsidR="00464049">
        <w:rPr>
          <w:b/>
          <w:bCs w:val="0"/>
          <w:sz w:val="18"/>
          <w:szCs w:val="18"/>
        </w:rPr>
        <w:t>12</w:t>
      </w:r>
      <w:r w:rsidRPr="005258C4">
        <w:rPr>
          <w:b/>
          <w:bCs w:val="0"/>
          <w:sz w:val="18"/>
          <w:szCs w:val="18"/>
        </w:rPr>
        <w:t xml:space="preserve"> of the accompanying product </w:t>
      </w:r>
      <w:r w:rsidR="00593BC3" w:rsidRPr="00593BC3">
        <w:rPr>
          <w:b/>
          <w:bCs w:val="0"/>
          <w:sz w:val="18"/>
          <w:szCs w:val="18"/>
        </w:rPr>
        <w:t xml:space="preserve">supplement, </w:t>
      </w:r>
      <w:r w:rsidR="00593BC3">
        <w:rPr>
          <w:b/>
          <w:bCs w:val="0"/>
          <w:sz w:val="18"/>
          <w:szCs w:val="18"/>
        </w:rPr>
        <w:t>“</w:t>
      </w:r>
      <w:r w:rsidR="00593BC3" w:rsidRPr="00593BC3">
        <w:rPr>
          <w:b/>
          <w:bCs w:val="0"/>
          <w:sz w:val="18"/>
          <w:szCs w:val="18"/>
        </w:rPr>
        <w:t>Risk Factors</w:t>
      </w:r>
      <w:r w:rsidR="00593BC3">
        <w:rPr>
          <w:b/>
          <w:bCs w:val="0"/>
          <w:sz w:val="18"/>
          <w:szCs w:val="18"/>
        </w:rPr>
        <w:t>”</w:t>
      </w:r>
      <w:r w:rsidR="00464049">
        <w:rPr>
          <w:b/>
          <w:bCs w:val="0"/>
          <w:sz w:val="18"/>
          <w:szCs w:val="18"/>
        </w:rPr>
        <w:t xml:space="preserve"> beginning on page US-3 </w:t>
      </w:r>
      <w:r w:rsidR="00593BC3" w:rsidRPr="00593BC3">
        <w:rPr>
          <w:b/>
          <w:bCs w:val="0"/>
          <w:sz w:val="18"/>
          <w:szCs w:val="18"/>
        </w:rPr>
        <w:t>of the accompanying underlying supplement</w:t>
      </w:r>
      <w:r w:rsidRPr="0094091F">
        <w:rPr>
          <w:b/>
          <w:bCs w:val="0"/>
          <w:sz w:val="18"/>
          <w:szCs w:val="18"/>
        </w:rPr>
        <w:t xml:space="preserve"> a</w:t>
      </w:r>
      <w:r w:rsidRPr="005258C4">
        <w:rPr>
          <w:b/>
          <w:bCs w:val="0"/>
          <w:sz w:val="18"/>
          <w:szCs w:val="18"/>
        </w:rPr>
        <w:t xml:space="preserve">nd </w:t>
      </w:r>
      <w:r w:rsidR="00593BC3">
        <w:rPr>
          <w:b/>
          <w:bCs w:val="0"/>
          <w:sz w:val="18"/>
          <w:szCs w:val="18"/>
        </w:rPr>
        <w:t>“</w:t>
      </w:r>
      <w:r w:rsidRPr="005258C4">
        <w:rPr>
          <w:b/>
          <w:bCs w:val="0"/>
          <w:sz w:val="18"/>
          <w:szCs w:val="18"/>
        </w:rPr>
        <w:t>Selected Risk Considerations</w:t>
      </w:r>
      <w:r w:rsidR="00593BC3">
        <w:rPr>
          <w:b/>
          <w:bCs w:val="0"/>
          <w:sz w:val="18"/>
          <w:szCs w:val="18"/>
        </w:rPr>
        <w:t>”</w:t>
      </w:r>
      <w:r w:rsidRPr="005258C4">
        <w:rPr>
          <w:b/>
          <w:bCs w:val="0"/>
          <w:sz w:val="18"/>
          <w:szCs w:val="18"/>
        </w:rPr>
        <w:t xml:space="preserve"> beginning o</w:t>
      </w:r>
      <w:r w:rsidR="00F50DB4">
        <w:rPr>
          <w:b/>
          <w:bCs w:val="0"/>
          <w:sz w:val="18"/>
          <w:szCs w:val="18"/>
        </w:rPr>
        <w:t>n page P</w:t>
      </w:r>
      <w:r w:rsidR="00301651" w:rsidRPr="005258C4">
        <w:rPr>
          <w:b/>
          <w:bCs w:val="0"/>
          <w:sz w:val="18"/>
          <w:szCs w:val="18"/>
        </w:rPr>
        <w:t>S-</w:t>
      </w:r>
      <w:r w:rsidR="005258C4">
        <w:rPr>
          <w:b/>
          <w:bCs w:val="0"/>
          <w:sz w:val="18"/>
          <w:szCs w:val="18"/>
        </w:rPr>
        <w:fldChar w:fldCharType="begin"/>
      </w:r>
      <w:r w:rsidR="005258C4">
        <w:rPr>
          <w:b/>
          <w:bCs w:val="0"/>
          <w:sz w:val="18"/>
          <w:szCs w:val="18"/>
        </w:rPr>
        <w:instrText xml:space="preserve"> PAGEREF SelectedRiskConsiderations \h </w:instrText>
      </w:r>
      <w:r w:rsidR="005258C4">
        <w:rPr>
          <w:b/>
          <w:bCs w:val="0"/>
          <w:sz w:val="18"/>
          <w:szCs w:val="18"/>
        </w:rPr>
      </w:r>
      <w:r w:rsidR="005258C4">
        <w:rPr>
          <w:b/>
          <w:bCs w:val="0"/>
          <w:sz w:val="18"/>
          <w:szCs w:val="18"/>
        </w:rPr>
        <w:fldChar w:fldCharType="separate"/>
      </w:r>
      <w:r w:rsidR="00441690">
        <w:rPr>
          <w:b/>
          <w:bCs w:val="0"/>
          <w:noProof/>
          <w:sz w:val="18"/>
          <w:szCs w:val="18"/>
        </w:rPr>
        <w:t>5</w:t>
      </w:r>
      <w:r w:rsidR="005258C4">
        <w:rPr>
          <w:b/>
          <w:bCs w:val="0"/>
          <w:sz w:val="18"/>
          <w:szCs w:val="18"/>
        </w:rPr>
        <w:fldChar w:fldCharType="end"/>
      </w:r>
      <w:r w:rsidR="00301651" w:rsidRPr="005258C4">
        <w:rPr>
          <w:b/>
          <w:bCs w:val="0"/>
          <w:sz w:val="18"/>
          <w:szCs w:val="18"/>
        </w:rPr>
        <w:t xml:space="preserve"> of </w:t>
      </w:r>
      <w:r w:rsidR="00ED2800">
        <w:rPr>
          <w:b/>
          <w:bCs w:val="0"/>
          <w:sz w:val="18"/>
          <w:szCs w:val="18"/>
        </w:rPr>
        <w:t>this pricing supplement</w:t>
      </w:r>
      <w:r w:rsidR="00301651" w:rsidRPr="005258C4">
        <w:rPr>
          <w:b/>
          <w:bCs w:val="0"/>
          <w:sz w:val="18"/>
          <w:szCs w:val="18"/>
        </w:rPr>
        <w:t>.</w:t>
      </w:r>
    </w:p>
    <w:p w:rsidR="00796B5F" w:rsidRPr="0035506E" w:rsidRDefault="00796B5F" w:rsidP="006D7257">
      <w:pPr>
        <w:pStyle w:val="body8pt"/>
        <w:spacing w:after="120" w:line="240" w:lineRule="auto"/>
        <w:ind w:left="0" w:right="0"/>
        <w:rPr>
          <w:sz w:val="18"/>
          <w:szCs w:val="18"/>
        </w:rPr>
      </w:pPr>
      <w:r w:rsidRPr="0035506E">
        <w:rPr>
          <w:sz w:val="18"/>
          <w:szCs w:val="18"/>
        </w:rPr>
        <w:t xml:space="preserve">Neither the Securities and Exchange Commission (the </w:t>
      </w:r>
      <w:r w:rsidR="00593BC3">
        <w:rPr>
          <w:sz w:val="18"/>
          <w:szCs w:val="18"/>
        </w:rPr>
        <w:t>“</w:t>
      </w:r>
      <w:r w:rsidRPr="0035506E">
        <w:rPr>
          <w:sz w:val="18"/>
          <w:szCs w:val="18"/>
        </w:rPr>
        <w:t>SEC</w:t>
      </w:r>
      <w:r w:rsidR="00593BC3">
        <w:rPr>
          <w:sz w:val="18"/>
          <w:szCs w:val="18"/>
        </w:rPr>
        <w:t>”</w:t>
      </w:r>
      <w:r w:rsidRPr="0035506E">
        <w:rPr>
          <w:sz w:val="18"/>
          <w:szCs w:val="18"/>
        </w:rPr>
        <w:t xml:space="preserve">) nor any state securities commission has approved or disapproved of the </w:t>
      </w:r>
      <w:r w:rsidR="001C1A8B">
        <w:rPr>
          <w:sz w:val="18"/>
          <w:szCs w:val="18"/>
        </w:rPr>
        <w:t>notes</w:t>
      </w:r>
      <w:r w:rsidRPr="0035506E">
        <w:rPr>
          <w:sz w:val="18"/>
          <w:szCs w:val="18"/>
        </w:rPr>
        <w:t xml:space="preserve"> or passed upon the accuracy or the adequacy of </w:t>
      </w:r>
      <w:r w:rsidR="00ED2800">
        <w:rPr>
          <w:sz w:val="18"/>
          <w:szCs w:val="18"/>
        </w:rPr>
        <w:t>this pricing supplement</w:t>
      </w:r>
      <w:r w:rsidRPr="0035506E">
        <w:rPr>
          <w:sz w:val="18"/>
          <w:szCs w:val="18"/>
        </w:rPr>
        <w:t xml:space="preserve"> or the ac</w:t>
      </w:r>
      <w:r w:rsidR="005B48C4">
        <w:rPr>
          <w:sz w:val="18"/>
          <w:szCs w:val="18"/>
        </w:rPr>
        <w:t xml:space="preserve">companying product </w:t>
      </w:r>
      <w:r w:rsidR="00593BC3" w:rsidRPr="00593BC3">
        <w:rPr>
          <w:sz w:val="18"/>
          <w:szCs w:val="18"/>
        </w:rPr>
        <w:t>supplement, underlying supplement,</w:t>
      </w:r>
      <w:r w:rsidR="005B48C4">
        <w:rPr>
          <w:sz w:val="18"/>
          <w:szCs w:val="18"/>
        </w:rPr>
        <w:t xml:space="preserve"> </w:t>
      </w:r>
      <w:r w:rsidRPr="0035506E">
        <w:rPr>
          <w:sz w:val="18"/>
          <w:szCs w:val="18"/>
        </w:rPr>
        <w:t xml:space="preserve">prospectus supplement </w:t>
      </w:r>
      <w:r w:rsidR="000601B1">
        <w:rPr>
          <w:sz w:val="18"/>
          <w:szCs w:val="18"/>
        </w:rPr>
        <w:t>and</w:t>
      </w:r>
      <w:r w:rsidRPr="0035506E">
        <w:rPr>
          <w:sz w:val="18"/>
          <w:szCs w:val="18"/>
        </w:rPr>
        <w:t xml:space="preserve"> prospectus</w:t>
      </w:r>
      <w:r w:rsidR="00422B5A" w:rsidRPr="0035506E">
        <w:rPr>
          <w:sz w:val="18"/>
          <w:szCs w:val="18"/>
        </w:rPr>
        <w:t>.</w:t>
      </w:r>
      <w:r w:rsidR="00422B5A">
        <w:rPr>
          <w:sz w:val="18"/>
          <w:szCs w:val="18"/>
        </w:rPr>
        <w:t xml:space="preserve">  </w:t>
      </w:r>
      <w:r w:rsidRPr="0035506E">
        <w:rPr>
          <w:sz w:val="18"/>
          <w:szCs w:val="18"/>
        </w:rPr>
        <w:t>Any representation to the contrary is a criminal offense.</w:t>
      </w:r>
    </w:p>
    <w:tbl>
      <w:tblPr>
        <w:tblW w:w="4582" w:type="pct"/>
        <w:jc w:val="center"/>
        <w:tblCellMar>
          <w:left w:w="10" w:type="dxa"/>
          <w:right w:w="10" w:type="dxa"/>
        </w:tblCellMar>
        <w:tblLook w:val="01E0" w:firstRow="1" w:lastRow="1" w:firstColumn="1" w:lastColumn="1" w:noHBand="0" w:noVBand="0"/>
      </w:tblPr>
      <w:tblGrid>
        <w:gridCol w:w="1618"/>
        <w:gridCol w:w="2843"/>
        <w:gridCol w:w="2952"/>
        <w:gridCol w:w="2152"/>
      </w:tblGrid>
      <w:tr w:rsidR="00796B5F" w:rsidRPr="005854B5" w:rsidTr="00C73CF4">
        <w:trPr>
          <w:trHeight w:val="270"/>
          <w:jc w:val="center"/>
        </w:trPr>
        <w:tc>
          <w:tcPr>
            <w:tcW w:w="846" w:type="pct"/>
            <w:shd w:val="clear" w:color="auto" w:fill="BFBFBF" w:themeFill="background1" w:themeFillShade="BF"/>
            <w:tcMar>
              <w:left w:w="58" w:type="dxa"/>
            </w:tcMar>
            <w:vAlign w:val="center"/>
          </w:tcPr>
          <w:p w:rsidR="00796B5F" w:rsidRPr="0010405A" w:rsidRDefault="00796B5F" w:rsidP="00A23F40">
            <w:pPr>
              <w:pStyle w:val="body8pt"/>
              <w:spacing w:before="0" w:line="240" w:lineRule="auto"/>
              <w:ind w:left="0" w:right="0"/>
              <w:rPr>
                <w:color w:val="FFFFFF" w:themeColor="background1"/>
                <w:sz w:val="18"/>
                <w:szCs w:val="18"/>
              </w:rPr>
            </w:pPr>
          </w:p>
        </w:tc>
        <w:tc>
          <w:tcPr>
            <w:tcW w:w="1486" w:type="pct"/>
            <w:shd w:val="clear" w:color="auto" w:fill="BFBFBF" w:themeFill="background1" w:themeFillShade="BF"/>
            <w:tcMar>
              <w:left w:w="58" w:type="dxa"/>
            </w:tcMar>
            <w:vAlign w:val="center"/>
          </w:tcPr>
          <w:p w:rsidR="00796B5F" w:rsidRPr="00D934EA" w:rsidRDefault="00796B5F" w:rsidP="00A23F40">
            <w:pPr>
              <w:pStyle w:val="body8pt"/>
              <w:spacing w:before="0" w:line="240" w:lineRule="auto"/>
              <w:ind w:left="0" w:right="0"/>
              <w:rPr>
                <w:sz w:val="18"/>
                <w:szCs w:val="18"/>
              </w:rPr>
            </w:pPr>
            <w:r w:rsidRPr="00D934EA">
              <w:rPr>
                <w:sz w:val="18"/>
                <w:szCs w:val="18"/>
              </w:rPr>
              <w:t>Price to Public (1)</w:t>
            </w:r>
          </w:p>
        </w:tc>
        <w:tc>
          <w:tcPr>
            <w:tcW w:w="1543" w:type="pct"/>
            <w:shd w:val="clear" w:color="auto" w:fill="BFBFBF" w:themeFill="background1" w:themeFillShade="BF"/>
            <w:tcMar>
              <w:left w:w="58" w:type="dxa"/>
            </w:tcMar>
            <w:vAlign w:val="center"/>
          </w:tcPr>
          <w:p w:rsidR="00796B5F" w:rsidRPr="00D934EA" w:rsidRDefault="00796B5F" w:rsidP="00A23F40">
            <w:pPr>
              <w:pStyle w:val="body8pt"/>
              <w:spacing w:before="0" w:line="240" w:lineRule="auto"/>
              <w:ind w:left="0" w:right="0"/>
              <w:rPr>
                <w:sz w:val="18"/>
                <w:szCs w:val="18"/>
              </w:rPr>
            </w:pPr>
            <w:r w:rsidRPr="00D934EA">
              <w:rPr>
                <w:sz w:val="18"/>
                <w:szCs w:val="18"/>
              </w:rPr>
              <w:t>Fees and Commissions (2)</w:t>
            </w:r>
          </w:p>
        </w:tc>
        <w:tc>
          <w:tcPr>
            <w:tcW w:w="1125" w:type="pct"/>
            <w:shd w:val="clear" w:color="auto" w:fill="BFBFBF" w:themeFill="background1" w:themeFillShade="BF"/>
            <w:tcMar>
              <w:left w:w="58" w:type="dxa"/>
            </w:tcMar>
            <w:vAlign w:val="center"/>
          </w:tcPr>
          <w:p w:rsidR="00796B5F" w:rsidRPr="00D934EA" w:rsidRDefault="00796B5F" w:rsidP="00A23F40">
            <w:pPr>
              <w:pStyle w:val="body8pt"/>
              <w:spacing w:before="0" w:line="240" w:lineRule="auto"/>
              <w:ind w:left="0" w:right="0"/>
              <w:rPr>
                <w:sz w:val="18"/>
                <w:szCs w:val="18"/>
              </w:rPr>
            </w:pPr>
            <w:r w:rsidRPr="00D934EA">
              <w:rPr>
                <w:sz w:val="18"/>
                <w:szCs w:val="18"/>
              </w:rPr>
              <w:t>Proceeds to Issuer</w:t>
            </w:r>
          </w:p>
        </w:tc>
      </w:tr>
      <w:tr w:rsidR="00864642" w:rsidRPr="005854B5" w:rsidTr="00C73CF4">
        <w:trPr>
          <w:trHeight w:val="360"/>
          <w:jc w:val="center"/>
        </w:trPr>
        <w:tc>
          <w:tcPr>
            <w:tcW w:w="846" w:type="pct"/>
            <w:tcMar>
              <w:left w:w="58" w:type="dxa"/>
            </w:tcMar>
            <w:vAlign w:val="center"/>
          </w:tcPr>
          <w:p w:rsidR="00864642" w:rsidRPr="005408B7" w:rsidRDefault="00864642" w:rsidP="00864642">
            <w:pPr>
              <w:pStyle w:val="body8pt"/>
              <w:tabs>
                <w:tab w:val="left" w:pos="170"/>
              </w:tabs>
              <w:spacing w:before="0" w:line="240" w:lineRule="auto"/>
              <w:ind w:left="0" w:right="0"/>
              <w:rPr>
                <w:color w:val="404040" w:themeColor="text1" w:themeTint="BF"/>
                <w:sz w:val="18"/>
                <w:szCs w:val="18"/>
              </w:rPr>
            </w:pPr>
            <w:r w:rsidRPr="005408B7">
              <w:rPr>
                <w:color w:val="404040" w:themeColor="text1" w:themeTint="BF"/>
                <w:sz w:val="18"/>
                <w:szCs w:val="18"/>
              </w:rPr>
              <w:t>Per note</w:t>
            </w:r>
          </w:p>
        </w:tc>
        <w:tc>
          <w:tcPr>
            <w:tcW w:w="1486" w:type="pct"/>
            <w:tcMar>
              <w:left w:w="58" w:type="dxa"/>
            </w:tcMar>
            <w:vAlign w:val="center"/>
          </w:tcPr>
          <w:p w:rsidR="00864642" w:rsidRPr="005408B7" w:rsidRDefault="00864642" w:rsidP="00864642">
            <w:pPr>
              <w:pStyle w:val="body8pt"/>
              <w:spacing w:before="0" w:line="240" w:lineRule="auto"/>
              <w:ind w:left="0" w:right="0"/>
              <w:rPr>
                <w:color w:val="404040" w:themeColor="text1" w:themeTint="BF"/>
                <w:sz w:val="18"/>
                <w:szCs w:val="18"/>
              </w:rPr>
            </w:pPr>
            <w:r w:rsidRPr="005408B7">
              <w:rPr>
                <w:color w:val="404040" w:themeColor="text1" w:themeTint="BF"/>
                <w:sz w:val="18"/>
                <w:szCs w:val="18"/>
              </w:rPr>
              <w:t>$1,000</w:t>
            </w:r>
          </w:p>
        </w:tc>
        <w:tc>
          <w:tcPr>
            <w:tcW w:w="1543" w:type="pct"/>
            <w:tcMar>
              <w:left w:w="58" w:type="dxa"/>
            </w:tcMar>
            <w:vAlign w:val="center"/>
          </w:tcPr>
          <w:p w:rsidR="00864642" w:rsidRPr="005408B7" w:rsidRDefault="0042628F" w:rsidP="00864642">
            <w:pPr>
              <w:pStyle w:val="body8pt"/>
              <w:spacing w:before="0" w:line="240" w:lineRule="auto"/>
              <w:ind w:left="0" w:right="0"/>
              <w:rPr>
                <w:color w:val="404040" w:themeColor="text1" w:themeTint="BF"/>
                <w:sz w:val="18"/>
                <w:szCs w:val="18"/>
              </w:rPr>
            </w:pPr>
            <w:r>
              <w:rPr>
                <w:color w:val="404040" w:themeColor="text1" w:themeTint="BF"/>
                <w:sz w:val="18"/>
                <w:szCs w:val="18"/>
              </w:rPr>
              <w:t>$</w:t>
            </w:r>
          </w:p>
        </w:tc>
        <w:tc>
          <w:tcPr>
            <w:tcW w:w="1125" w:type="pct"/>
            <w:tcMar>
              <w:left w:w="58" w:type="dxa"/>
            </w:tcMar>
            <w:vAlign w:val="center"/>
          </w:tcPr>
          <w:p w:rsidR="00864642" w:rsidRPr="005408B7" w:rsidRDefault="00864642" w:rsidP="0042628F">
            <w:pPr>
              <w:pStyle w:val="body8pt"/>
              <w:spacing w:before="0" w:line="240" w:lineRule="auto"/>
              <w:ind w:left="0" w:right="0"/>
              <w:rPr>
                <w:color w:val="404040" w:themeColor="text1" w:themeTint="BF"/>
                <w:sz w:val="18"/>
                <w:szCs w:val="18"/>
              </w:rPr>
            </w:pPr>
            <w:r>
              <w:rPr>
                <w:color w:val="404040" w:themeColor="text1" w:themeTint="BF"/>
                <w:sz w:val="18"/>
                <w:szCs w:val="18"/>
              </w:rPr>
              <w:t>$</w:t>
            </w:r>
          </w:p>
        </w:tc>
      </w:tr>
      <w:tr w:rsidR="00864642" w:rsidRPr="005854B5" w:rsidTr="00C73CF4">
        <w:trPr>
          <w:trHeight w:val="360"/>
          <w:jc w:val="center"/>
        </w:trPr>
        <w:tc>
          <w:tcPr>
            <w:tcW w:w="846" w:type="pct"/>
            <w:tcBorders>
              <w:bottom w:val="single" w:sz="4" w:space="0" w:color="6D6E71"/>
            </w:tcBorders>
            <w:tcMar>
              <w:left w:w="58" w:type="dxa"/>
            </w:tcMar>
            <w:vAlign w:val="center"/>
          </w:tcPr>
          <w:p w:rsidR="00864642" w:rsidRPr="005408B7" w:rsidRDefault="00864642" w:rsidP="00864642">
            <w:pPr>
              <w:pStyle w:val="body8pt"/>
              <w:tabs>
                <w:tab w:val="left" w:pos="170"/>
              </w:tabs>
              <w:spacing w:before="0" w:line="240" w:lineRule="auto"/>
              <w:ind w:left="0" w:right="0"/>
              <w:rPr>
                <w:color w:val="404040" w:themeColor="text1" w:themeTint="BF"/>
                <w:sz w:val="18"/>
                <w:szCs w:val="18"/>
              </w:rPr>
            </w:pPr>
            <w:r w:rsidRPr="005408B7">
              <w:rPr>
                <w:color w:val="404040" w:themeColor="text1" w:themeTint="BF"/>
                <w:sz w:val="18"/>
                <w:szCs w:val="18"/>
              </w:rPr>
              <w:t>Total</w:t>
            </w:r>
          </w:p>
        </w:tc>
        <w:tc>
          <w:tcPr>
            <w:tcW w:w="1486" w:type="pct"/>
            <w:tcBorders>
              <w:bottom w:val="single" w:sz="4" w:space="0" w:color="6D6E71"/>
            </w:tcBorders>
            <w:tcMar>
              <w:left w:w="58" w:type="dxa"/>
            </w:tcMar>
            <w:vAlign w:val="center"/>
          </w:tcPr>
          <w:p w:rsidR="00864642" w:rsidRPr="005408B7" w:rsidRDefault="00864642" w:rsidP="00864642">
            <w:pPr>
              <w:pStyle w:val="body8pt"/>
              <w:spacing w:before="0" w:line="240" w:lineRule="auto"/>
              <w:ind w:left="0" w:right="0"/>
              <w:rPr>
                <w:color w:val="404040" w:themeColor="text1" w:themeTint="BF"/>
                <w:sz w:val="18"/>
                <w:szCs w:val="18"/>
              </w:rPr>
            </w:pPr>
            <w:r w:rsidRPr="005408B7">
              <w:rPr>
                <w:color w:val="404040" w:themeColor="text1" w:themeTint="BF"/>
                <w:sz w:val="18"/>
                <w:szCs w:val="18"/>
              </w:rPr>
              <w:t>$</w:t>
            </w:r>
          </w:p>
        </w:tc>
        <w:tc>
          <w:tcPr>
            <w:tcW w:w="1543" w:type="pct"/>
            <w:tcBorders>
              <w:bottom w:val="single" w:sz="4" w:space="0" w:color="6D6E71"/>
            </w:tcBorders>
            <w:tcMar>
              <w:left w:w="58" w:type="dxa"/>
            </w:tcMar>
            <w:vAlign w:val="center"/>
          </w:tcPr>
          <w:p w:rsidR="00864642" w:rsidRPr="005408B7" w:rsidRDefault="0042628F" w:rsidP="00864642">
            <w:pPr>
              <w:pStyle w:val="body8pt"/>
              <w:spacing w:before="0" w:line="240" w:lineRule="auto"/>
              <w:ind w:left="0" w:right="0"/>
              <w:rPr>
                <w:color w:val="404040" w:themeColor="text1" w:themeTint="BF"/>
                <w:sz w:val="18"/>
                <w:szCs w:val="18"/>
              </w:rPr>
            </w:pPr>
            <w:r>
              <w:rPr>
                <w:color w:val="404040" w:themeColor="text1" w:themeTint="BF"/>
                <w:sz w:val="18"/>
                <w:szCs w:val="18"/>
              </w:rPr>
              <w:t>$</w:t>
            </w:r>
          </w:p>
        </w:tc>
        <w:tc>
          <w:tcPr>
            <w:tcW w:w="1125" w:type="pct"/>
            <w:tcBorders>
              <w:bottom w:val="single" w:sz="4" w:space="0" w:color="6D6E71"/>
            </w:tcBorders>
            <w:tcMar>
              <w:left w:w="58" w:type="dxa"/>
            </w:tcMar>
            <w:vAlign w:val="center"/>
          </w:tcPr>
          <w:p w:rsidR="00864642" w:rsidRPr="005408B7" w:rsidRDefault="00864642" w:rsidP="00864642">
            <w:pPr>
              <w:pStyle w:val="body8pt"/>
              <w:spacing w:before="0" w:line="240" w:lineRule="auto"/>
              <w:ind w:left="0" w:right="0"/>
              <w:rPr>
                <w:color w:val="404040" w:themeColor="text1" w:themeTint="BF"/>
                <w:sz w:val="18"/>
                <w:szCs w:val="18"/>
              </w:rPr>
            </w:pPr>
            <w:r w:rsidRPr="005408B7">
              <w:rPr>
                <w:color w:val="404040" w:themeColor="text1" w:themeTint="BF"/>
                <w:sz w:val="18"/>
                <w:szCs w:val="18"/>
              </w:rPr>
              <w:t>$</w:t>
            </w:r>
          </w:p>
        </w:tc>
      </w:tr>
      <w:tr w:rsidR="00796B5F" w:rsidRPr="005854B5" w:rsidTr="00C73CF4">
        <w:trPr>
          <w:trHeight w:val="1050"/>
          <w:jc w:val="center"/>
        </w:trPr>
        <w:tc>
          <w:tcPr>
            <w:tcW w:w="5000" w:type="pct"/>
            <w:gridSpan w:val="4"/>
            <w:tcBorders>
              <w:top w:val="single" w:sz="4" w:space="0" w:color="auto"/>
            </w:tcBorders>
            <w:tcMar>
              <w:top w:w="86" w:type="dxa"/>
              <w:left w:w="0" w:type="dxa"/>
              <w:right w:w="0" w:type="dxa"/>
            </w:tcMar>
          </w:tcPr>
          <w:p w:rsidR="00864642" w:rsidRPr="00864642" w:rsidRDefault="00864642" w:rsidP="00864642">
            <w:pPr>
              <w:pStyle w:val="body8pt"/>
              <w:spacing w:before="60" w:after="60" w:line="264" w:lineRule="auto"/>
              <w:ind w:left="0"/>
              <w:rPr>
                <w:color w:val="404040" w:themeColor="text1" w:themeTint="BF"/>
              </w:rPr>
            </w:pPr>
            <w:r w:rsidRPr="00864642">
              <w:rPr>
                <w:color w:val="404040" w:themeColor="text1" w:themeTint="BF"/>
              </w:rPr>
              <w:t>(1) See “Supplemental Use of Proceeds” in this pricing supplement for information about the components of the price to public of the notes.</w:t>
            </w:r>
          </w:p>
          <w:p w:rsidR="00DE7BFF" w:rsidRPr="005854B5" w:rsidRDefault="00864642" w:rsidP="00684C55">
            <w:pPr>
              <w:pStyle w:val="body8pt"/>
              <w:spacing w:before="60" w:after="60" w:line="240" w:lineRule="auto"/>
              <w:ind w:left="0" w:right="0"/>
            </w:pPr>
            <w:r w:rsidRPr="00864642">
              <w:rPr>
                <w:color w:val="404040" w:themeColor="text1" w:themeTint="BF"/>
              </w:rPr>
              <w:t xml:space="preserve">(2) </w:t>
            </w:r>
            <w:r w:rsidR="006671A9" w:rsidRPr="006671A9">
              <w:rPr>
                <w:color w:val="404040" w:themeColor="text1" w:themeTint="BF"/>
              </w:rPr>
              <w:t>J.P. Morgan Securities LLC, which we refer to as JPMS, acting as agent for JPMorgan Financial, will pay all of the selling commissions it receives from us to other</w:t>
            </w:r>
            <w:r w:rsidRPr="00864642">
              <w:rPr>
                <w:color w:val="404040" w:themeColor="text1" w:themeTint="BF"/>
              </w:rPr>
              <w:t xml:space="preserve"> affiliated or unaffiliated </w:t>
            </w:r>
            <w:r w:rsidR="006671A9" w:rsidRPr="006671A9">
              <w:rPr>
                <w:color w:val="404040" w:themeColor="text1" w:themeTint="BF"/>
              </w:rPr>
              <w:t>dealers.  In no event will these</w:t>
            </w:r>
            <w:r w:rsidR="006671A9">
              <w:rPr>
                <w:color w:val="404040" w:themeColor="text1" w:themeTint="BF"/>
              </w:rPr>
              <w:t xml:space="preserve"> selling commissions exceed $</w:t>
            </w:r>
            <w:r w:rsidR="000B3358">
              <w:rPr>
                <w:color w:val="404040" w:themeColor="text1" w:themeTint="BF"/>
              </w:rPr>
              <w:t>4.5</w:t>
            </w:r>
            <w:r w:rsidR="006671A9" w:rsidRPr="006671A9">
              <w:rPr>
                <w:color w:val="404040" w:themeColor="text1" w:themeTint="BF"/>
              </w:rPr>
              <w:t>0 per $1,000 principal amount note</w:t>
            </w:r>
            <w:r w:rsidRPr="00864642">
              <w:rPr>
                <w:color w:val="404040" w:themeColor="text1" w:themeTint="BF"/>
              </w:rPr>
              <w:t>.  See “Plan of Distribution (Conflicts of Interest)” in the accompanying product supplement.</w:t>
            </w:r>
          </w:p>
        </w:tc>
      </w:tr>
    </w:tbl>
    <w:p w:rsidR="00ED2800" w:rsidRPr="005344A9" w:rsidRDefault="00593BC3" w:rsidP="000B3358">
      <w:pPr>
        <w:pStyle w:val="body8pt"/>
        <w:spacing w:before="40" w:line="240" w:lineRule="auto"/>
        <w:ind w:left="0" w:right="0"/>
        <w:rPr>
          <w:b/>
          <w:bCs w:val="0"/>
          <w:sz w:val="18"/>
          <w:szCs w:val="18"/>
        </w:rPr>
      </w:pPr>
      <w:r w:rsidRPr="00593BC3">
        <w:rPr>
          <w:b/>
          <w:sz w:val="18"/>
          <w:szCs w:val="18"/>
        </w:rPr>
        <w:t>If the notes priced today, the estimated value of the notes would be approximately $</w:t>
      </w:r>
      <w:r w:rsidR="000B3358">
        <w:rPr>
          <w:b/>
          <w:sz w:val="18"/>
          <w:szCs w:val="18"/>
        </w:rPr>
        <w:t>977</w:t>
      </w:r>
      <w:r w:rsidR="00534BDD">
        <w:rPr>
          <w:b/>
          <w:sz w:val="18"/>
          <w:szCs w:val="18"/>
        </w:rPr>
        <w:t>.0</w:t>
      </w:r>
      <w:r w:rsidR="00594EE7">
        <w:rPr>
          <w:b/>
          <w:sz w:val="18"/>
          <w:szCs w:val="18"/>
        </w:rPr>
        <w:t xml:space="preserve">0 </w:t>
      </w:r>
      <w:r w:rsidRPr="00593BC3">
        <w:rPr>
          <w:b/>
          <w:sz w:val="18"/>
          <w:szCs w:val="18"/>
        </w:rPr>
        <w:t xml:space="preserve">per $1,000 principal amount note.  </w:t>
      </w:r>
      <w:r w:rsidR="00ED2800" w:rsidRPr="00E4789E">
        <w:rPr>
          <w:b/>
          <w:bCs w:val="0"/>
          <w:sz w:val="18"/>
          <w:szCs w:val="18"/>
        </w:rPr>
        <w:t xml:space="preserve">The estimated value of the notes, when the terms of the notes are set, will be provided in the pricing </w:t>
      </w:r>
      <w:r w:rsidRPr="00593BC3">
        <w:rPr>
          <w:b/>
          <w:sz w:val="18"/>
          <w:szCs w:val="18"/>
        </w:rPr>
        <w:t>supplement</w:t>
      </w:r>
      <w:r w:rsidR="00ED2800" w:rsidRPr="005344A9">
        <w:rPr>
          <w:b/>
          <w:bCs w:val="0"/>
          <w:sz w:val="18"/>
          <w:szCs w:val="18"/>
        </w:rPr>
        <w:t xml:space="preserve"> a</w:t>
      </w:r>
      <w:r w:rsidR="00ED2800">
        <w:rPr>
          <w:b/>
          <w:bCs w:val="0"/>
          <w:sz w:val="18"/>
          <w:szCs w:val="18"/>
        </w:rPr>
        <w:t>nd will not be less than $</w:t>
      </w:r>
      <w:r w:rsidR="00AB4C5C">
        <w:rPr>
          <w:b/>
          <w:sz w:val="18"/>
          <w:szCs w:val="18"/>
        </w:rPr>
        <w:t>9</w:t>
      </w:r>
      <w:r w:rsidR="007370BA">
        <w:rPr>
          <w:b/>
          <w:sz w:val="18"/>
          <w:szCs w:val="18"/>
        </w:rPr>
        <w:t>5</w:t>
      </w:r>
      <w:r w:rsidRPr="00593BC3">
        <w:rPr>
          <w:b/>
          <w:sz w:val="18"/>
          <w:szCs w:val="18"/>
        </w:rPr>
        <w:t>0.00</w:t>
      </w:r>
      <w:r w:rsidR="00ED2800" w:rsidRPr="00E4789E">
        <w:rPr>
          <w:b/>
          <w:bCs w:val="0"/>
          <w:sz w:val="18"/>
          <w:szCs w:val="18"/>
        </w:rPr>
        <w:t xml:space="preserve"> pe</w:t>
      </w:r>
      <w:r w:rsidR="00ED2800" w:rsidRPr="005344A9">
        <w:rPr>
          <w:b/>
          <w:bCs w:val="0"/>
          <w:sz w:val="18"/>
          <w:szCs w:val="18"/>
        </w:rPr>
        <w:t>r $1,000 principal amount note</w:t>
      </w:r>
      <w:r w:rsidR="00422B5A" w:rsidRPr="005344A9">
        <w:rPr>
          <w:b/>
          <w:bCs w:val="0"/>
          <w:sz w:val="18"/>
          <w:szCs w:val="18"/>
        </w:rPr>
        <w:t>.</w:t>
      </w:r>
      <w:r w:rsidR="00422B5A">
        <w:rPr>
          <w:b/>
          <w:bCs w:val="0"/>
          <w:sz w:val="18"/>
          <w:szCs w:val="18"/>
        </w:rPr>
        <w:t xml:space="preserve">  </w:t>
      </w:r>
      <w:r w:rsidR="00ED2800" w:rsidRPr="005344A9">
        <w:rPr>
          <w:b/>
          <w:bCs w:val="0"/>
          <w:sz w:val="18"/>
          <w:szCs w:val="18"/>
        </w:rPr>
        <w:t xml:space="preserve">See </w:t>
      </w:r>
      <w:r>
        <w:rPr>
          <w:b/>
          <w:bCs w:val="0"/>
          <w:sz w:val="18"/>
          <w:szCs w:val="18"/>
        </w:rPr>
        <w:t>“</w:t>
      </w:r>
      <w:r w:rsidR="00ED2800">
        <w:rPr>
          <w:b/>
          <w:bCs w:val="0"/>
          <w:sz w:val="18"/>
          <w:szCs w:val="18"/>
        </w:rPr>
        <w:t>The</w:t>
      </w:r>
      <w:r w:rsidR="00ED2800" w:rsidRPr="005344A9">
        <w:rPr>
          <w:b/>
          <w:bCs w:val="0"/>
          <w:sz w:val="18"/>
          <w:szCs w:val="18"/>
        </w:rPr>
        <w:t xml:space="preserve"> Estimated Value of the Notes</w:t>
      </w:r>
      <w:r>
        <w:rPr>
          <w:b/>
          <w:bCs w:val="0"/>
          <w:sz w:val="18"/>
          <w:szCs w:val="18"/>
        </w:rPr>
        <w:t>”</w:t>
      </w:r>
      <w:r w:rsidR="00ED2800" w:rsidRPr="005344A9">
        <w:rPr>
          <w:b/>
          <w:bCs w:val="0"/>
          <w:sz w:val="18"/>
          <w:szCs w:val="18"/>
        </w:rPr>
        <w:t xml:space="preserve"> in </w:t>
      </w:r>
      <w:r w:rsidR="00ED2800">
        <w:rPr>
          <w:b/>
          <w:bCs w:val="0"/>
          <w:sz w:val="18"/>
          <w:szCs w:val="18"/>
        </w:rPr>
        <w:t>this pricing supplement</w:t>
      </w:r>
      <w:r w:rsidR="00ED2800" w:rsidRPr="005344A9">
        <w:rPr>
          <w:b/>
          <w:bCs w:val="0"/>
          <w:sz w:val="18"/>
          <w:szCs w:val="18"/>
        </w:rPr>
        <w:t xml:space="preserve"> for additional information</w:t>
      </w:r>
      <w:r w:rsidR="00422B5A" w:rsidRPr="005344A9">
        <w:rPr>
          <w:b/>
          <w:bCs w:val="0"/>
          <w:sz w:val="18"/>
          <w:szCs w:val="18"/>
        </w:rPr>
        <w:t>.</w:t>
      </w:r>
      <w:r w:rsidR="00422B5A">
        <w:rPr>
          <w:b/>
          <w:bCs w:val="0"/>
          <w:sz w:val="18"/>
          <w:szCs w:val="18"/>
        </w:rPr>
        <w:t xml:space="preserve">  </w:t>
      </w:r>
    </w:p>
    <w:p w:rsidR="00354578" w:rsidRDefault="005258C4" w:rsidP="00A23F40">
      <w:pPr>
        <w:pStyle w:val="body8pt"/>
        <w:spacing w:line="240" w:lineRule="auto"/>
        <w:ind w:left="0" w:right="0"/>
        <w:rPr>
          <w:sz w:val="18"/>
          <w:szCs w:val="18"/>
        </w:rPr>
        <w:sectPr w:rsidR="00354578" w:rsidSect="00302527">
          <w:headerReference w:type="default" r:id="rId8"/>
          <w:headerReference w:type="first" r:id="rId9"/>
          <w:footerReference w:type="first" r:id="rId10"/>
          <w:pgSz w:w="12242" w:h="15842" w:code="1"/>
          <w:pgMar w:top="1800" w:right="936" w:bottom="360" w:left="936" w:header="360" w:footer="360" w:gutter="0"/>
          <w:pgNumType w:start="0"/>
          <w:cols w:space="720"/>
          <w:titlePg/>
        </w:sectPr>
      </w:pPr>
      <w:r w:rsidRPr="005344A9">
        <w:rPr>
          <w:i/>
          <w:iCs/>
          <w:sz w:val="18"/>
          <w:szCs w:val="18"/>
        </w:rPr>
        <w:t xml:space="preserve">The </w:t>
      </w:r>
      <w:r w:rsidR="001C1A8B">
        <w:rPr>
          <w:i/>
          <w:iCs/>
          <w:sz w:val="18"/>
          <w:szCs w:val="18"/>
        </w:rPr>
        <w:t>notes</w:t>
      </w:r>
      <w:r w:rsidRPr="005344A9">
        <w:rPr>
          <w:i/>
          <w:iCs/>
          <w:sz w:val="18"/>
          <w:szCs w:val="18"/>
        </w:rPr>
        <w:t xml:space="preserve"> are not bank deposits, are not insured by the Federal Deposit Insurance Corporation or any other governmental agency and are not obligations of, or guaranteed by, a bank.</w:t>
      </w:r>
    </w:p>
    <w:p w:rsidR="008460C2" w:rsidRPr="0016112B" w:rsidRDefault="008460C2" w:rsidP="00534B97">
      <w:pPr>
        <w:pStyle w:val="Heading1"/>
        <w:keepNext/>
        <w:pageBreakBefore/>
        <w:spacing w:line="271" w:lineRule="auto"/>
        <w:rPr>
          <w:color w:val="4E8ABE"/>
        </w:rPr>
      </w:pPr>
      <w:r w:rsidRPr="0016112B">
        <w:rPr>
          <w:color w:val="4E8ABE"/>
        </w:rPr>
        <w:lastRenderedPageBreak/>
        <w:t>Key Terms</w:t>
      </w:r>
    </w:p>
    <w:p w:rsidR="008460C2" w:rsidRDefault="008460C2" w:rsidP="00534B97">
      <w:pPr>
        <w:pStyle w:val="Heading2"/>
        <w:spacing w:line="271" w:lineRule="auto"/>
        <w:sectPr w:rsidR="008460C2" w:rsidSect="00302527">
          <w:headerReference w:type="even" r:id="rId11"/>
          <w:headerReference w:type="default" r:id="rId12"/>
          <w:footerReference w:type="even" r:id="rId13"/>
          <w:footerReference w:type="default" r:id="rId14"/>
          <w:headerReference w:type="first" r:id="rId15"/>
          <w:footerReference w:type="first" r:id="rId16"/>
          <w:type w:val="continuous"/>
          <w:pgSz w:w="12242" w:h="15842" w:code="1"/>
          <w:pgMar w:top="540" w:right="722" w:bottom="540" w:left="722" w:header="91" w:footer="0" w:gutter="0"/>
          <w:cols w:space="720"/>
        </w:sectPr>
      </w:pPr>
    </w:p>
    <w:tbl>
      <w:tblPr>
        <w:tblStyle w:val="TableGrid"/>
        <w:tblW w:w="5393" w:type="dxa"/>
        <w:tblCellMar>
          <w:top w:w="58" w:type="dxa"/>
          <w:left w:w="173" w:type="dxa"/>
          <w:bottom w:w="58" w:type="dxa"/>
          <w:right w:w="115" w:type="dxa"/>
        </w:tblCellMar>
        <w:tblLook w:val="04A0" w:firstRow="1" w:lastRow="0" w:firstColumn="1" w:lastColumn="0" w:noHBand="0" w:noVBand="1"/>
      </w:tblPr>
      <w:tblGrid>
        <w:gridCol w:w="5393"/>
      </w:tblGrid>
      <w:tr w:rsidR="00187CD3" w:rsidTr="007B5E13">
        <w:trPr>
          <w:cantSplit/>
          <w:trHeight w:val="12816"/>
        </w:trPr>
        <w:tc>
          <w:tcPr>
            <w:tcW w:w="5393" w:type="dxa"/>
            <w:tcBorders>
              <w:top w:val="nil"/>
              <w:left w:val="nil"/>
              <w:bottom w:val="nil"/>
              <w:right w:val="nil"/>
            </w:tcBorders>
          </w:tcPr>
          <w:p w:rsidR="00101A2D" w:rsidRPr="00976FD2" w:rsidRDefault="00101A2D" w:rsidP="00D974FD">
            <w:pPr>
              <w:pStyle w:val="Heading2"/>
              <w:keepNext w:val="0"/>
              <w:spacing w:before="60" w:after="40" w:line="264" w:lineRule="auto"/>
              <w:rPr>
                <w:color w:val="auto"/>
              </w:rPr>
            </w:pPr>
            <w:r w:rsidRPr="008D20D6">
              <w:rPr>
                <w:rStyle w:val="Heading5Char"/>
              </w:rPr>
              <w:t>Issuer:</w:t>
            </w:r>
            <w:r w:rsidRPr="00976FD2">
              <w:rPr>
                <w:rFonts w:eastAsia="Arial" w:cs="Arial"/>
                <w:b/>
                <w:bCs/>
                <w:color w:val="auto"/>
                <w:szCs w:val="18"/>
              </w:rPr>
              <w:t xml:space="preserve"> </w:t>
            </w:r>
            <w:r w:rsidRPr="00976FD2">
              <w:rPr>
                <w:color w:val="auto"/>
              </w:rPr>
              <w:t>JPMorgan Chase Financial Company LLC</w:t>
            </w:r>
            <w:r w:rsidR="00722DA3">
              <w:rPr>
                <w:color w:val="auto"/>
              </w:rPr>
              <w:t>, an indirect, wholly owned finance subsidiary of JPMorgan Chase &amp; Co.</w:t>
            </w:r>
          </w:p>
          <w:p w:rsidR="00101A2D" w:rsidRPr="00976FD2" w:rsidRDefault="00101A2D" w:rsidP="00D974FD">
            <w:pPr>
              <w:pStyle w:val="Heading2"/>
              <w:keepNext w:val="0"/>
              <w:spacing w:before="60" w:after="40" w:line="264" w:lineRule="auto"/>
              <w:rPr>
                <w:color w:val="auto"/>
              </w:rPr>
            </w:pPr>
            <w:r w:rsidRPr="006D2BB1">
              <w:rPr>
                <w:rStyle w:val="Heading5Char"/>
              </w:rPr>
              <w:t>Guarantor:</w:t>
            </w:r>
            <w:r w:rsidRPr="00976FD2">
              <w:rPr>
                <w:color w:val="auto"/>
              </w:rPr>
              <w:t xml:space="preserve"> JPMorgan Chase &amp; Co.</w:t>
            </w:r>
          </w:p>
          <w:p w:rsidR="00187CD3" w:rsidRPr="00976FD2" w:rsidRDefault="00593BC3" w:rsidP="00D974FD">
            <w:pPr>
              <w:pStyle w:val="Heading2"/>
              <w:keepNext w:val="0"/>
              <w:spacing w:before="60" w:after="40" w:line="264" w:lineRule="auto"/>
              <w:rPr>
                <w:color w:val="auto"/>
              </w:rPr>
            </w:pPr>
            <w:r w:rsidRPr="00593BC3">
              <w:rPr>
                <w:rStyle w:val="Heading5Char"/>
              </w:rPr>
              <w:t>Index</w:t>
            </w:r>
            <w:r w:rsidR="00187CD3" w:rsidRPr="008D20D6">
              <w:rPr>
                <w:rStyle w:val="Heading5Char"/>
              </w:rPr>
              <w:t>:</w:t>
            </w:r>
            <w:r w:rsidR="00187CD3" w:rsidRPr="00976FD2">
              <w:rPr>
                <w:color w:val="auto"/>
                <w:szCs w:val="18"/>
              </w:rPr>
              <w:t xml:space="preserve"> </w:t>
            </w:r>
            <w:r w:rsidR="00187CD3" w:rsidRPr="00594EE7">
              <w:rPr>
                <w:rFonts w:eastAsia="Arial" w:cs="Arial"/>
                <w:bCs/>
                <w:color w:val="auto"/>
                <w:szCs w:val="16"/>
              </w:rPr>
              <w:t xml:space="preserve">The </w:t>
            </w:r>
            <w:r w:rsidR="009809FB" w:rsidRPr="00594EE7">
              <w:rPr>
                <w:rFonts w:eastAsia="Arial" w:cs="Arial"/>
                <w:bCs/>
                <w:color w:val="auto"/>
                <w:szCs w:val="16"/>
              </w:rPr>
              <w:t>S&amp;P 500</w:t>
            </w:r>
            <w:r w:rsidR="009809FB" w:rsidRPr="00594EE7">
              <w:rPr>
                <w:rFonts w:eastAsia="Arial" w:cs="Arial"/>
                <w:bCs/>
                <w:color w:val="auto"/>
                <w:szCs w:val="16"/>
                <w:vertAlign w:val="superscript"/>
              </w:rPr>
              <w:t>®</w:t>
            </w:r>
            <w:r w:rsidR="009809FB" w:rsidRPr="00594EE7">
              <w:rPr>
                <w:rFonts w:eastAsia="Arial" w:cs="Arial"/>
                <w:bCs/>
                <w:color w:val="auto"/>
                <w:szCs w:val="16"/>
              </w:rPr>
              <w:t xml:space="preserve"> Index (Bloomberg ticker: SPX)</w:t>
            </w:r>
          </w:p>
          <w:p w:rsidR="00187CD3" w:rsidRPr="00976FD2" w:rsidRDefault="00187CD3" w:rsidP="001B1D06">
            <w:pPr>
              <w:spacing w:before="60" w:after="40" w:line="264" w:lineRule="auto"/>
              <w:rPr>
                <w:szCs w:val="18"/>
              </w:rPr>
            </w:pPr>
            <w:r w:rsidRPr="00976FD2">
              <w:rPr>
                <w:rStyle w:val="Heading5Char"/>
              </w:rPr>
              <w:t>Contingent Interest Payments:</w:t>
            </w:r>
            <w:r w:rsidR="009C2B46" w:rsidRPr="00384994">
              <w:rPr>
                <w:color w:val="54301A"/>
                <w:szCs w:val="18"/>
              </w:rPr>
              <w:t xml:space="preserve"> </w:t>
            </w:r>
            <w:r w:rsidRPr="00976FD2">
              <w:rPr>
                <w:szCs w:val="16"/>
              </w:rPr>
              <w:t xml:space="preserve">If the notes have not been </w:t>
            </w:r>
            <w:r w:rsidR="00BA300F" w:rsidRPr="00976FD2">
              <w:rPr>
                <w:szCs w:val="16"/>
              </w:rPr>
              <w:t>automatically called</w:t>
            </w:r>
            <w:r w:rsidRPr="00976FD2">
              <w:rPr>
                <w:szCs w:val="16"/>
              </w:rPr>
              <w:t xml:space="preserve"> and the </w:t>
            </w:r>
            <w:r w:rsidR="00593BC3">
              <w:t>closing level of the Index</w:t>
            </w:r>
            <w:r w:rsidRPr="00976FD2">
              <w:rPr>
                <w:szCs w:val="16"/>
              </w:rPr>
              <w:t xml:space="preserve"> on any </w:t>
            </w:r>
            <w:r w:rsidR="00593BC3">
              <w:t>Review</w:t>
            </w:r>
            <w:r w:rsidRPr="00976FD2">
              <w:rPr>
                <w:szCs w:val="16"/>
              </w:rPr>
              <w:t xml:space="preserve"> Date is greater than or equal to the Interest Barrier, you will receive on the applicable Interest Payment Date for each $1,000 principal amount note a Contingent Interest Payment equal to </w:t>
            </w:r>
            <w:r w:rsidR="00441406">
              <w:t>at least</w:t>
            </w:r>
            <w:r w:rsidR="006B16C3">
              <w:t xml:space="preserve"> $</w:t>
            </w:r>
            <w:r w:rsidR="0016494E">
              <w:t>6.50</w:t>
            </w:r>
            <w:r w:rsidR="006B16C3">
              <w:t xml:space="preserve"> </w:t>
            </w:r>
            <w:r w:rsidRPr="00976FD2">
              <w:rPr>
                <w:szCs w:val="16"/>
              </w:rPr>
              <w:t xml:space="preserve">(equivalent to a Contingent Interest Rate of </w:t>
            </w:r>
            <w:r w:rsidR="00441406">
              <w:t xml:space="preserve">at least </w:t>
            </w:r>
            <w:r w:rsidR="0016494E">
              <w:t>7.80</w:t>
            </w:r>
            <w:r w:rsidR="00441406">
              <w:t>%</w:t>
            </w:r>
            <w:r w:rsidR="00593BC3">
              <w:t xml:space="preserve"> </w:t>
            </w:r>
            <w:r w:rsidRPr="00976FD2">
              <w:rPr>
                <w:szCs w:val="16"/>
              </w:rPr>
              <w:t xml:space="preserve">per annum, payable at a rate of </w:t>
            </w:r>
            <w:r w:rsidR="00441406">
              <w:t>at least</w:t>
            </w:r>
            <w:r w:rsidR="006B16C3">
              <w:t xml:space="preserve"> </w:t>
            </w:r>
            <w:r w:rsidR="0016494E">
              <w:t>0.65</w:t>
            </w:r>
            <w:r w:rsidR="006B16C3">
              <w:t xml:space="preserve">% per </w:t>
            </w:r>
            <w:r w:rsidR="00D35312">
              <w:t>month</w:t>
            </w:r>
            <w:r w:rsidRPr="00976FD2">
              <w:rPr>
                <w:szCs w:val="16"/>
              </w:rPr>
              <w:t>)</w:t>
            </w:r>
            <w:r w:rsidR="00593BC3">
              <w:t xml:space="preserve"> (to be provided in the pricing supplement).</w:t>
            </w:r>
          </w:p>
          <w:p w:rsidR="00187CD3" w:rsidRPr="00976FD2" w:rsidRDefault="00593BC3" w:rsidP="00D974FD">
            <w:pPr>
              <w:spacing w:before="60" w:after="40" w:line="264" w:lineRule="auto"/>
              <w:rPr>
                <w:i/>
                <w:iCs/>
                <w:szCs w:val="18"/>
              </w:rPr>
            </w:pPr>
            <w:r w:rsidRPr="00593BC3">
              <w:rPr>
                <w:i/>
                <w:iCs/>
              </w:rPr>
              <w:t>If the closing level of the Index on any Review Date is less than the Interest Barrier, no Contingent Interest Payment will be made with respect to that Review Date.</w:t>
            </w:r>
          </w:p>
          <w:p w:rsidR="00187CD3" w:rsidRPr="00976FD2" w:rsidRDefault="00187CD3" w:rsidP="00952318">
            <w:pPr>
              <w:pStyle w:val="Heading2"/>
              <w:keepNext w:val="0"/>
              <w:spacing w:before="60" w:after="40" w:line="264" w:lineRule="auto"/>
              <w:rPr>
                <w:color w:val="auto"/>
              </w:rPr>
            </w:pPr>
            <w:r w:rsidRPr="008D20D6">
              <w:rPr>
                <w:rStyle w:val="Heading5Char"/>
              </w:rPr>
              <w:t>Contingent Interest Rate:</w:t>
            </w:r>
            <w:r w:rsidRPr="00976FD2">
              <w:rPr>
                <w:color w:val="auto"/>
              </w:rPr>
              <w:t xml:space="preserve"> </w:t>
            </w:r>
            <w:r w:rsidR="00441406">
              <w:rPr>
                <w:color w:val="auto"/>
              </w:rPr>
              <w:t xml:space="preserve">At least </w:t>
            </w:r>
            <w:r w:rsidR="0016494E">
              <w:rPr>
                <w:color w:val="auto"/>
              </w:rPr>
              <w:t>7.80</w:t>
            </w:r>
            <w:r w:rsidR="006B16C3">
              <w:rPr>
                <w:color w:val="auto"/>
              </w:rPr>
              <w:t>%</w:t>
            </w:r>
            <w:r w:rsidR="00593BC3" w:rsidRPr="00593BC3">
              <w:rPr>
                <w:color w:val="auto"/>
              </w:rPr>
              <w:t xml:space="preserve"> </w:t>
            </w:r>
            <w:r w:rsidRPr="00976FD2">
              <w:rPr>
                <w:color w:val="auto"/>
              </w:rPr>
              <w:t xml:space="preserve">per annum, payable at a rate of </w:t>
            </w:r>
            <w:r w:rsidR="00441406">
              <w:rPr>
                <w:color w:val="auto"/>
              </w:rPr>
              <w:t xml:space="preserve">at least </w:t>
            </w:r>
            <w:r w:rsidR="0016494E">
              <w:rPr>
                <w:color w:val="auto"/>
              </w:rPr>
              <w:t>0.65</w:t>
            </w:r>
            <w:r w:rsidR="006B16C3">
              <w:rPr>
                <w:color w:val="auto"/>
              </w:rPr>
              <w:t xml:space="preserve">% per </w:t>
            </w:r>
            <w:r w:rsidR="00D35312">
              <w:rPr>
                <w:color w:val="auto"/>
              </w:rPr>
              <w:t>month</w:t>
            </w:r>
            <w:r w:rsidR="00593BC3" w:rsidRPr="00593BC3">
              <w:rPr>
                <w:color w:val="auto"/>
              </w:rPr>
              <w:t xml:space="preserve"> (to be provided in the pricing supplement)</w:t>
            </w:r>
          </w:p>
          <w:p w:rsidR="00C965B6" w:rsidRDefault="00593BC3" w:rsidP="000D39B9">
            <w:pPr>
              <w:spacing w:before="60" w:after="40" w:line="264" w:lineRule="auto"/>
              <w:rPr>
                <w:bCs w:val="0"/>
                <w:szCs w:val="18"/>
              </w:rPr>
            </w:pPr>
            <w:r w:rsidRPr="00593BC3">
              <w:rPr>
                <w:b/>
                <w:bCs w:val="0"/>
                <w:color w:val="54301A"/>
                <w:szCs w:val="18"/>
              </w:rPr>
              <w:t>Interest Barrier</w:t>
            </w:r>
            <w:r w:rsidR="00C10CC0">
              <w:rPr>
                <w:b/>
                <w:bCs w:val="0"/>
                <w:color w:val="54301A"/>
                <w:szCs w:val="18"/>
              </w:rPr>
              <w:t xml:space="preserve"> / Buffer Threshold</w:t>
            </w:r>
            <w:r w:rsidR="00187CD3" w:rsidRPr="007B28F6">
              <w:rPr>
                <w:b/>
                <w:bCs w:val="0"/>
                <w:color w:val="54301A"/>
                <w:szCs w:val="18"/>
              </w:rPr>
              <w:t>:</w:t>
            </w:r>
            <w:r w:rsidR="00187CD3" w:rsidRPr="00E33213">
              <w:rPr>
                <w:color w:val="54301A"/>
                <w:szCs w:val="18"/>
              </w:rPr>
              <w:t xml:space="preserve"> </w:t>
            </w:r>
            <w:r w:rsidR="008E7C15">
              <w:rPr>
                <w:bCs w:val="0"/>
                <w:szCs w:val="18"/>
              </w:rPr>
              <w:t>80.00</w:t>
            </w:r>
            <w:r w:rsidRPr="00593BC3">
              <w:rPr>
                <w:bCs w:val="0"/>
                <w:szCs w:val="18"/>
              </w:rPr>
              <w:t>% of the Initial Value</w:t>
            </w:r>
          </w:p>
          <w:p w:rsidR="000D39B9" w:rsidRDefault="000D39B9" w:rsidP="000D39B9">
            <w:pPr>
              <w:spacing w:before="60" w:after="40" w:line="264" w:lineRule="auto"/>
            </w:pPr>
            <w:r>
              <w:rPr>
                <w:b/>
                <w:bCs w:val="0"/>
                <w:color w:val="54301A"/>
                <w:szCs w:val="18"/>
              </w:rPr>
              <w:t>Buffer Amount</w:t>
            </w:r>
            <w:r w:rsidRPr="007B28F6">
              <w:rPr>
                <w:b/>
                <w:bCs w:val="0"/>
                <w:color w:val="54301A"/>
                <w:szCs w:val="18"/>
              </w:rPr>
              <w:t>:</w:t>
            </w:r>
            <w:r w:rsidRPr="00E33213">
              <w:rPr>
                <w:color w:val="54301A"/>
                <w:szCs w:val="18"/>
              </w:rPr>
              <w:t xml:space="preserve"> </w:t>
            </w:r>
            <w:r w:rsidR="00DB7E16">
              <w:rPr>
                <w:bCs w:val="0"/>
                <w:szCs w:val="18"/>
              </w:rPr>
              <w:t>20.00</w:t>
            </w:r>
            <w:r>
              <w:rPr>
                <w:bCs w:val="0"/>
                <w:szCs w:val="18"/>
              </w:rPr>
              <w:t>%</w:t>
            </w:r>
          </w:p>
          <w:p w:rsidR="00187CD3" w:rsidRPr="00976FD2" w:rsidRDefault="00187CD3" w:rsidP="00AB52B4">
            <w:pPr>
              <w:spacing w:before="60" w:after="40" w:line="264" w:lineRule="auto"/>
            </w:pPr>
            <w:r w:rsidRPr="008D20D6">
              <w:rPr>
                <w:rStyle w:val="Heading5Char"/>
              </w:rPr>
              <w:t>Pricing Date:</w:t>
            </w:r>
            <w:r w:rsidRPr="00E33213">
              <w:rPr>
                <w:szCs w:val="18"/>
              </w:rPr>
              <w:t xml:space="preserve"> </w:t>
            </w:r>
            <w:r w:rsidRPr="00976FD2">
              <w:t xml:space="preserve">On or about </w:t>
            </w:r>
            <w:r w:rsidR="008E7C15">
              <w:t>June 23, 2022</w:t>
            </w:r>
          </w:p>
          <w:p w:rsidR="00187CD3" w:rsidRPr="00976FD2" w:rsidRDefault="00187CD3" w:rsidP="001B1D06">
            <w:pPr>
              <w:pStyle w:val="Heading2"/>
              <w:keepNext w:val="0"/>
              <w:tabs>
                <w:tab w:val="left" w:pos="3184"/>
              </w:tabs>
              <w:spacing w:before="60" w:after="40" w:line="264" w:lineRule="auto"/>
              <w:rPr>
                <w:color w:val="auto"/>
              </w:rPr>
            </w:pPr>
            <w:r w:rsidRPr="008D20D6">
              <w:rPr>
                <w:rStyle w:val="Heading5Char"/>
              </w:rPr>
              <w:t>Original Issue Date (Settlement Date):</w:t>
            </w:r>
            <w:r w:rsidRPr="00976FD2">
              <w:rPr>
                <w:color w:val="auto"/>
              </w:rPr>
              <w:t xml:space="preserve"> On or about</w:t>
            </w:r>
            <w:r w:rsidR="00AB52B4">
              <w:rPr>
                <w:color w:val="auto"/>
              </w:rPr>
              <w:t xml:space="preserve"> </w:t>
            </w:r>
            <w:r w:rsidR="008E7C15">
              <w:rPr>
                <w:color w:val="auto"/>
              </w:rPr>
              <w:t>June 28, 2022</w:t>
            </w:r>
          </w:p>
          <w:p w:rsidR="00187CD3" w:rsidRPr="00976FD2" w:rsidRDefault="00593BC3" w:rsidP="00AB52B4">
            <w:pPr>
              <w:pStyle w:val="Heading2"/>
              <w:spacing w:before="60" w:after="40" w:line="264" w:lineRule="auto"/>
            </w:pPr>
            <w:r w:rsidRPr="00593BC3">
              <w:rPr>
                <w:rStyle w:val="Heading5Char"/>
              </w:rPr>
              <w:t>Review</w:t>
            </w:r>
            <w:r w:rsidR="00187CD3" w:rsidRPr="008D20D6">
              <w:rPr>
                <w:rStyle w:val="Heading5Char"/>
              </w:rPr>
              <w:t xml:space="preserve"> Dates*:</w:t>
            </w:r>
            <w:r w:rsidR="00187CD3" w:rsidRPr="00976FD2">
              <w:rPr>
                <w:color w:val="auto"/>
              </w:rPr>
              <w:t xml:space="preserve"> </w:t>
            </w:r>
            <w:r w:rsidR="00DB7E16" w:rsidRPr="00DB7E16">
              <w:rPr>
                <w:color w:val="auto"/>
              </w:rPr>
              <w:t>July 25, 2022, August 23, 2022, September 23, 2022, October 24, 2022, November 23, 2022, December 23, 2022, January 23, 2023, February 23, 2023, March 23, 2023, April 24, 2023, May 23, 2023, June 23, 2023, July 24, 2023, August 23, 2023, September 25, 2023, October 23, 2023, November 24, 2023 and December 26, 2023</w:t>
            </w:r>
            <w:r w:rsidR="00AB4C5C" w:rsidRPr="00AB4C5C">
              <w:rPr>
                <w:color w:val="auto"/>
              </w:rPr>
              <w:t xml:space="preserve"> </w:t>
            </w:r>
            <w:r w:rsidRPr="00593BC3">
              <w:rPr>
                <w:color w:val="auto"/>
              </w:rPr>
              <w:t>(final Review Date)</w:t>
            </w:r>
          </w:p>
          <w:p w:rsidR="00294E3D" w:rsidRPr="00976FD2" w:rsidRDefault="00187CD3" w:rsidP="00D3337A">
            <w:pPr>
              <w:spacing w:before="60" w:after="40" w:line="264" w:lineRule="auto"/>
            </w:pPr>
            <w:r w:rsidRPr="008D20D6">
              <w:rPr>
                <w:rStyle w:val="Heading5Char"/>
              </w:rPr>
              <w:t>Interest Payment Dates*:</w:t>
            </w:r>
            <w:r w:rsidRPr="00B94FA1">
              <w:rPr>
                <w:rFonts w:eastAsiaTheme="majorEastAsia" w:cstheme="majorBidi"/>
                <w:bCs w:val="0"/>
                <w:szCs w:val="26"/>
              </w:rPr>
              <w:t xml:space="preserve"> </w:t>
            </w:r>
            <w:r w:rsidR="00DB7E16" w:rsidRPr="00DB7E16">
              <w:rPr>
                <w:rFonts w:eastAsiaTheme="majorEastAsia" w:cstheme="majorBidi"/>
                <w:bCs w:val="0"/>
                <w:szCs w:val="26"/>
              </w:rPr>
              <w:t>July 28, 2022, August 26, 2022, September 28, 2022, October 27, 2022, November 29, 2022, December 29, 2022, January 26, 2023, February 28, 2023, March 28, 2023, April 27, 2023, May 26, 2023, June 28, 2023, July 27, 2023, August 28, 2023, September 28, 2023, October 26, 2023, Novembe</w:t>
            </w:r>
            <w:r w:rsidR="00DB7E16">
              <w:rPr>
                <w:rFonts w:eastAsiaTheme="majorEastAsia" w:cstheme="majorBidi"/>
                <w:bCs w:val="0"/>
                <w:szCs w:val="26"/>
              </w:rPr>
              <w:t>r 29, 2023</w:t>
            </w:r>
            <w:r w:rsidR="00C92EE8" w:rsidRPr="00C92EE8">
              <w:rPr>
                <w:rFonts w:eastAsiaTheme="majorEastAsia" w:cstheme="majorBidi"/>
                <w:bCs w:val="0"/>
                <w:szCs w:val="26"/>
              </w:rPr>
              <w:t xml:space="preserve"> </w:t>
            </w:r>
            <w:r w:rsidR="00AB4C5C" w:rsidRPr="00B94FA1">
              <w:rPr>
                <w:rFonts w:eastAsiaTheme="majorEastAsia" w:cstheme="majorBidi"/>
                <w:bCs w:val="0"/>
                <w:szCs w:val="26"/>
              </w:rPr>
              <w:t xml:space="preserve">and </w:t>
            </w:r>
            <w:r w:rsidR="00593BC3" w:rsidRPr="00B94FA1">
              <w:rPr>
                <w:rFonts w:eastAsiaTheme="majorEastAsia" w:cstheme="majorBidi"/>
                <w:bCs w:val="0"/>
                <w:szCs w:val="26"/>
              </w:rPr>
              <w:t>the Maturity Date</w:t>
            </w:r>
          </w:p>
          <w:p w:rsidR="00187CD3" w:rsidRPr="00976FD2" w:rsidRDefault="00187CD3" w:rsidP="001B1D06">
            <w:pPr>
              <w:spacing w:before="60" w:after="40" w:line="264" w:lineRule="auto"/>
            </w:pPr>
            <w:r w:rsidRPr="008D20D6">
              <w:rPr>
                <w:rStyle w:val="Heading5Char"/>
              </w:rPr>
              <w:t>Maturity Date*:</w:t>
            </w:r>
            <w:r w:rsidRPr="00976FD2">
              <w:t xml:space="preserve"> </w:t>
            </w:r>
            <w:r w:rsidR="008E7C15">
              <w:t>December 29, 2023</w:t>
            </w:r>
          </w:p>
          <w:p w:rsidR="00F130AC" w:rsidRPr="00976FD2" w:rsidRDefault="00F130AC" w:rsidP="00BC2241">
            <w:pPr>
              <w:spacing w:before="60" w:after="40" w:line="264" w:lineRule="auto"/>
            </w:pPr>
            <w:r w:rsidRPr="008D20D6">
              <w:rPr>
                <w:rStyle w:val="Heading5Char"/>
              </w:rPr>
              <w:t>Call Settlement Date*:</w:t>
            </w:r>
            <w:r w:rsidRPr="00E33213">
              <w:rPr>
                <w:b/>
                <w:szCs w:val="18"/>
              </w:rPr>
              <w:t xml:space="preserve"> </w:t>
            </w:r>
            <w:r w:rsidRPr="00976FD2">
              <w:t xml:space="preserve"> If the notes are automatically called on any Review </w:t>
            </w:r>
            <w:r w:rsidR="00593BC3">
              <w:t xml:space="preserve">Date (other than </w:t>
            </w:r>
            <w:r w:rsidR="0027398F">
              <w:t>the first</w:t>
            </w:r>
            <w:r w:rsidR="00BC2241">
              <w:t xml:space="preserve"> through fifth</w:t>
            </w:r>
            <w:r w:rsidR="0027398F">
              <w:t xml:space="preserve"> and final Review Dates</w:t>
            </w:r>
            <w:r w:rsidR="00593BC3">
              <w:t>)</w:t>
            </w:r>
            <w:r w:rsidRPr="00976FD2">
              <w:t xml:space="preserve">, the first Interest Payment Date immediately following that </w:t>
            </w:r>
            <w:r w:rsidR="00593BC3">
              <w:t>Review</w:t>
            </w:r>
            <w:r w:rsidRPr="00976FD2">
              <w:t xml:space="preserve"> Date</w:t>
            </w:r>
          </w:p>
          <w:p w:rsidR="00187CD3" w:rsidRPr="007660EB" w:rsidRDefault="00187CD3" w:rsidP="00D974FD">
            <w:pPr>
              <w:pStyle w:val="body8pt"/>
              <w:spacing w:before="60" w:after="40" w:line="264" w:lineRule="auto"/>
              <w:ind w:left="0"/>
            </w:pPr>
            <w:r w:rsidRPr="007660EB">
              <w:t xml:space="preserve">* Subject to postponement in the event of a market disruption event and as described under </w:t>
            </w:r>
            <w:r w:rsidR="00593BC3">
              <w:t>“</w:t>
            </w:r>
            <w:r w:rsidRPr="007660EB">
              <w:t xml:space="preserve">General Terms of Notes — Postponement of a Determination Date — Notes Linked to a Single Underlying — Notes Linked to a Single Underlying </w:t>
            </w:r>
            <w:r w:rsidR="00B6527B" w:rsidRPr="007660EB">
              <w:t>(</w:t>
            </w:r>
            <w:r w:rsidRPr="007660EB">
              <w:t>Other Than a Commodity Index</w:t>
            </w:r>
            <w:r w:rsidR="00B6527B" w:rsidRPr="007660EB">
              <w:t>)</w:t>
            </w:r>
            <w:r w:rsidR="00593BC3">
              <w:t>”</w:t>
            </w:r>
            <w:r w:rsidRPr="007660EB">
              <w:t xml:space="preserve"> and </w:t>
            </w:r>
            <w:r w:rsidR="00593BC3">
              <w:t>“</w:t>
            </w:r>
            <w:r w:rsidRPr="007660EB">
              <w:t>General Terms of Notes — Postponement of a Payment Date</w:t>
            </w:r>
            <w:r w:rsidR="00593BC3">
              <w:t>”</w:t>
            </w:r>
            <w:r w:rsidRPr="007660EB">
              <w:t xml:space="preserve"> in the accompanying product supplement </w:t>
            </w:r>
            <w:r w:rsidR="00C1123C" w:rsidRPr="007660EB">
              <w:t xml:space="preserve"> </w:t>
            </w:r>
          </w:p>
        </w:tc>
      </w:tr>
      <w:tr w:rsidR="001D1FE6" w:rsidTr="005233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1356"/>
        </w:trPr>
        <w:tc>
          <w:tcPr>
            <w:tcW w:w="5393" w:type="dxa"/>
          </w:tcPr>
          <w:p w:rsidR="005233E0" w:rsidRDefault="00B33391" w:rsidP="008D20D6">
            <w:pPr>
              <w:pStyle w:val="Heading5"/>
              <w:spacing w:before="0"/>
            </w:pPr>
            <w:r>
              <w:t>Automatic Call</w:t>
            </w:r>
            <w:r w:rsidR="005233E0" w:rsidRPr="00A9693A">
              <w:t>:</w:t>
            </w:r>
          </w:p>
          <w:p w:rsidR="005233E0" w:rsidRPr="00B33391" w:rsidRDefault="00B33391" w:rsidP="00BC2241">
            <w:pPr>
              <w:spacing w:before="0" w:line="260" w:lineRule="exact"/>
            </w:pPr>
            <w:r w:rsidRPr="0081775B">
              <w:rPr>
                <w:szCs w:val="18"/>
              </w:rPr>
              <w:t xml:space="preserve">If the </w:t>
            </w:r>
            <w:r w:rsidR="00593BC3" w:rsidRPr="00593BC3">
              <w:rPr>
                <w:szCs w:val="18"/>
              </w:rPr>
              <w:t>closing level of the Index</w:t>
            </w:r>
            <w:r w:rsidRPr="0081775B">
              <w:rPr>
                <w:szCs w:val="18"/>
              </w:rPr>
              <w:t xml:space="preserve"> on any </w:t>
            </w:r>
            <w:r w:rsidR="00593BC3" w:rsidRPr="00593BC3">
              <w:rPr>
                <w:bCs w:val="0"/>
              </w:rPr>
              <w:t>Review</w:t>
            </w:r>
            <w:r w:rsidRPr="0081775B">
              <w:rPr>
                <w:szCs w:val="18"/>
              </w:rPr>
              <w:t xml:space="preserve"> </w:t>
            </w:r>
            <w:r w:rsidR="00593BC3" w:rsidRPr="00593BC3">
              <w:rPr>
                <w:szCs w:val="18"/>
              </w:rPr>
              <w:t xml:space="preserve">Date (other than </w:t>
            </w:r>
            <w:r w:rsidR="00BC2241">
              <w:rPr>
                <w:szCs w:val="18"/>
              </w:rPr>
              <w:t>the first through</w:t>
            </w:r>
            <w:r w:rsidR="00D974FD">
              <w:rPr>
                <w:szCs w:val="18"/>
              </w:rPr>
              <w:t xml:space="preserve"> </w:t>
            </w:r>
            <w:r w:rsidR="00BC2241">
              <w:rPr>
                <w:szCs w:val="18"/>
              </w:rPr>
              <w:t>fifth</w:t>
            </w:r>
            <w:r w:rsidR="0027398F">
              <w:rPr>
                <w:szCs w:val="18"/>
              </w:rPr>
              <w:t xml:space="preserve"> and final Review Dates</w:t>
            </w:r>
            <w:r w:rsidR="00593BC3" w:rsidRPr="00593BC3">
              <w:rPr>
                <w:szCs w:val="18"/>
              </w:rPr>
              <w:t>)</w:t>
            </w:r>
            <w:r w:rsidRPr="0081775B">
              <w:rPr>
                <w:szCs w:val="18"/>
              </w:rPr>
              <w:t xml:space="preserve"> is</w:t>
            </w:r>
            <w:r>
              <w:rPr>
                <w:szCs w:val="18"/>
              </w:rPr>
              <w:t xml:space="preserve"> greater than or equal to the</w:t>
            </w:r>
            <w:r w:rsidR="00C1326C">
              <w:rPr>
                <w:szCs w:val="18"/>
              </w:rPr>
              <w:t xml:space="preserve"> </w:t>
            </w:r>
            <w:r w:rsidR="00593BC3" w:rsidRPr="00593BC3">
              <w:rPr>
                <w:szCs w:val="18"/>
              </w:rPr>
              <w:t>Initial Value</w:t>
            </w:r>
            <w:r w:rsidRPr="0081775B">
              <w:rPr>
                <w:szCs w:val="18"/>
              </w:rPr>
              <w:t xml:space="preserve">, the notes will be automatically called for a cash payment, for each $1,000 principal amount note, equal to (a) $1,000 </w:t>
            </w:r>
            <w:r w:rsidRPr="00ED162E">
              <w:rPr>
                <w:i/>
                <w:iCs/>
                <w:szCs w:val="18"/>
              </w:rPr>
              <w:t>plus</w:t>
            </w:r>
            <w:r w:rsidRPr="0081775B">
              <w:rPr>
                <w:szCs w:val="18"/>
              </w:rPr>
              <w:t xml:space="preserve"> (b) the Contingent Interest Payment applicable to </w:t>
            </w:r>
            <w:r w:rsidR="00593BC3" w:rsidRPr="00593BC3">
              <w:rPr>
                <w:bCs w:val="0"/>
              </w:rPr>
              <w:t>that</w:t>
            </w:r>
            <w:r w:rsidRPr="0081775B">
              <w:rPr>
                <w:szCs w:val="18"/>
              </w:rPr>
              <w:t xml:space="preserve"> </w:t>
            </w:r>
            <w:r w:rsidR="00593BC3" w:rsidRPr="00593BC3">
              <w:rPr>
                <w:bCs w:val="0"/>
              </w:rPr>
              <w:t>Review</w:t>
            </w:r>
            <w:r w:rsidRPr="0081775B">
              <w:rPr>
                <w:szCs w:val="18"/>
              </w:rPr>
              <w:t xml:space="preserve"> Date, payable on the applicable Call Settlement Date</w:t>
            </w:r>
            <w:r w:rsidR="00422B5A" w:rsidRPr="0081775B">
              <w:rPr>
                <w:szCs w:val="18"/>
              </w:rPr>
              <w:t>.</w:t>
            </w:r>
            <w:r w:rsidR="00422B5A">
              <w:rPr>
                <w:szCs w:val="18"/>
              </w:rPr>
              <w:t xml:space="preserve">  </w:t>
            </w:r>
            <w:r w:rsidRPr="0081775B">
              <w:rPr>
                <w:szCs w:val="18"/>
              </w:rPr>
              <w:t>No further payments will be made on the notes.</w:t>
            </w:r>
          </w:p>
          <w:p w:rsidR="001D1FE6" w:rsidRPr="006305C1" w:rsidRDefault="001D1FE6" w:rsidP="006D2BB1">
            <w:pPr>
              <w:pStyle w:val="Heading5"/>
            </w:pPr>
            <w:r w:rsidRPr="006305C1">
              <w:t>Payment at Maturity:</w:t>
            </w:r>
          </w:p>
          <w:p w:rsidR="00AB706D" w:rsidRPr="008D20D6" w:rsidRDefault="00AB706D" w:rsidP="004008CF">
            <w:pPr>
              <w:spacing w:before="0" w:line="260" w:lineRule="exact"/>
              <w:rPr>
                <w:szCs w:val="18"/>
              </w:rPr>
            </w:pPr>
            <w:r w:rsidRPr="008D20D6">
              <w:rPr>
                <w:szCs w:val="18"/>
              </w:rPr>
              <w:t xml:space="preserve">If the notes have not been </w:t>
            </w:r>
            <w:r w:rsidR="00B33391" w:rsidRPr="008D20D6">
              <w:rPr>
                <w:szCs w:val="18"/>
              </w:rPr>
              <w:t>automatically called</w:t>
            </w:r>
            <w:r w:rsidRPr="008D20D6">
              <w:rPr>
                <w:szCs w:val="18"/>
              </w:rPr>
              <w:t xml:space="preserve"> </w:t>
            </w:r>
            <w:r w:rsidR="00593BC3" w:rsidRPr="00593BC3">
              <w:rPr>
                <w:bCs w:val="0"/>
              </w:rPr>
              <w:t xml:space="preserve">and the Final Value is greater than or equal to the </w:t>
            </w:r>
            <w:r w:rsidR="00C10CC0">
              <w:rPr>
                <w:bCs w:val="0"/>
              </w:rPr>
              <w:t>Buffer Threshold</w:t>
            </w:r>
            <w:r w:rsidRPr="008D20D6">
              <w:rPr>
                <w:szCs w:val="18"/>
              </w:rPr>
              <w:t xml:space="preserve">, you will receive a cash payment at maturity, for each $1,000 principal amount note, equal to (a) $1,000 </w:t>
            </w:r>
            <w:r w:rsidRPr="0068485E">
              <w:rPr>
                <w:i/>
                <w:iCs/>
                <w:szCs w:val="18"/>
              </w:rPr>
              <w:t>plus</w:t>
            </w:r>
            <w:r w:rsidRPr="008D20D6">
              <w:rPr>
                <w:szCs w:val="18"/>
              </w:rPr>
              <w:t xml:space="preserve"> (b) the Contingent Interest </w:t>
            </w:r>
            <w:r w:rsidR="00593BC3" w:rsidRPr="00593BC3">
              <w:rPr>
                <w:szCs w:val="18"/>
              </w:rPr>
              <w:t>Payment</w:t>
            </w:r>
            <w:r w:rsidR="005B48C4" w:rsidRPr="008D20D6">
              <w:rPr>
                <w:szCs w:val="18"/>
              </w:rPr>
              <w:t xml:space="preserve"> </w:t>
            </w:r>
            <w:r w:rsidRPr="008D20D6">
              <w:rPr>
                <w:szCs w:val="18"/>
              </w:rPr>
              <w:t xml:space="preserve">applicable to </w:t>
            </w:r>
            <w:r w:rsidR="0027398F">
              <w:rPr>
                <w:szCs w:val="18"/>
              </w:rPr>
              <w:t>the</w:t>
            </w:r>
            <w:r w:rsidR="004008CF">
              <w:rPr>
                <w:szCs w:val="18"/>
              </w:rPr>
              <w:t xml:space="preserve"> final Review Date</w:t>
            </w:r>
            <w:r w:rsidR="00593BC3" w:rsidRPr="00593BC3">
              <w:rPr>
                <w:szCs w:val="18"/>
              </w:rPr>
              <w:t>.</w:t>
            </w:r>
          </w:p>
          <w:p w:rsidR="00AB706D" w:rsidRPr="008D20D6" w:rsidRDefault="00AB706D" w:rsidP="002525BE">
            <w:pPr>
              <w:spacing w:before="0" w:line="260" w:lineRule="exact"/>
              <w:rPr>
                <w:szCs w:val="18"/>
              </w:rPr>
            </w:pPr>
            <w:r w:rsidRPr="008D20D6">
              <w:rPr>
                <w:szCs w:val="18"/>
              </w:rPr>
              <w:t xml:space="preserve">If the notes have not been </w:t>
            </w:r>
            <w:r w:rsidR="00B33391" w:rsidRPr="008D20D6">
              <w:rPr>
                <w:szCs w:val="18"/>
              </w:rPr>
              <w:t>automatically called</w:t>
            </w:r>
            <w:r w:rsidRPr="008D20D6">
              <w:rPr>
                <w:szCs w:val="18"/>
              </w:rPr>
              <w:t xml:space="preserve"> </w:t>
            </w:r>
            <w:r w:rsidR="00593BC3" w:rsidRPr="00593BC3">
              <w:rPr>
                <w:szCs w:val="18"/>
              </w:rPr>
              <w:t xml:space="preserve">and the Final Value is less than the </w:t>
            </w:r>
            <w:r w:rsidR="00C10CC0">
              <w:rPr>
                <w:szCs w:val="18"/>
              </w:rPr>
              <w:t>Buffer Threshold</w:t>
            </w:r>
            <w:r w:rsidRPr="008D20D6">
              <w:rPr>
                <w:szCs w:val="18"/>
              </w:rPr>
              <w:t xml:space="preserve">, your payment at maturity per $1,000 principal amount </w:t>
            </w:r>
            <w:r w:rsidR="00593BC3" w:rsidRPr="00593BC3">
              <w:rPr>
                <w:szCs w:val="18"/>
              </w:rPr>
              <w:t>note</w:t>
            </w:r>
            <w:r w:rsidRPr="008D20D6">
              <w:rPr>
                <w:szCs w:val="18"/>
              </w:rPr>
              <w:t xml:space="preserve"> will be calculated as follows:</w:t>
            </w:r>
          </w:p>
          <w:p w:rsidR="00AB706D" w:rsidRPr="008D20D6" w:rsidRDefault="00593BC3" w:rsidP="00DF3D08">
            <w:pPr>
              <w:spacing w:before="0" w:line="260" w:lineRule="exact"/>
              <w:jc w:val="center"/>
              <w:rPr>
                <w:szCs w:val="18"/>
              </w:rPr>
            </w:pPr>
            <w:r w:rsidRPr="00593BC3">
              <w:rPr>
                <w:szCs w:val="18"/>
              </w:rPr>
              <w:t xml:space="preserve">$1,000 + </w:t>
            </w:r>
            <w:r w:rsidR="00C10CC0">
              <w:rPr>
                <w:szCs w:val="18"/>
              </w:rPr>
              <w:t>[</w:t>
            </w:r>
            <w:r w:rsidRPr="00593BC3">
              <w:rPr>
                <w:szCs w:val="18"/>
              </w:rPr>
              <w:t xml:space="preserve">$1,000 × </w:t>
            </w:r>
            <w:r w:rsidR="00DE7C64">
              <w:rPr>
                <w:szCs w:val="18"/>
              </w:rPr>
              <w:t>(</w:t>
            </w:r>
            <w:r w:rsidRPr="00593BC3">
              <w:rPr>
                <w:szCs w:val="18"/>
              </w:rPr>
              <w:t>Index Return</w:t>
            </w:r>
            <w:r w:rsidR="00C10CC0" w:rsidRPr="00C10CC0">
              <w:rPr>
                <w:szCs w:val="18"/>
              </w:rPr>
              <w:t xml:space="preserve"> + Buffer Amount)]</w:t>
            </w:r>
          </w:p>
          <w:p w:rsidR="001D1FE6" w:rsidRPr="008D20D6" w:rsidRDefault="00AB706D" w:rsidP="006050CE">
            <w:pPr>
              <w:spacing w:before="0" w:line="260" w:lineRule="exact"/>
              <w:rPr>
                <w:i/>
                <w:iCs/>
                <w:szCs w:val="18"/>
              </w:rPr>
            </w:pPr>
            <w:r w:rsidRPr="008D20D6">
              <w:rPr>
                <w:i/>
                <w:iCs/>
                <w:szCs w:val="18"/>
              </w:rPr>
              <w:t xml:space="preserve">If the notes have not been </w:t>
            </w:r>
            <w:r w:rsidR="00B33391" w:rsidRPr="008D20D6">
              <w:rPr>
                <w:i/>
                <w:iCs/>
                <w:szCs w:val="18"/>
              </w:rPr>
              <w:t>automatically called</w:t>
            </w:r>
            <w:r w:rsidRPr="008D20D6">
              <w:rPr>
                <w:i/>
                <w:iCs/>
                <w:szCs w:val="18"/>
              </w:rPr>
              <w:t xml:space="preserve"> </w:t>
            </w:r>
            <w:r w:rsidR="00593BC3" w:rsidRPr="00593BC3">
              <w:rPr>
                <w:i/>
                <w:iCs/>
                <w:szCs w:val="18"/>
              </w:rPr>
              <w:t xml:space="preserve">and the Final Value is less than the </w:t>
            </w:r>
            <w:r w:rsidR="00C10CC0">
              <w:rPr>
                <w:i/>
                <w:iCs/>
                <w:szCs w:val="18"/>
              </w:rPr>
              <w:t>Buffer Threshold</w:t>
            </w:r>
            <w:r w:rsidR="005F1CA3" w:rsidRPr="008D20D6">
              <w:rPr>
                <w:i/>
                <w:iCs/>
                <w:szCs w:val="18"/>
              </w:rPr>
              <w:t xml:space="preserve">, you will lose </w:t>
            </w:r>
            <w:r w:rsidR="006175C8" w:rsidRPr="006175C8">
              <w:rPr>
                <w:i/>
                <w:iCs/>
                <w:szCs w:val="18"/>
              </w:rPr>
              <w:t>some or most</w:t>
            </w:r>
            <w:r w:rsidR="00593BC3" w:rsidRPr="00593BC3">
              <w:rPr>
                <w:i/>
                <w:iCs/>
                <w:szCs w:val="18"/>
              </w:rPr>
              <w:t xml:space="preserve"> of your principal amount at maturity.</w:t>
            </w:r>
          </w:p>
          <w:p w:rsidR="001D1FE6" w:rsidRPr="00491E9D" w:rsidRDefault="00593BC3" w:rsidP="008D20D6">
            <w:pPr>
              <w:pStyle w:val="Heading5"/>
              <w:rPr>
                <w:szCs w:val="18"/>
              </w:rPr>
            </w:pPr>
            <w:r w:rsidRPr="00593BC3">
              <w:rPr>
                <w:szCs w:val="18"/>
              </w:rPr>
              <w:t>Index Return</w:t>
            </w:r>
            <w:r w:rsidR="001D1FE6" w:rsidRPr="006305C1">
              <w:rPr>
                <w:szCs w:val="18"/>
              </w:rPr>
              <w:t>:</w:t>
            </w:r>
          </w:p>
          <w:p w:rsidR="001D1FE6" w:rsidRPr="008D20D6" w:rsidRDefault="001D1FE6" w:rsidP="00905761">
            <w:pPr>
              <w:spacing w:before="0" w:line="260" w:lineRule="exact"/>
              <w:jc w:val="center"/>
              <w:rPr>
                <w:szCs w:val="18"/>
              </w:rPr>
            </w:pPr>
            <w:r w:rsidRPr="008D20D6">
              <w:rPr>
                <w:szCs w:val="18"/>
                <w:u w:val="single"/>
              </w:rPr>
              <w:t xml:space="preserve">(Final Value </w:t>
            </w:r>
            <w:r w:rsidRPr="006860DC">
              <w:rPr>
                <w:szCs w:val="18"/>
                <w:u w:val="single"/>
              </w:rPr>
              <w:t xml:space="preserve">– </w:t>
            </w:r>
            <w:r w:rsidR="00593BC3" w:rsidRPr="006860DC">
              <w:rPr>
                <w:szCs w:val="18"/>
                <w:u w:val="single"/>
              </w:rPr>
              <w:t>Initial Value</w:t>
            </w:r>
            <w:r w:rsidRPr="006860DC">
              <w:rPr>
                <w:szCs w:val="18"/>
                <w:u w:val="single"/>
              </w:rPr>
              <w:t>)</w:t>
            </w:r>
            <w:r w:rsidRPr="008D20D6">
              <w:rPr>
                <w:szCs w:val="18"/>
              </w:rPr>
              <w:br/>
            </w:r>
            <w:r w:rsidR="00593BC3" w:rsidRPr="00593BC3">
              <w:rPr>
                <w:szCs w:val="18"/>
              </w:rPr>
              <w:t>Initial Value</w:t>
            </w:r>
          </w:p>
          <w:p w:rsidR="001D1FE6" w:rsidRPr="008D20D6" w:rsidRDefault="00593BC3" w:rsidP="00C1326C">
            <w:pPr>
              <w:pStyle w:val="Heading2"/>
              <w:keepNext w:val="0"/>
              <w:spacing w:before="0" w:line="260" w:lineRule="exact"/>
              <w:rPr>
                <w:color w:val="auto"/>
              </w:rPr>
            </w:pPr>
            <w:r w:rsidRPr="00593BC3">
              <w:rPr>
                <w:rStyle w:val="Heading5Char"/>
              </w:rPr>
              <w:t>Initial Value</w:t>
            </w:r>
            <w:r w:rsidR="001D1FE6" w:rsidRPr="008D20D6">
              <w:rPr>
                <w:rStyle w:val="Heading5Char"/>
              </w:rPr>
              <w:t>:</w:t>
            </w:r>
            <w:r w:rsidR="001D1FE6" w:rsidRPr="008D20D6">
              <w:rPr>
                <w:color w:val="auto"/>
              </w:rPr>
              <w:t xml:space="preserve"> The </w:t>
            </w:r>
            <w:r w:rsidRPr="00593BC3">
              <w:rPr>
                <w:color w:val="auto"/>
              </w:rPr>
              <w:t>closing level of the Index</w:t>
            </w:r>
            <w:r w:rsidR="001D1FE6" w:rsidRPr="008D20D6">
              <w:rPr>
                <w:color w:val="auto"/>
              </w:rPr>
              <w:t xml:space="preserve"> on the </w:t>
            </w:r>
            <w:r w:rsidRPr="00593BC3">
              <w:rPr>
                <w:color w:val="auto"/>
              </w:rPr>
              <w:t>Pricing Date</w:t>
            </w:r>
          </w:p>
          <w:p w:rsidR="001D1FE6" w:rsidRDefault="001D1FE6" w:rsidP="003E319C">
            <w:pPr>
              <w:pStyle w:val="Heading2"/>
              <w:keepNext w:val="0"/>
              <w:spacing w:before="0" w:after="120" w:line="260" w:lineRule="exact"/>
              <w:rPr>
                <w:color w:val="auto"/>
              </w:rPr>
            </w:pPr>
            <w:r w:rsidRPr="008D20D6">
              <w:rPr>
                <w:rStyle w:val="Heading5Char"/>
              </w:rPr>
              <w:t>Final Value:</w:t>
            </w:r>
            <w:r w:rsidRPr="008D20D6">
              <w:rPr>
                <w:color w:val="auto"/>
              </w:rPr>
              <w:t xml:space="preserve"> The </w:t>
            </w:r>
            <w:r w:rsidR="00593BC3" w:rsidRPr="00593BC3">
              <w:rPr>
                <w:color w:val="auto"/>
              </w:rPr>
              <w:t>closing level of the Index</w:t>
            </w:r>
            <w:r w:rsidR="00476E40">
              <w:rPr>
                <w:color w:val="auto"/>
              </w:rPr>
              <w:t xml:space="preserve"> on </w:t>
            </w:r>
            <w:r w:rsidR="0027398F">
              <w:rPr>
                <w:color w:val="auto"/>
              </w:rPr>
              <w:t>the</w:t>
            </w:r>
            <w:r w:rsidR="003E319C">
              <w:rPr>
                <w:color w:val="auto"/>
              </w:rPr>
              <w:t xml:space="preserve"> final Review Date</w:t>
            </w:r>
          </w:p>
          <w:p w:rsidR="00476E40" w:rsidRPr="00476E40" w:rsidRDefault="00476E40" w:rsidP="00476E40"/>
        </w:tc>
      </w:tr>
    </w:tbl>
    <w:p w:rsidR="001B5A4D" w:rsidRDefault="001B5A4D" w:rsidP="00420D18">
      <w:pPr>
        <w:pStyle w:val="Heading1"/>
        <w:keepNext/>
        <w:rPr>
          <w:color w:val="4E8ABE"/>
        </w:rPr>
        <w:sectPr w:rsidR="001B5A4D" w:rsidSect="00302527">
          <w:type w:val="continuous"/>
          <w:pgSz w:w="12242" w:h="15842" w:code="1"/>
          <w:pgMar w:top="540" w:right="722" w:bottom="540" w:left="722" w:header="91" w:footer="0" w:gutter="0"/>
          <w:cols w:num="2" w:space="720"/>
        </w:sectPr>
      </w:pPr>
    </w:p>
    <w:p w:rsidR="0021312D" w:rsidRPr="00CD617F" w:rsidRDefault="00420D18" w:rsidP="00420D18">
      <w:pPr>
        <w:pStyle w:val="Heading1"/>
        <w:keepNext/>
        <w:rPr>
          <w:color w:val="4E8ABE"/>
        </w:rPr>
      </w:pPr>
      <w:r>
        <w:rPr>
          <w:color w:val="4E8ABE"/>
        </w:rPr>
        <w:lastRenderedPageBreak/>
        <w:t xml:space="preserve">How the </w:t>
      </w:r>
      <w:r w:rsidR="000F5523">
        <w:rPr>
          <w:color w:val="4E8ABE"/>
        </w:rPr>
        <w:t>N</w:t>
      </w:r>
      <w:r w:rsidR="001C1A8B">
        <w:rPr>
          <w:color w:val="4E8ABE"/>
        </w:rPr>
        <w:t>otes</w:t>
      </w:r>
      <w:r>
        <w:rPr>
          <w:color w:val="4E8ABE"/>
        </w:rPr>
        <w:t xml:space="preserve"> Work</w:t>
      </w:r>
    </w:p>
    <w:p w:rsidR="0027398F" w:rsidRDefault="0027398F" w:rsidP="00BC2241">
      <w:pPr>
        <w:keepNext/>
        <w:keepLines/>
        <w:spacing w:before="40" w:after="40"/>
        <w:outlineLvl w:val="4"/>
        <w:rPr>
          <w:rFonts w:eastAsia="PMingLiU" w:cs="Times New Roman"/>
          <w:b/>
          <w:color w:val="54301A"/>
          <w:szCs w:val="26"/>
        </w:rPr>
      </w:pPr>
      <w:r w:rsidRPr="00DE618C">
        <w:rPr>
          <w:rFonts w:eastAsia="PMingLiU" w:cs="Times New Roman"/>
          <w:b/>
          <w:color w:val="54301A"/>
          <w:szCs w:val="26"/>
        </w:rPr>
        <w:t>Payme</w:t>
      </w:r>
      <w:r>
        <w:rPr>
          <w:rFonts w:eastAsia="PMingLiU" w:cs="Times New Roman"/>
          <w:b/>
          <w:color w:val="54301A"/>
          <w:szCs w:val="26"/>
        </w:rPr>
        <w:t>nt</w:t>
      </w:r>
      <w:r w:rsidR="00DD7748">
        <w:rPr>
          <w:rFonts w:eastAsia="PMingLiU" w:cs="Times New Roman"/>
          <w:b/>
          <w:color w:val="54301A"/>
          <w:szCs w:val="26"/>
        </w:rPr>
        <w:t>s</w:t>
      </w:r>
      <w:r w:rsidR="00D00115">
        <w:rPr>
          <w:rFonts w:eastAsia="PMingLiU" w:cs="Times New Roman"/>
          <w:b/>
          <w:color w:val="54301A"/>
          <w:szCs w:val="26"/>
        </w:rPr>
        <w:t xml:space="preserve"> in Connection with the First</w:t>
      </w:r>
      <w:r w:rsidR="00BC2241">
        <w:rPr>
          <w:rFonts w:eastAsia="PMingLiU" w:cs="Times New Roman"/>
          <w:b/>
          <w:color w:val="54301A"/>
          <w:szCs w:val="26"/>
        </w:rPr>
        <w:t xml:space="preserve"> through</w:t>
      </w:r>
      <w:r w:rsidR="00D00115">
        <w:rPr>
          <w:rFonts w:eastAsia="PMingLiU" w:cs="Times New Roman"/>
          <w:b/>
          <w:color w:val="54301A"/>
          <w:szCs w:val="26"/>
        </w:rPr>
        <w:t xml:space="preserve"> </w:t>
      </w:r>
      <w:r w:rsidR="00BC2241">
        <w:rPr>
          <w:rFonts w:eastAsia="PMingLiU" w:cs="Times New Roman"/>
          <w:b/>
          <w:color w:val="54301A"/>
          <w:szCs w:val="26"/>
        </w:rPr>
        <w:t xml:space="preserve">Fifth </w:t>
      </w:r>
      <w:r>
        <w:rPr>
          <w:rFonts w:eastAsia="PMingLiU" w:cs="Times New Roman"/>
          <w:b/>
          <w:color w:val="54301A"/>
          <w:szCs w:val="26"/>
        </w:rPr>
        <w:t>Review Dates</w:t>
      </w:r>
    </w:p>
    <w:p w:rsidR="0027398F" w:rsidRPr="006A3E8C" w:rsidRDefault="0027398F" w:rsidP="0027398F">
      <w:pPr>
        <w:pStyle w:val="CenterDiagram"/>
        <w:spacing w:before="0"/>
        <w:rPr>
          <w:sz w:val="8"/>
          <w:szCs w:val="8"/>
        </w:rPr>
      </w:pPr>
      <w:r w:rsidRPr="006A0DD5">
        <w:rPr>
          <w:noProof/>
          <w:sz w:val="8"/>
          <w:szCs w:val="8"/>
          <w:lang w:eastAsia="zh-CN" w:bidi="he-IL"/>
        </w:rPr>
        <w:drawing>
          <wp:inline distT="0" distB="0" distL="0" distR="0" wp14:anchorId="27D0190C" wp14:editId="755DA94A">
            <wp:extent cx="5922398" cy="2941967"/>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7398F" w:rsidRPr="006A0DD5" w:rsidRDefault="0027398F" w:rsidP="00BC2241">
      <w:pPr>
        <w:pStyle w:val="CenterDiagram"/>
        <w:ind w:left="-90"/>
        <w:jc w:val="left"/>
        <w:rPr>
          <w:rFonts w:eastAsiaTheme="majorEastAsia" w:cstheme="majorBidi"/>
          <w:b/>
          <w:color w:val="54301A"/>
          <w:szCs w:val="26"/>
        </w:rPr>
      </w:pPr>
      <w:r w:rsidRPr="005F356A">
        <w:rPr>
          <w:rStyle w:val="Heading5Char"/>
        </w:rPr>
        <w:t xml:space="preserve">Payments in Connection with </w:t>
      </w:r>
      <w:r w:rsidRPr="00DE618C">
        <w:rPr>
          <w:rStyle w:val="Heading5Char"/>
        </w:rPr>
        <w:t>Review Dates (</w:t>
      </w:r>
      <w:r>
        <w:rPr>
          <w:rStyle w:val="Heading5Char"/>
        </w:rPr>
        <w:t>Other than the First</w:t>
      </w:r>
      <w:r w:rsidR="00BC2241">
        <w:rPr>
          <w:rStyle w:val="Heading5Char"/>
        </w:rPr>
        <w:t xml:space="preserve"> through</w:t>
      </w:r>
      <w:r w:rsidR="00594EE7">
        <w:rPr>
          <w:rStyle w:val="Heading5Char"/>
        </w:rPr>
        <w:t xml:space="preserve"> </w:t>
      </w:r>
      <w:r w:rsidR="00BC2241">
        <w:rPr>
          <w:rStyle w:val="Heading5Char"/>
        </w:rPr>
        <w:t>Fifth</w:t>
      </w:r>
      <w:r w:rsidR="0060168A">
        <w:rPr>
          <w:rStyle w:val="Heading5Char"/>
        </w:rPr>
        <w:t xml:space="preserve"> </w:t>
      </w:r>
      <w:r>
        <w:rPr>
          <w:rStyle w:val="Heading5Char"/>
        </w:rPr>
        <w:t>and Final Review Dates</w:t>
      </w:r>
      <w:r w:rsidRPr="00DE618C">
        <w:rPr>
          <w:rStyle w:val="Heading5Char"/>
        </w:rPr>
        <w:t>)</w:t>
      </w:r>
    </w:p>
    <w:p w:rsidR="0027398F" w:rsidRDefault="0027398F" w:rsidP="0027398F">
      <w:pPr>
        <w:jc w:val="center"/>
      </w:pPr>
      <w:r w:rsidRPr="006A0DD5">
        <w:rPr>
          <w:noProof/>
          <w:lang w:eastAsia="zh-CN" w:bidi="he-IL"/>
        </w:rPr>
        <w:drawing>
          <wp:inline distT="0" distB="0" distL="0" distR="0" wp14:anchorId="2534641C" wp14:editId="65F1531F">
            <wp:extent cx="5926881" cy="2944368"/>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7398F" w:rsidRPr="001E4ECB" w:rsidRDefault="0027398F" w:rsidP="0027398F">
      <w:pPr>
        <w:pStyle w:val="Heading5"/>
      </w:pPr>
      <w:r>
        <w:lastRenderedPageBreak/>
        <w:t xml:space="preserve">Payment at Maturity If the Notes Have Not Been Automatically Called </w:t>
      </w:r>
    </w:p>
    <w:p w:rsidR="0027398F" w:rsidRPr="00367C34" w:rsidRDefault="0027398F" w:rsidP="0027398F">
      <w:pPr>
        <w:jc w:val="center"/>
        <w:rPr>
          <w:b/>
          <w:bCs w:val="0"/>
        </w:rPr>
      </w:pPr>
      <w:r w:rsidRPr="00007BB0">
        <w:rPr>
          <w:b/>
          <w:noProof/>
          <w:lang w:eastAsia="zh-CN" w:bidi="he-IL"/>
        </w:rPr>
        <w:drawing>
          <wp:inline distT="0" distB="0" distL="0" distR="0" wp14:anchorId="760EBB01" wp14:editId="2E290109">
            <wp:extent cx="5926881" cy="2944368"/>
            <wp:effectExtent l="0" t="0" r="1714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60F9A" w:rsidRPr="00954099" w:rsidRDefault="00660F9A" w:rsidP="007F4FE6">
      <w:pPr>
        <w:pStyle w:val="Heading5"/>
      </w:pPr>
      <w:r w:rsidRPr="00954099">
        <w:t>Total Contingent Interest Payments</w:t>
      </w:r>
    </w:p>
    <w:p w:rsidR="00593BC3" w:rsidRPr="00D974FD" w:rsidRDefault="00025CF1" w:rsidP="00D974FD">
      <w:pPr>
        <w:spacing w:before="0" w:after="80" w:line="240" w:lineRule="auto"/>
        <w:rPr>
          <w:color w:val="404040" w:themeColor="text1" w:themeTint="BF"/>
          <w:szCs w:val="18"/>
        </w:rPr>
      </w:pPr>
      <w:r>
        <w:rPr>
          <w:color w:val="404040" w:themeColor="text1" w:themeTint="BF"/>
          <w:szCs w:val="18"/>
        </w:rPr>
        <w:t>T</w:t>
      </w:r>
      <w:r w:rsidR="00660F9A" w:rsidRPr="00694C12">
        <w:rPr>
          <w:color w:val="404040" w:themeColor="text1" w:themeTint="BF"/>
          <w:szCs w:val="18"/>
        </w:rPr>
        <w:t xml:space="preserve">he table below illustrates the hypothetical total Contingent Interest Payments per $1,000 principal amount </w:t>
      </w:r>
      <w:r w:rsidR="00183F1E">
        <w:rPr>
          <w:color w:val="404040" w:themeColor="text1" w:themeTint="BF"/>
          <w:szCs w:val="18"/>
        </w:rPr>
        <w:t>n</w:t>
      </w:r>
      <w:r w:rsidR="00DF1C5D">
        <w:rPr>
          <w:color w:val="404040" w:themeColor="text1" w:themeTint="BF"/>
          <w:szCs w:val="18"/>
        </w:rPr>
        <w:t xml:space="preserve">ote </w:t>
      </w:r>
      <w:r w:rsidR="00660F9A" w:rsidRPr="00694C12">
        <w:rPr>
          <w:color w:val="404040" w:themeColor="text1" w:themeTint="BF"/>
          <w:szCs w:val="18"/>
        </w:rPr>
        <w:t xml:space="preserve">over the term of the </w:t>
      </w:r>
      <w:r w:rsidR="001C1A8B">
        <w:rPr>
          <w:color w:val="404040" w:themeColor="text1" w:themeTint="BF"/>
          <w:szCs w:val="18"/>
        </w:rPr>
        <w:t>notes</w:t>
      </w:r>
      <w:r w:rsidR="00660F9A" w:rsidRPr="00694C12">
        <w:rPr>
          <w:color w:val="404040" w:themeColor="text1" w:themeTint="BF"/>
          <w:szCs w:val="18"/>
        </w:rPr>
        <w:t xml:space="preserve"> based on </w:t>
      </w:r>
      <w:r w:rsidR="00593BC3" w:rsidRPr="00593BC3">
        <w:rPr>
          <w:color w:val="404040" w:themeColor="text1" w:themeTint="BF"/>
          <w:szCs w:val="18"/>
        </w:rPr>
        <w:t>a hypothetical</w:t>
      </w:r>
      <w:r w:rsidR="00563A42">
        <w:rPr>
          <w:color w:val="404040" w:themeColor="text1" w:themeTint="BF"/>
          <w:szCs w:val="18"/>
        </w:rPr>
        <w:t xml:space="preserve"> </w:t>
      </w:r>
      <w:r w:rsidR="002211C6">
        <w:rPr>
          <w:color w:val="404040" w:themeColor="text1" w:themeTint="BF"/>
          <w:szCs w:val="18"/>
        </w:rPr>
        <w:t>Contingent Interest Rate</w:t>
      </w:r>
      <w:r w:rsidR="00534B97">
        <w:rPr>
          <w:color w:val="404040" w:themeColor="text1" w:themeTint="BF"/>
          <w:szCs w:val="18"/>
        </w:rPr>
        <w:t xml:space="preserve"> of </w:t>
      </w:r>
      <w:r w:rsidR="0016494E">
        <w:rPr>
          <w:color w:val="404040" w:themeColor="text1" w:themeTint="BF"/>
          <w:szCs w:val="18"/>
        </w:rPr>
        <w:t>7.80</w:t>
      </w:r>
      <w:r w:rsidR="00DB4701">
        <w:rPr>
          <w:color w:val="404040" w:themeColor="text1" w:themeTint="BF"/>
          <w:szCs w:val="18"/>
        </w:rPr>
        <w:t>%</w:t>
      </w:r>
      <w:r w:rsidR="00534B97">
        <w:rPr>
          <w:color w:val="404040" w:themeColor="text1" w:themeTint="BF"/>
          <w:szCs w:val="18"/>
        </w:rPr>
        <w:t xml:space="preserve"> per annum</w:t>
      </w:r>
      <w:r w:rsidR="00660F9A" w:rsidRPr="00694C12">
        <w:rPr>
          <w:color w:val="404040" w:themeColor="text1" w:themeTint="BF"/>
          <w:szCs w:val="18"/>
        </w:rPr>
        <w:t>, depending on how many Contingent Interest Payments are made</w:t>
      </w:r>
      <w:r w:rsidR="00DF1C5D">
        <w:rPr>
          <w:color w:val="404040" w:themeColor="text1" w:themeTint="BF"/>
          <w:szCs w:val="18"/>
        </w:rPr>
        <w:t xml:space="preserve"> prior to </w:t>
      </w:r>
      <w:r w:rsidR="00B33391">
        <w:rPr>
          <w:color w:val="404040" w:themeColor="text1" w:themeTint="BF"/>
          <w:szCs w:val="18"/>
        </w:rPr>
        <w:t>automatic call</w:t>
      </w:r>
      <w:r w:rsidR="00954099" w:rsidRPr="00694C12">
        <w:rPr>
          <w:color w:val="404040" w:themeColor="text1" w:themeTint="BF"/>
          <w:szCs w:val="18"/>
        </w:rPr>
        <w:t xml:space="preserve"> or </w:t>
      </w:r>
      <w:r w:rsidR="00593BC3" w:rsidRPr="00593BC3">
        <w:rPr>
          <w:color w:val="404040" w:themeColor="text1" w:themeTint="BF"/>
          <w:szCs w:val="18"/>
        </w:rPr>
        <w:t xml:space="preserve">maturity.  The actual Contingent Interest Rate will be provided in the pricing supplement and will be </w:t>
      </w:r>
      <w:r w:rsidR="00B94FA1">
        <w:rPr>
          <w:color w:val="404040" w:themeColor="text1" w:themeTint="BF"/>
          <w:szCs w:val="18"/>
        </w:rPr>
        <w:t xml:space="preserve">at least </w:t>
      </w:r>
      <w:r w:rsidR="0016494E">
        <w:rPr>
          <w:color w:val="404040" w:themeColor="text1" w:themeTint="BF"/>
          <w:szCs w:val="18"/>
        </w:rPr>
        <w:t>7.80</w:t>
      </w:r>
      <w:r w:rsidR="006B16C3">
        <w:rPr>
          <w:color w:val="404040" w:themeColor="text1" w:themeTint="BF"/>
          <w:szCs w:val="18"/>
        </w:rPr>
        <w:t xml:space="preserve">% </w:t>
      </w:r>
      <w:r w:rsidR="00AF4873">
        <w:rPr>
          <w:color w:val="404040" w:themeColor="text1" w:themeTint="BF"/>
          <w:szCs w:val="18"/>
        </w:rPr>
        <w:t>per annum</w:t>
      </w:r>
      <w:r w:rsidR="00563A42">
        <w:rPr>
          <w:color w:val="404040" w:themeColor="text1" w:themeTint="BF"/>
          <w:szCs w:val="18"/>
        </w:rPr>
        <w:t>.</w:t>
      </w:r>
    </w:p>
    <w:tbl>
      <w:tblPr>
        <w:tblStyle w:val="JPMHypoTable"/>
        <w:tblW w:w="0" w:type="auto"/>
        <w:tblLayout w:type="fixed"/>
        <w:tblLook w:val="0020" w:firstRow="1" w:lastRow="0" w:firstColumn="0" w:lastColumn="0" w:noHBand="0" w:noVBand="0"/>
      </w:tblPr>
      <w:tblGrid>
        <w:gridCol w:w="2239"/>
        <w:gridCol w:w="2239"/>
      </w:tblGrid>
      <w:tr w:rsidR="00593BC3" w:rsidRPr="00593BC3" w:rsidTr="00593BC3">
        <w:trPr>
          <w:cnfStyle w:val="100000000000" w:firstRow="1" w:lastRow="0" w:firstColumn="0" w:lastColumn="0" w:oddVBand="0" w:evenVBand="0" w:oddHBand="0" w:evenHBand="0" w:firstRowFirstColumn="0" w:firstRowLastColumn="0" w:lastRowFirstColumn="0" w:lastRowLastColumn="0"/>
          <w:trHeight w:val="478"/>
        </w:trPr>
        <w:tc>
          <w:tcPr>
            <w:tcW w:w="2239" w:type="dxa"/>
          </w:tcPr>
          <w:p w:rsidR="00593BC3" w:rsidRPr="00593BC3" w:rsidRDefault="00593BC3" w:rsidP="00593BC3">
            <w:pPr>
              <w:autoSpaceDE w:val="0"/>
              <w:autoSpaceDN w:val="0"/>
              <w:adjustRightInd w:val="0"/>
              <w:spacing w:line="240" w:lineRule="auto"/>
              <w:rPr>
                <w:color w:val="333333"/>
                <w:szCs w:val="18"/>
              </w:rPr>
            </w:pPr>
            <w:r w:rsidRPr="00593BC3">
              <w:rPr>
                <w:color w:val="333333"/>
                <w:szCs w:val="18"/>
              </w:rPr>
              <w:t>Number of Contingent Interest Payments</w:t>
            </w:r>
          </w:p>
        </w:tc>
        <w:tc>
          <w:tcPr>
            <w:tcW w:w="2239" w:type="dxa"/>
          </w:tcPr>
          <w:p w:rsidR="00593BC3" w:rsidRPr="00593BC3" w:rsidRDefault="00593BC3" w:rsidP="00593BC3">
            <w:pPr>
              <w:autoSpaceDE w:val="0"/>
              <w:autoSpaceDN w:val="0"/>
              <w:adjustRightInd w:val="0"/>
              <w:spacing w:line="240" w:lineRule="auto"/>
              <w:rPr>
                <w:color w:val="333333"/>
                <w:szCs w:val="18"/>
              </w:rPr>
            </w:pPr>
            <w:r w:rsidRPr="00593BC3">
              <w:rPr>
                <w:color w:val="333333"/>
                <w:szCs w:val="18"/>
              </w:rPr>
              <w:t>Total Contingent Interest Payments</w:t>
            </w:r>
          </w:p>
        </w:tc>
      </w:tr>
      <w:tr w:rsidR="00644481" w:rsidRPr="00593BC3" w:rsidTr="000745A4">
        <w:trPr>
          <w:trHeight w:hRule="exact" w:val="288"/>
        </w:trPr>
        <w:tc>
          <w:tcPr>
            <w:tcW w:w="2239" w:type="dxa"/>
          </w:tcPr>
          <w:p w:rsidR="00644481" w:rsidRPr="00F4705F" w:rsidRDefault="00644481" w:rsidP="00644481">
            <w:r>
              <w:t>18</w:t>
            </w:r>
          </w:p>
        </w:tc>
        <w:tc>
          <w:tcPr>
            <w:tcW w:w="2239" w:type="dxa"/>
          </w:tcPr>
          <w:p w:rsidR="00644481" w:rsidRPr="00F22D05" w:rsidRDefault="00644481" w:rsidP="00644481">
            <w:r w:rsidRPr="00F22D05">
              <w:t>$117.00</w:t>
            </w:r>
          </w:p>
        </w:tc>
      </w:tr>
      <w:tr w:rsidR="00644481" w:rsidRPr="00593BC3" w:rsidTr="000745A4">
        <w:trPr>
          <w:trHeight w:hRule="exact" w:val="288"/>
        </w:trPr>
        <w:tc>
          <w:tcPr>
            <w:tcW w:w="2239" w:type="dxa"/>
          </w:tcPr>
          <w:p w:rsidR="00644481" w:rsidRPr="00F4705F" w:rsidRDefault="00644481" w:rsidP="00644481">
            <w:r>
              <w:t>17</w:t>
            </w:r>
          </w:p>
        </w:tc>
        <w:tc>
          <w:tcPr>
            <w:tcW w:w="2239" w:type="dxa"/>
          </w:tcPr>
          <w:p w:rsidR="00644481" w:rsidRPr="00F22D05" w:rsidRDefault="00644481" w:rsidP="00644481">
            <w:r w:rsidRPr="00F22D05">
              <w:t>$110.50</w:t>
            </w:r>
          </w:p>
        </w:tc>
      </w:tr>
      <w:tr w:rsidR="00644481" w:rsidRPr="00593BC3" w:rsidTr="000745A4">
        <w:trPr>
          <w:trHeight w:hRule="exact" w:val="288"/>
        </w:trPr>
        <w:tc>
          <w:tcPr>
            <w:tcW w:w="2239" w:type="dxa"/>
          </w:tcPr>
          <w:p w:rsidR="00644481" w:rsidRPr="00F4705F" w:rsidRDefault="00644481" w:rsidP="00644481">
            <w:r>
              <w:t>16</w:t>
            </w:r>
          </w:p>
        </w:tc>
        <w:tc>
          <w:tcPr>
            <w:tcW w:w="2239" w:type="dxa"/>
          </w:tcPr>
          <w:p w:rsidR="00644481" w:rsidRPr="00F22D05" w:rsidRDefault="00644481" w:rsidP="00644481">
            <w:r w:rsidRPr="00F22D05">
              <w:t>$104.00</w:t>
            </w:r>
          </w:p>
        </w:tc>
      </w:tr>
      <w:tr w:rsidR="00644481" w:rsidRPr="00593BC3" w:rsidTr="000745A4">
        <w:trPr>
          <w:trHeight w:hRule="exact" w:val="288"/>
        </w:trPr>
        <w:tc>
          <w:tcPr>
            <w:tcW w:w="2239" w:type="dxa"/>
          </w:tcPr>
          <w:p w:rsidR="00644481" w:rsidRPr="00F4705F" w:rsidRDefault="00644481" w:rsidP="00644481">
            <w:r>
              <w:t>15</w:t>
            </w:r>
          </w:p>
        </w:tc>
        <w:tc>
          <w:tcPr>
            <w:tcW w:w="2239" w:type="dxa"/>
          </w:tcPr>
          <w:p w:rsidR="00644481" w:rsidRPr="00F22D05" w:rsidRDefault="00644481" w:rsidP="00644481">
            <w:r w:rsidRPr="00F22D05">
              <w:t>$97.50</w:t>
            </w:r>
          </w:p>
        </w:tc>
      </w:tr>
      <w:tr w:rsidR="00644481" w:rsidRPr="00593BC3" w:rsidTr="000745A4">
        <w:trPr>
          <w:trHeight w:hRule="exact" w:val="288"/>
        </w:trPr>
        <w:tc>
          <w:tcPr>
            <w:tcW w:w="2239" w:type="dxa"/>
          </w:tcPr>
          <w:p w:rsidR="00644481" w:rsidRPr="00F4705F" w:rsidRDefault="00644481" w:rsidP="00644481">
            <w:r>
              <w:t>14</w:t>
            </w:r>
          </w:p>
        </w:tc>
        <w:tc>
          <w:tcPr>
            <w:tcW w:w="2239" w:type="dxa"/>
          </w:tcPr>
          <w:p w:rsidR="00644481" w:rsidRPr="00F22D05" w:rsidRDefault="00644481" w:rsidP="00644481">
            <w:r w:rsidRPr="00F22D05">
              <w:t>$91.00</w:t>
            </w:r>
          </w:p>
        </w:tc>
      </w:tr>
      <w:tr w:rsidR="00644481" w:rsidRPr="00593BC3" w:rsidTr="000745A4">
        <w:trPr>
          <w:trHeight w:hRule="exact" w:val="288"/>
        </w:trPr>
        <w:tc>
          <w:tcPr>
            <w:tcW w:w="2239" w:type="dxa"/>
          </w:tcPr>
          <w:p w:rsidR="00644481" w:rsidRPr="00F4705F" w:rsidRDefault="00644481" w:rsidP="00644481">
            <w:r>
              <w:t>13</w:t>
            </w:r>
          </w:p>
        </w:tc>
        <w:tc>
          <w:tcPr>
            <w:tcW w:w="2239" w:type="dxa"/>
          </w:tcPr>
          <w:p w:rsidR="00644481" w:rsidRPr="00F22D05" w:rsidRDefault="00644481" w:rsidP="00644481">
            <w:r w:rsidRPr="00F22D05">
              <w:t>$84.50</w:t>
            </w:r>
          </w:p>
        </w:tc>
      </w:tr>
      <w:tr w:rsidR="00644481" w:rsidRPr="00593BC3" w:rsidTr="000745A4">
        <w:trPr>
          <w:trHeight w:hRule="exact" w:val="288"/>
        </w:trPr>
        <w:tc>
          <w:tcPr>
            <w:tcW w:w="2239" w:type="dxa"/>
          </w:tcPr>
          <w:p w:rsidR="00644481" w:rsidRPr="00F4705F" w:rsidRDefault="00644481" w:rsidP="00644481">
            <w:r w:rsidRPr="00F4705F">
              <w:t>12</w:t>
            </w:r>
          </w:p>
        </w:tc>
        <w:tc>
          <w:tcPr>
            <w:tcW w:w="2239" w:type="dxa"/>
          </w:tcPr>
          <w:p w:rsidR="00644481" w:rsidRPr="00F22D05" w:rsidRDefault="00644481" w:rsidP="00644481">
            <w:r w:rsidRPr="00F22D05">
              <w:t>$78.00</w:t>
            </w:r>
          </w:p>
        </w:tc>
      </w:tr>
      <w:tr w:rsidR="00644481" w:rsidRPr="00593BC3" w:rsidTr="000745A4">
        <w:trPr>
          <w:trHeight w:hRule="exact" w:val="288"/>
        </w:trPr>
        <w:tc>
          <w:tcPr>
            <w:tcW w:w="2239" w:type="dxa"/>
          </w:tcPr>
          <w:p w:rsidR="00644481" w:rsidRPr="00F4705F" w:rsidRDefault="00644481" w:rsidP="00644481">
            <w:r w:rsidRPr="00F4705F">
              <w:t>11</w:t>
            </w:r>
          </w:p>
        </w:tc>
        <w:tc>
          <w:tcPr>
            <w:tcW w:w="2239" w:type="dxa"/>
          </w:tcPr>
          <w:p w:rsidR="00644481" w:rsidRPr="00F22D05" w:rsidRDefault="00644481" w:rsidP="00644481">
            <w:r w:rsidRPr="00F22D05">
              <w:t>$71.50</w:t>
            </w:r>
          </w:p>
        </w:tc>
      </w:tr>
      <w:tr w:rsidR="00644481" w:rsidRPr="00593BC3" w:rsidTr="000745A4">
        <w:trPr>
          <w:trHeight w:hRule="exact" w:val="288"/>
        </w:trPr>
        <w:tc>
          <w:tcPr>
            <w:tcW w:w="2239" w:type="dxa"/>
          </w:tcPr>
          <w:p w:rsidR="00644481" w:rsidRPr="00F4705F" w:rsidRDefault="00644481" w:rsidP="00644481">
            <w:r w:rsidRPr="00F4705F">
              <w:t>10</w:t>
            </w:r>
          </w:p>
        </w:tc>
        <w:tc>
          <w:tcPr>
            <w:tcW w:w="2239" w:type="dxa"/>
          </w:tcPr>
          <w:p w:rsidR="00644481" w:rsidRPr="00F22D05" w:rsidRDefault="00644481" w:rsidP="00644481">
            <w:r w:rsidRPr="00F22D05">
              <w:t>$65.00</w:t>
            </w:r>
          </w:p>
        </w:tc>
      </w:tr>
      <w:tr w:rsidR="00644481" w:rsidRPr="00593BC3" w:rsidTr="000745A4">
        <w:trPr>
          <w:trHeight w:hRule="exact" w:val="288"/>
        </w:trPr>
        <w:tc>
          <w:tcPr>
            <w:tcW w:w="2239" w:type="dxa"/>
          </w:tcPr>
          <w:p w:rsidR="00644481" w:rsidRPr="00F4705F" w:rsidRDefault="00644481" w:rsidP="00644481">
            <w:r w:rsidRPr="00F4705F">
              <w:t>9</w:t>
            </w:r>
          </w:p>
        </w:tc>
        <w:tc>
          <w:tcPr>
            <w:tcW w:w="2239" w:type="dxa"/>
          </w:tcPr>
          <w:p w:rsidR="00644481" w:rsidRPr="00F22D05" w:rsidRDefault="00644481" w:rsidP="00644481">
            <w:r w:rsidRPr="00F22D05">
              <w:t>$58.50</w:t>
            </w:r>
          </w:p>
        </w:tc>
      </w:tr>
      <w:tr w:rsidR="00644481" w:rsidRPr="00593BC3" w:rsidTr="000745A4">
        <w:trPr>
          <w:trHeight w:hRule="exact" w:val="288"/>
        </w:trPr>
        <w:tc>
          <w:tcPr>
            <w:tcW w:w="2239" w:type="dxa"/>
          </w:tcPr>
          <w:p w:rsidR="00644481" w:rsidRPr="00F4705F" w:rsidRDefault="00644481" w:rsidP="00644481">
            <w:r w:rsidRPr="00F4705F">
              <w:t>8</w:t>
            </w:r>
          </w:p>
        </w:tc>
        <w:tc>
          <w:tcPr>
            <w:tcW w:w="2239" w:type="dxa"/>
          </w:tcPr>
          <w:p w:rsidR="00644481" w:rsidRPr="00F22D05" w:rsidRDefault="00644481" w:rsidP="00644481">
            <w:r w:rsidRPr="00F22D05">
              <w:t>$52.00</w:t>
            </w:r>
          </w:p>
        </w:tc>
      </w:tr>
      <w:tr w:rsidR="00644481" w:rsidRPr="00593BC3" w:rsidTr="000745A4">
        <w:trPr>
          <w:trHeight w:hRule="exact" w:val="288"/>
        </w:trPr>
        <w:tc>
          <w:tcPr>
            <w:tcW w:w="2239" w:type="dxa"/>
          </w:tcPr>
          <w:p w:rsidR="00644481" w:rsidRPr="00F4705F" w:rsidRDefault="00644481" w:rsidP="00644481">
            <w:r w:rsidRPr="00F4705F">
              <w:t>7</w:t>
            </w:r>
          </w:p>
        </w:tc>
        <w:tc>
          <w:tcPr>
            <w:tcW w:w="2239" w:type="dxa"/>
          </w:tcPr>
          <w:p w:rsidR="00644481" w:rsidRPr="00F22D05" w:rsidRDefault="00644481" w:rsidP="00644481">
            <w:r w:rsidRPr="00F22D05">
              <w:t>$45.50</w:t>
            </w:r>
          </w:p>
        </w:tc>
      </w:tr>
      <w:tr w:rsidR="00644481" w:rsidRPr="00593BC3" w:rsidTr="000745A4">
        <w:trPr>
          <w:trHeight w:hRule="exact" w:val="288"/>
        </w:trPr>
        <w:tc>
          <w:tcPr>
            <w:tcW w:w="2239" w:type="dxa"/>
          </w:tcPr>
          <w:p w:rsidR="00644481" w:rsidRPr="00F4705F" w:rsidRDefault="00644481" w:rsidP="00644481">
            <w:r w:rsidRPr="00F4705F">
              <w:t>6</w:t>
            </w:r>
          </w:p>
        </w:tc>
        <w:tc>
          <w:tcPr>
            <w:tcW w:w="2239" w:type="dxa"/>
          </w:tcPr>
          <w:p w:rsidR="00644481" w:rsidRPr="00F22D05" w:rsidRDefault="00644481" w:rsidP="00644481">
            <w:r w:rsidRPr="00F22D05">
              <w:t>$39.00</w:t>
            </w:r>
          </w:p>
        </w:tc>
      </w:tr>
      <w:tr w:rsidR="00644481" w:rsidRPr="00593BC3" w:rsidTr="000745A4">
        <w:trPr>
          <w:trHeight w:hRule="exact" w:val="288"/>
        </w:trPr>
        <w:tc>
          <w:tcPr>
            <w:tcW w:w="2239" w:type="dxa"/>
          </w:tcPr>
          <w:p w:rsidR="00644481" w:rsidRPr="00F4705F" w:rsidRDefault="00644481" w:rsidP="00644481">
            <w:r w:rsidRPr="00F4705F">
              <w:t>5</w:t>
            </w:r>
          </w:p>
        </w:tc>
        <w:tc>
          <w:tcPr>
            <w:tcW w:w="2239" w:type="dxa"/>
          </w:tcPr>
          <w:p w:rsidR="00644481" w:rsidRPr="00F22D05" w:rsidRDefault="00644481" w:rsidP="00644481">
            <w:r w:rsidRPr="00F22D05">
              <w:t>$32.50</w:t>
            </w:r>
          </w:p>
        </w:tc>
      </w:tr>
      <w:tr w:rsidR="00644481" w:rsidRPr="00593BC3" w:rsidTr="000745A4">
        <w:trPr>
          <w:trHeight w:hRule="exact" w:val="288"/>
        </w:trPr>
        <w:tc>
          <w:tcPr>
            <w:tcW w:w="2239" w:type="dxa"/>
          </w:tcPr>
          <w:p w:rsidR="00644481" w:rsidRPr="00F4705F" w:rsidRDefault="00644481" w:rsidP="00644481">
            <w:r w:rsidRPr="00F4705F">
              <w:t>4</w:t>
            </w:r>
          </w:p>
        </w:tc>
        <w:tc>
          <w:tcPr>
            <w:tcW w:w="2239" w:type="dxa"/>
          </w:tcPr>
          <w:p w:rsidR="00644481" w:rsidRPr="00F22D05" w:rsidRDefault="00644481" w:rsidP="00644481">
            <w:r w:rsidRPr="00F22D05">
              <w:t>$26.00</w:t>
            </w:r>
          </w:p>
        </w:tc>
      </w:tr>
      <w:tr w:rsidR="00644481" w:rsidRPr="00593BC3" w:rsidTr="000745A4">
        <w:trPr>
          <w:trHeight w:hRule="exact" w:val="288"/>
        </w:trPr>
        <w:tc>
          <w:tcPr>
            <w:tcW w:w="2239" w:type="dxa"/>
          </w:tcPr>
          <w:p w:rsidR="00644481" w:rsidRPr="00F4705F" w:rsidRDefault="00644481" w:rsidP="00644481">
            <w:r w:rsidRPr="00F4705F">
              <w:t>3</w:t>
            </w:r>
          </w:p>
        </w:tc>
        <w:tc>
          <w:tcPr>
            <w:tcW w:w="2239" w:type="dxa"/>
          </w:tcPr>
          <w:p w:rsidR="00644481" w:rsidRPr="00F22D05" w:rsidRDefault="00644481" w:rsidP="00644481">
            <w:r w:rsidRPr="00F22D05">
              <w:t>$19.50</w:t>
            </w:r>
          </w:p>
        </w:tc>
      </w:tr>
      <w:tr w:rsidR="00644481" w:rsidRPr="00593BC3" w:rsidTr="000745A4">
        <w:trPr>
          <w:trHeight w:hRule="exact" w:val="288"/>
        </w:trPr>
        <w:tc>
          <w:tcPr>
            <w:tcW w:w="2239" w:type="dxa"/>
          </w:tcPr>
          <w:p w:rsidR="00644481" w:rsidRPr="00F4705F" w:rsidRDefault="00644481" w:rsidP="00644481">
            <w:r w:rsidRPr="00F4705F">
              <w:t>2</w:t>
            </w:r>
          </w:p>
        </w:tc>
        <w:tc>
          <w:tcPr>
            <w:tcW w:w="2239" w:type="dxa"/>
          </w:tcPr>
          <w:p w:rsidR="00644481" w:rsidRPr="00F22D05" w:rsidRDefault="00644481" w:rsidP="00644481">
            <w:r w:rsidRPr="00F22D05">
              <w:t>$13.00</w:t>
            </w:r>
          </w:p>
        </w:tc>
      </w:tr>
      <w:tr w:rsidR="00644481" w:rsidRPr="00593BC3" w:rsidTr="000745A4">
        <w:trPr>
          <w:trHeight w:hRule="exact" w:val="288"/>
        </w:trPr>
        <w:tc>
          <w:tcPr>
            <w:tcW w:w="2239" w:type="dxa"/>
          </w:tcPr>
          <w:p w:rsidR="00644481" w:rsidRPr="00F4705F" w:rsidRDefault="00644481" w:rsidP="00644481">
            <w:r w:rsidRPr="00F4705F">
              <w:t>1</w:t>
            </w:r>
          </w:p>
        </w:tc>
        <w:tc>
          <w:tcPr>
            <w:tcW w:w="2239" w:type="dxa"/>
          </w:tcPr>
          <w:p w:rsidR="00644481" w:rsidRPr="00F22D05" w:rsidRDefault="00644481" w:rsidP="00644481">
            <w:r w:rsidRPr="00F22D05">
              <w:t>$6.50</w:t>
            </w:r>
          </w:p>
        </w:tc>
      </w:tr>
      <w:tr w:rsidR="00644481" w:rsidRPr="00593BC3" w:rsidTr="000745A4">
        <w:trPr>
          <w:trHeight w:hRule="exact" w:val="288"/>
        </w:trPr>
        <w:tc>
          <w:tcPr>
            <w:tcW w:w="2239" w:type="dxa"/>
          </w:tcPr>
          <w:p w:rsidR="00644481" w:rsidRDefault="00644481" w:rsidP="00644481">
            <w:r w:rsidRPr="00F4705F">
              <w:t>0</w:t>
            </w:r>
          </w:p>
        </w:tc>
        <w:tc>
          <w:tcPr>
            <w:tcW w:w="2239" w:type="dxa"/>
          </w:tcPr>
          <w:p w:rsidR="00644481" w:rsidRDefault="00644481" w:rsidP="00644481">
            <w:r w:rsidRPr="00F22D05">
              <w:t>$0.00</w:t>
            </w:r>
          </w:p>
        </w:tc>
      </w:tr>
    </w:tbl>
    <w:p w:rsidR="00C8207F" w:rsidRPr="00FE1CFE" w:rsidRDefault="00C8207F" w:rsidP="00FE1CFE">
      <w:pPr>
        <w:spacing w:before="0" w:line="240" w:lineRule="auto"/>
        <w:rPr>
          <w:sz w:val="2"/>
          <w:szCs w:val="2"/>
        </w:rPr>
      </w:pPr>
    </w:p>
    <w:p w:rsidR="0016494E" w:rsidRDefault="0016494E" w:rsidP="00DB4701">
      <w:pPr>
        <w:pStyle w:val="Heading1"/>
        <w:keepNext/>
        <w:rPr>
          <w:color w:val="4E8ABE"/>
        </w:rPr>
      </w:pPr>
      <w:r>
        <w:rPr>
          <w:color w:val="4E8ABE"/>
        </w:rPr>
        <w:br w:type="page"/>
      </w:r>
    </w:p>
    <w:p w:rsidR="00660F9A" w:rsidRPr="006968AD" w:rsidRDefault="00660F9A" w:rsidP="00DB4701">
      <w:pPr>
        <w:pStyle w:val="Heading1"/>
        <w:keepNext/>
        <w:rPr>
          <w:color w:val="4E8ABE"/>
        </w:rPr>
      </w:pPr>
      <w:r w:rsidRPr="006968AD">
        <w:rPr>
          <w:color w:val="4E8ABE"/>
        </w:rPr>
        <w:lastRenderedPageBreak/>
        <w:t xml:space="preserve">Hypothetical Payout </w:t>
      </w:r>
      <w:r>
        <w:rPr>
          <w:color w:val="4E8ABE"/>
        </w:rPr>
        <w:t>Examples</w:t>
      </w:r>
      <w:r w:rsidR="00E4287C">
        <w:rPr>
          <w:color w:val="4E8ABE"/>
        </w:rPr>
        <w:t xml:space="preserve"> </w:t>
      </w:r>
    </w:p>
    <w:p w:rsidR="00312A57" w:rsidRDefault="00694C12" w:rsidP="003D1035">
      <w:pPr>
        <w:rPr>
          <w:b/>
          <w:bCs w:val="0"/>
          <w:color w:val="404040" w:themeColor="text1" w:themeTint="BF"/>
          <w:szCs w:val="18"/>
        </w:rPr>
      </w:pPr>
      <w:r w:rsidRPr="00694C12">
        <w:rPr>
          <w:color w:val="404040" w:themeColor="text1" w:themeTint="BF"/>
          <w:szCs w:val="18"/>
        </w:rPr>
        <w:t>Th</w:t>
      </w:r>
      <w:r w:rsidR="00F1571F">
        <w:rPr>
          <w:color w:val="404040" w:themeColor="text1" w:themeTint="BF"/>
          <w:szCs w:val="18"/>
        </w:rPr>
        <w:t>e following examples illustrate</w:t>
      </w:r>
      <w:r w:rsidRPr="00694C12">
        <w:rPr>
          <w:color w:val="404040" w:themeColor="text1" w:themeTint="BF"/>
          <w:szCs w:val="18"/>
        </w:rPr>
        <w:t xml:space="preserve"> payments on the </w:t>
      </w:r>
      <w:r w:rsidR="001C1A8B">
        <w:rPr>
          <w:color w:val="404040" w:themeColor="text1" w:themeTint="BF"/>
          <w:szCs w:val="18"/>
        </w:rPr>
        <w:t>notes</w:t>
      </w:r>
      <w:r w:rsidR="00D746BD">
        <w:rPr>
          <w:color w:val="404040" w:themeColor="text1" w:themeTint="BF"/>
          <w:szCs w:val="18"/>
        </w:rPr>
        <w:t xml:space="preserve"> linked to a hypothetical </w:t>
      </w:r>
      <w:r w:rsidR="00593BC3" w:rsidRPr="00593BC3">
        <w:rPr>
          <w:color w:val="404040" w:themeColor="text1" w:themeTint="BF"/>
          <w:szCs w:val="18"/>
        </w:rPr>
        <w:t>Index</w:t>
      </w:r>
      <w:r w:rsidRPr="00694C12">
        <w:rPr>
          <w:color w:val="404040" w:themeColor="text1" w:themeTint="BF"/>
          <w:szCs w:val="18"/>
        </w:rPr>
        <w:t xml:space="preserve">, assuming a range of performances for the </w:t>
      </w:r>
      <w:r w:rsidR="00043CEC">
        <w:rPr>
          <w:color w:val="404040" w:themeColor="text1" w:themeTint="BF"/>
          <w:szCs w:val="18"/>
        </w:rPr>
        <w:t xml:space="preserve">hypothetical </w:t>
      </w:r>
      <w:r w:rsidR="00593BC3" w:rsidRPr="00593BC3">
        <w:rPr>
          <w:color w:val="404040" w:themeColor="text1" w:themeTint="BF"/>
          <w:szCs w:val="18"/>
        </w:rPr>
        <w:t>Index</w:t>
      </w:r>
      <w:r w:rsidRPr="00694C12">
        <w:rPr>
          <w:color w:val="404040" w:themeColor="text1" w:themeTint="BF"/>
          <w:szCs w:val="18"/>
        </w:rPr>
        <w:t xml:space="preserve"> on the </w:t>
      </w:r>
      <w:r w:rsidR="00593BC3" w:rsidRPr="00593BC3">
        <w:rPr>
          <w:color w:val="404040" w:themeColor="text1" w:themeTint="BF"/>
          <w:szCs w:val="18"/>
        </w:rPr>
        <w:t>Review</w:t>
      </w:r>
      <w:r w:rsidR="001C1A8B">
        <w:rPr>
          <w:color w:val="404040" w:themeColor="text1" w:themeTint="BF"/>
          <w:szCs w:val="18"/>
        </w:rPr>
        <w:t xml:space="preserve"> Date</w:t>
      </w:r>
      <w:r w:rsidRPr="00694C12">
        <w:rPr>
          <w:color w:val="404040" w:themeColor="text1" w:themeTint="BF"/>
          <w:szCs w:val="18"/>
        </w:rPr>
        <w:t>s</w:t>
      </w:r>
      <w:r w:rsidR="00422B5A" w:rsidRPr="00694C12">
        <w:rPr>
          <w:color w:val="404040" w:themeColor="text1" w:themeTint="BF"/>
          <w:szCs w:val="18"/>
        </w:rPr>
        <w:t>.</w:t>
      </w:r>
      <w:r w:rsidR="00422B5A">
        <w:rPr>
          <w:color w:val="404040" w:themeColor="text1" w:themeTint="BF"/>
          <w:szCs w:val="18"/>
        </w:rPr>
        <w:t xml:space="preserve">  </w:t>
      </w:r>
      <w:r w:rsidR="009762B2">
        <w:rPr>
          <w:color w:val="404040" w:themeColor="text1" w:themeTint="BF"/>
          <w:szCs w:val="18"/>
        </w:rPr>
        <w:t>T</w:t>
      </w:r>
      <w:r w:rsidRPr="00694C12">
        <w:rPr>
          <w:color w:val="404040" w:themeColor="text1" w:themeTint="BF"/>
          <w:szCs w:val="18"/>
        </w:rPr>
        <w:t xml:space="preserve">he hypothetical payments set forth below assume </w:t>
      </w:r>
      <w:r w:rsidR="009762B2">
        <w:rPr>
          <w:color w:val="404040" w:themeColor="text1" w:themeTint="BF"/>
          <w:szCs w:val="18"/>
        </w:rPr>
        <w:t>the following:</w:t>
      </w:r>
    </w:p>
    <w:p w:rsidR="009762B2" w:rsidRPr="00826BD2" w:rsidRDefault="00593BC3" w:rsidP="00747E13">
      <w:pPr>
        <w:pStyle w:val="Heading2"/>
        <w:numPr>
          <w:ilvl w:val="0"/>
          <w:numId w:val="16"/>
        </w:numPr>
        <w:spacing w:before="80" w:line="288" w:lineRule="auto"/>
        <w:ind w:left="360"/>
        <w:rPr>
          <w:rFonts w:eastAsia="Arial" w:cs="Arial"/>
          <w:szCs w:val="18"/>
        </w:rPr>
      </w:pPr>
      <w:r w:rsidRPr="00593BC3">
        <w:rPr>
          <w:szCs w:val="18"/>
        </w:rPr>
        <w:t>an Initial Value</w:t>
      </w:r>
      <w:r w:rsidR="001A6A69" w:rsidRPr="00826BD2">
        <w:rPr>
          <w:rFonts w:eastAsia="Arial" w:cs="Arial"/>
          <w:szCs w:val="18"/>
        </w:rPr>
        <w:t xml:space="preserve"> of </w:t>
      </w:r>
      <w:r w:rsidRPr="00593BC3">
        <w:rPr>
          <w:szCs w:val="18"/>
        </w:rPr>
        <w:t>100.00</w:t>
      </w:r>
      <w:r w:rsidR="009762B2" w:rsidRPr="00826BD2">
        <w:rPr>
          <w:rFonts w:eastAsia="Arial" w:cs="Arial"/>
          <w:szCs w:val="18"/>
        </w:rPr>
        <w:t xml:space="preserve">; </w:t>
      </w:r>
    </w:p>
    <w:p w:rsidR="00406A2D" w:rsidRPr="00406A2D" w:rsidRDefault="00593BC3" w:rsidP="006050CE">
      <w:pPr>
        <w:pStyle w:val="Heading2"/>
        <w:numPr>
          <w:ilvl w:val="0"/>
          <w:numId w:val="16"/>
        </w:numPr>
        <w:spacing w:before="80" w:line="288" w:lineRule="auto"/>
        <w:ind w:left="360"/>
        <w:rPr>
          <w:rFonts w:eastAsia="Arial" w:cs="Arial"/>
          <w:szCs w:val="18"/>
        </w:rPr>
      </w:pPr>
      <w:r w:rsidRPr="00593BC3">
        <w:rPr>
          <w:rFonts w:eastAsia="Arial" w:cs="Arial"/>
          <w:szCs w:val="18"/>
        </w:rPr>
        <w:t xml:space="preserve">an Interest Barrier and a </w:t>
      </w:r>
      <w:r w:rsidR="00C10CC0">
        <w:rPr>
          <w:rFonts w:eastAsia="Arial" w:cs="Arial"/>
          <w:szCs w:val="18"/>
        </w:rPr>
        <w:t>Buffer Threshold</w:t>
      </w:r>
      <w:r w:rsidRPr="00593BC3">
        <w:rPr>
          <w:rFonts w:eastAsia="Arial" w:cs="Arial"/>
          <w:szCs w:val="18"/>
        </w:rPr>
        <w:t xml:space="preserve"> of </w:t>
      </w:r>
      <w:r w:rsidR="008E7C15">
        <w:rPr>
          <w:rFonts w:eastAsia="Arial" w:cs="Arial"/>
          <w:szCs w:val="18"/>
        </w:rPr>
        <w:t>80.00</w:t>
      </w:r>
      <w:r w:rsidRPr="00593BC3">
        <w:rPr>
          <w:rFonts w:eastAsia="Arial" w:cs="Arial"/>
          <w:szCs w:val="18"/>
        </w:rPr>
        <w:t xml:space="preserve"> (equal to </w:t>
      </w:r>
      <w:r w:rsidR="008E7C15">
        <w:rPr>
          <w:rFonts w:eastAsia="Arial" w:cs="Arial"/>
          <w:szCs w:val="18"/>
        </w:rPr>
        <w:t>80.00</w:t>
      </w:r>
      <w:r w:rsidRPr="00593BC3">
        <w:rPr>
          <w:rFonts w:eastAsia="Arial" w:cs="Arial"/>
          <w:szCs w:val="18"/>
        </w:rPr>
        <w:t>% of the</w:t>
      </w:r>
      <w:r>
        <w:t xml:space="preserve"> hypothetical Initial Value);</w:t>
      </w:r>
      <w:r w:rsidR="00025618" w:rsidRPr="00606886">
        <w:rPr>
          <w:rFonts w:eastAsia="Arial" w:cs="Arial"/>
          <w:b/>
          <w:bCs/>
          <w:szCs w:val="18"/>
        </w:rPr>
        <w:t xml:space="preserve"> </w:t>
      </w:r>
    </w:p>
    <w:p w:rsidR="00025618" w:rsidRPr="004A0E9C" w:rsidRDefault="00406A2D" w:rsidP="00406A2D">
      <w:pPr>
        <w:pStyle w:val="RFindent"/>
        <w:ind w:hanging="540"/>
      </w:pPr>
      <w:r w:rsidRPr="00406A2D">
        <w:rPr>
          <w:bCs w:val="0"/>
        </w:rPr>
        <w:t xml:space="preserve">a Buffer Amount of </w:t>
      </w:r>
      <w:r w:rsidR="00DB7E16">
        <w:rPr>
          <w:bCs w:val="0"/>
        </w:rPr>
        <w:t>20.00</w:t>
      </w:r>
      <w:r w:rsidRPr="00406A2D">
        <w:rPr>
          <w:bCs w:val="0"/>
        </w:rPr>
        <w:t>%; and</w:t>
      </w:r>
    </w:p>
    <w:p w:rsidR="001A6A69" w:rsidRPr="00826BD2" w:rsidRDefault="001A6A69" w:rsidP="00D35312">
      <w:pPr>
        <w:pStyle w:val="RFindent"/>
        <w:ind w:left="360"/>
      </w:pPr>
      <w:r w:rsidRPr="00826BD2">
        <w:t xml:space="preserve">a Contingent Interest Rate of </w:t>
      </w:r>
      <w:r w:rsidR="0016494E">
        <w:t>7.80</w:t>
      </w:r>
      <w:r w:rsidR="006B16C3">
        <w:t>%</w:t>
      </w:r>
      <w:r w:rsidRPr="00826BD2">
        <w:t xml:space="preserve"> per annum (payable at a rate of</w:t>
      </w:r>
      <w:r w:rsidR="00947C22">
        <w:rPr>
          <w:bCs w:val="0"/>
        </w:rPr>
        <w:t xml:space="preserve"> </w:t>
      </w:r>
      <w:r w:rsidR="0016494E">
        <w:rPr>
          <w:bCs w:val="0"/>
        </w:rPr>
        <w:t>0.65</w:t>
      </w:r>
      <w:r w:rsidR="006B16C3">
        <w:t>%</w:t>
      </w:r>
      <w:r w:rsidR="00593BC3" w:rsidRPr="00593BC3">
        <w:t xml:space="preserve"> </w:t>
      </w:r>
      <w:r w:rsidR="006050CE">
        <w:t xml:space="preserve">per </w:t>
      </w:r>
      <w:r w:rsidR="00D35312">
        <w:t>month</w:t>
      </w:r>
      <w:r w:rsidRPr="00826BD2">
        <w:t>).</w:t>
      </w:r>
    </w:p>
    <w:p w:rsidR="00BD3513" w:rsidRDefault="00BD3513" w:rsidP="000B361A">
      <w:pPr>
        <w:rPr>
          <w:color w:val="404040" w:themeColor="text1" w:themeTint="BF"/>
          <w:szCs w:val="18"/>
        </w:rPr>
      </w:pPr>
      <w:r w:rsidRPr="00E50694">
        <w:rPr>
          <w:color w:val="404040" w:themeColor="text1" w:themeTint="BF"/>
          <w:szCs w:val="18"/>
        </w:rPr>
        <w:t>The</w:t>
      </w:r>
      <w:r>
        <w:rPr>
          <w:color w:val="404040" w:themeColor="text1" w:themeTint="BF"/>
          <w:szCs w:val="18"/>
        </w:rPr>
        <w:t xml:space="preserve"> hypothetical </w:t>
      </w:r>
      <w:r w:rsidR="00593BC3" w:rsidRPr="00593BC3">
        <w:rPr>
          <w:color w:val="404040" w:themeColor="text1" w:themeTint="BF"/>
          <w:szCs w:val="18"/>
        </w:rPr>
        <w:t>Initial Value</w:t>
      </w:r>
      <w:r>
        <w:rPr>
          <w:color w:val="404040" w:themeColor="text1" w:themeTint="BF"/>
          <w:szCs w:val="18"/>
        </w:rPr>
        <w:t xml:space="preserve"> of </w:t>
      </w:r>
      <w:r w:rsidR="00593BC3" w:rsidRPr="00593BC3">
        <w:rPr>
          <w:color w:val="404040" w:themeColor="text1" w:themeTint="BF"/>
          <w:szCs w:val="18"/>
        </w:rPr>
        <w:t>100.00</w:t>
      </w:r>
      <w:r w:rsidRPr="00E50694">
        <w:rPr>
          <w:color w:val="404040" w:themeColor="text1" w:themeTint="BF"/>
          <w:szCs w:val="18"/>
        </w:rPr>
        <w:t xml:space="preserve"> has been chosen for illustrative purpos</w:t>
      </w:r>
      <w:r w:rsidR="00746488">
        <w:rPr>
          <w:color w:val="404040" w:themeColor="text1" w:themeTint="BF"/>
          <w:szCs w:val="18"/>
        </w:rPr>
        <w:t>es only an</w:t>
      </w:r>
      <w:r w:rsidR="00746488" w:rsidRPr="00613D13">
        <w:rPr>
          <w:color w:val="404040" w:themeColor="text1" w:themeTint="BF"/>
          <w:szCs w:val="18"/>
        </w:rPr>
        <w:t xml:space="preserve">d </w:t>
      </w:r>
      <w:r w:rsidR="00593BC3" w:rsidRPr="00593BC3">
        <w:rPr>
          <w:color w:val="404040" w:themeColor="text1" w:themeTint="BF"/>
          <w:szCs w:val="18"/>
        </w:rPr>
        <w:t>may not represent a likely actual Initial Value</w:t>
      </w:r>
      <w:r w:rsidR="00422B5A" w:rsidRPr="00E50694">
        <w:rPr>
          <w:color w:val="404040" w:themeColor="text1" w:themeTint="BF"/>
          <w:szCs w:val="18"/>
        </w:rPr>
        <w:t>.</w:t>
      </w:r>
      <w:r w:rsidR="00422B5A">
        <w:rPr>
          <w:color w:val="404040" w:themeColor="text1" w:themeTint="BF"/>
          <w:szCs w:val="18"/>
        </w:rPr>
        <w:t xml:space="preserve">  </w:t>
      </w:r>
      <w:r w:rsidR="00881517">
        <w:rPr>
          <w:color w:val="404040" w:themeColor="text1" w:themeTint="BF"/>
          <w:szCs w:val="18"/>
        </w:rPr>
        <w:t>The actual</w:t>
      </w:r>
      <w:r w:rsidR="00724650">
        <w:rPr>
          <w:color w:val="404040" w:themeColor="text1" w:themeTint="BF"/>
          <w:szCs w:val="18"/>
        </w:rPr>
        <w:t xml:space="preserve"> </w:t>
      </w:r>
      <w:r w:rsidR="00593BC3" w:rsidRPr="00593BC3">
        <w:rPr>
          <w:color w:val="404040" w:themeColor="text1" w:themeTint="BF"/>
          <w:szCs w:val="18"/>
        </w:rPr>
        <w:t>Initial Value will be the closing level of the Index on the Pricing Date and will be provided in the pricing supplement</w:t>
      </w:r>
      <w:r w:rsidR="00422B5A" w:rsidRPr="00DD269A">
        <w:rPr>
          <w:color w:val="404040" w:themeColor="text1" w:themeTint="BF"/>
          <w:szCs w:val="18"/>
        </w:rPr>
        <w:t>.</w:t>
      </w:r>
      <w:r w:rsidR="00422B5A">
        <w:rPr>
          <w:color w:val="404040" w:themeColor="text1" w:themeTint="BF"/>
          <w:szCs w:val="18"/>
        </w:rPr>
        <w:t xml:space="preserve">  </w:t>
      </w:r>
      <w:r w:rsidRPr="00DD269A">
        <w:rPr>
          <w:color w:val="404040" w:themeColor="text1" w:themeTint="BF"/>
          <w:szCs w:val="18"/>
        </w:rPr>
        <w:t xml:space="preserve">For historical data regarding the actual </w:t>
      </w:r>
      <w:r w:rsidR="00593BC3" w:rsidRPr="00593BC3">
        <w:rPr>
          <w:color w:val="404040" w:themeColor="text1" w:themeTint="BF"/>
          <w:szCs w:val="18"/>
        </w:rPr>
        <w:t>closing levels of the Index</w:t>
      </w:r>
      <w:r w:rsidRPr="00E50694">
        <w:rPr>
          <w:color w:val="404040" w:themeColor="text1" w:themeTint="BF"/>
          <w:szCs w:val="18"/>
        </w:rPr>
        <w:t xml:space="preserve">, please see the historical information set forth under </w:t>
      </w:r>
      <w:r w:rsidR="00593BC3">
        <w:rPr>
          <w:color w:val="404040" w:themeColor="text1" w:themeTint="BF"/>
          <w:szCs w:val="18"/>
        </w:rPr>
        <w:t>“</w:t>
      </w:r>
      <w:r w:rsidR="006F7B12">
        <w:rPr>
          <w:color w:val="404040" w:themeColor="text1" w:themeTint="BF"/>
          <w:szCs w:val="18"/>
        </w:rPr>
        <w:t>The</w:t>
      </w:r>
      <w:r w:rsidR="003066F0">
        <w:rPr>
          <w:color w:val="404040" w:themeColor="text1" w:themeTint="BF"/>
          <w:szCs w:val="18"/>
        </w:rPr>
        <w:t xml:space="preserve"> </w:t>
      </w:r>
      <w:r w:rsidR="00593BC3" w:rsidRPr="00593BC3">
        <w:rPr>
          <w:color w:val="404040" w:themeColor="text1" w:themeTint="BF"/>
          <w:szCs w:val="18"/>
        </w:rPr>
        <w:t>Index</w:t>
      </w:r>
      <w:r w:rsidR="00593BC3">
        <w:rPr>
          <w:color w:val="404040" w:themeColor="text1" w:themeTint="BF"/>
          <w:szCs w:val="18"/>
        </w:rPr>
        <w:t>”</w:t>
      </w:r>
      <w:r w:rsidRPr="00E50694">
        <w:rPr>
          <w:color w:val="404040" w:themeColor="text1" w:themeTint="BF"/>
          <w:szCs w:val="18"/>
        </w:rPr>
        <w:t xml:space="preserve"> in </w:t>
      </w:r>
      <w:r w:rsidR="00ED2800">
        <w:rPr>
          <w:color w:val="404040" w:themeColor="text1" w:themeTint="BF"/>
          <w:szCs w:val="18"/>
        </w:rPr>
        <w:t>this pricing supplement</w:t>
      </w:r>
      <w:r>
        <w:rPr>
          <w:color w:val="404040" w:themeColor="text1" w:themeTint="BF"/>
          <w:szCs w:val="18"/>
        </w:rPr>
        <w:t>.</w:t>
      </w:r>
    </w:p>
    <w:p w:rsidR="00694C12" w:rsidRPr="00694C12" w:rsidRDefault="00694C12" w:rsidP="00A943FA">
      <w:pPr>
        <w:rPr>
          <w:color w:val="404040" w:themeColor="text1" w:themeTint="BF"/>
          <w:szCs w:val="18"/>
        </w:rPr>
      </w:pPr>
      <w:r w:rsidRPr="00694C12">
        <w:rPr>
          <w:color w:val="404040" w:themeColor="text1" w:themeTint="BF"/>
          <w:szCs w:val="18"/>
        </w:rPr>
        <w:t>Each hypothetical payment set forth below is for illustrative purposes only and may not be the actual payment ap</w:t>
      </w:r>
      <w:r w:rsidR="00BD3513">
        <w:rPr>
          <w:color w:val="404040" w:themeColor="text1" w:themeTint="BF"/>
          <w:szCs w:val="18"/>
        </w:rPr>
        <w:t xml:space="preserve">plicable to a purchaser of the </w:t>
      </w:r>
      <w:r w:rsidR="001C1A8B">
        <w:rPr>
          <w:color w:val="404040" w:themeColor="text1" w:themeTint="BF"/>
          <w:szCs w:val="18"/>
        </w:rPr>
        <w:t>notes</w:t>
      </w:r>
      <w:r w:rsidR="00422B5A" w:rsidRPr="00694C12">
        <w:rPr>
          <w:color w:val="404040" w:themeColor="text1" w:themeTint="BF"/>
          <w:szCs w:val="18"/>
        </w:rPr>
        <w:t>.</w:t>
      </w:r>
      <w:r w:rsidR="00422B5A">
        <w:rPr>
          <w:color w:val="404040" w:themeColor="text1" w:themeTint="BF"/>
          <w:szCs w:val="18"/>
        </w:rPr>
        <w:t xml:space="preserve">  </w:t>
      </w:r>
      <w:r w:rsidRPr="00694C12">
        <w:rPr>
          <w:color w:val="404040" w:themeColor="text1" w:themeTint="BF"/>
          <w:szCs w:val="18"/>
        </w:rPr>
        <w:t>The numbers appearing in the following examples have been rounded for ease of analysis.</w:t>
      </w:r>
    </w:p>
    <w:p w:rsidR="00250EB7" w:rsidRPr="00AC4304" w:rsidRDefault="00250EB7" w:rsidP="00B13588">
      <w:pPr>
        <w:pStyle w:val="Heading5"/>
      </w:pPr>
      <w:r w:rsidRPr="00A86B37">
        <w:t xml:space="preserve">Example 1 — Notes are automatically called on the </w:t>
      </w:r>
      <w:r w:rsidR="00B13588">
        <w:t>sixth</w:t>
      </w:r>
      <w:r w:rsidRPr="00A86B37">
        <w:t xml:space="preserve"> </w:t>
      </w:r>
      <w:r>
        <w:t>Review</w:t>
      </w:r>
      <w:r w:rsidRPr="00A86B37">
        <w:t xml:space="preserve"> Date</w:t>
      </w:r>
      <w:r>
        <w:t>.</w:t>
      </w:r>
    </w:p>
    <w:tbl>
      <w:tblPr>
        <w:tblStyle w:val="JPMHypoTable"/>
        <w:tblW w:w="0" w:type="auto"/>
        <w:tblLayout w:type="fixed"/>
        <w:tblLook w:val="0020" w:firstRow="1" w:lastRow="0" w:firstColumn="0" w:lastColumn="0" w:noHBand="0" w:noVBand="0"/>
      </w:tblPr>
      <w:tblGrid>
        <w:gridCol w:w="2239"/>
        <w:gridCol w:w="2676"/>
        <w:gridCol w:w="5333"/>
      </w:tblGrid>
      <w:tr w:rsidR="00250EB7" w:rsidRPr="00AC4304" w:rsidTr="00F44E7D">
        <w:trPr>
          <w:cnfStyle w:val="100000000000" w:firstRow="1" w:lastRow="0" w:firstColumn="0" w:lastColumn="0" w:oddVBand="0" w:evenVBand="0" w:oddHBand="0" w:evenHBand="0" w:firstRowFirstColumn="0" w:firstRowLastColumn="0" w:lastRowFirstColumn="0" w:lastRowLastColumn="0"/>
          <w:trHeight w:val="290"/>
        </w:trPr>
        <w:tc>
          <w:tcPr>
            <w:tcW w:w="2239" w:type="dxa"/>
          </w:tcPr>
          <w:p w:rsidR="00250EB7" w:rsidRPr="00AC4304" w:rsidRDefault="00250EB7" w:rsidP="00F44E7D">
            <w:pPr>
              <w:autoSpaceDE w:val="0"/>
              <w:autoSpaceDN w:val="0"/>
              <w:adjustRightInd w:val="0"/>
              <w:spacing w:line="240" w:lineRule="auto"/>
              <w:rPr>
                <w:bCs w:val="0"/>
                <w:szCs w:val="18"/>
              </w:rPr>
            </w:pPr>
            <w:r w:rsidRPr="00AC4304">
              <w:rPr>
                <w:bCs w:val="0"/>
                <w:szCs w:val="18"/>
              </w:rPr>
              <w:t>Date</w:t>
            </w:r>
          </w:p>
        </w:tc>
        <w:tc>
          <w:tcPr>
            <w:tcW w:w="2676" w:type="dxa"/>
          </w:tcPr>
          <w:p w:rsidR="00250EB7" w:rsidRPr="00AC4304" w:rsidRDefault="00250EB7" w:rsidP="00474B70">
            <w:pPr>
              <w:autoSpaceDE w:val="0"/>
              <w:autoSpaceDN w:val="0"/>
              <w:adjustRightInd w:val="0"/>
              <w:spacing w:line="240" w:lineRule="auto"/>
              <w:rPr>
                <w:bCs w:val="0"/>
                <w:szCs w:val="18"/>
              </w:rPr>
            </w:pPr>
            <w:r w:rsidRPr="00AC4304">
              <w:rPr>
                <w:bCs w:val="0"/>
                <w:szCs w:val="18"/>
              </w:rPr>
              <w:t xml:space="preserve">Closing </w:t>
            </w:r>
            <w:r w:rsidR="00474B70">
              <w:rPr>
                <w:bCs w:val="0"/>
                <w:szCs w:val="18"/>
              </w:rPr>
              <w:t>Level</w:t>
            </w:r>
          </w:p>
        </w:tc>
        <w:tc>
          <w:tcPr>
            <w:tcW w:w="5333" w:type="dxa"/>
          </w:tcPr>
          <w:p w:rsidR="00250EB7" w:rsidRPr="00AC4304" w:rsidRDefault="00250EB7" w:rsidP="00F44E7D">
            <w:pPr>
              <w:autoSpaceDE w:val="0"/>
              <w:autoSpaceDN w:val="0"/>
              <w:adjustRightInd w:val="0"/>
              <w:spacing w:line="240" w:lineRule="auto"/>
              <w:rPr>
                <w:bCs w:val="0"/>
                <w:szCs w:val="18"/>
              </w:rPr>
            </w:pPr>
            <w:r w:rsidRPr="00AC4304">
              <w:rPr>
                <w:bCs w:val="0"/>
                <w:szCs w:val="18"/>
              </w:rPr>
              <w:t>Payment (per $1,000 principal amount note)</w:t>
            </w:r>
          </w:p>
        </w:tc>
      </w:tr>
      <w:tr w:rsidR="00250EB7" w:rsidRPr="00AC4304" w:rsidTr="004D44AE">
        <w:trPr>
          <w:trHeight w:val="290"/>
        </w:trPr>
        <w:tc>
          <w:tcPr>
            <w:tcW w:w="2239" w:type="dxa"/>
          </w:tcPr>
          <w:p w:rsidR="00250EB7" w:rsidRPr="00AC4304" w:rsidRDefault="00250EB7" w:rsidP="00250EB7">
            <w:pPr>
              <w:autoSpaceDE w:val="0"/>
              <w:autoSpaceDN w:val="0"/>
              <w:adjustRightInd w:val="0"/>
              <w:spacing w:line="240" w:lineRule="auto"/>
              <w:rPr>
                <w:bCs w:val="0"/>
                <w:szCs w:val="18"/>
              </w:rPr>
            </w:pPr>
            <w:r w:rsidRPr="00AC4304">
              <w:rPr>
                <w:bCs w:val="0"/>
                <w:szCs w:val="18"/>
              </w:rPr>
              <w:t>First Review Date</w:t>
            </w:r>
          </w:p>
        </w:tc>
        <w:tc>
          <w:tcPr>
            <w:tcW w:w="2676" w:type="dxa"/>
          </w:tcPr>
          <w:p w:rsidR="00250EB7" w:rsidRPr="00AC4304" w:rsidRDefault="00250EB7" w:rsidP="00250EB7">
            <w:pPr>
              <w:autoSpaceDE w:val="0"/>
              <w:autoSpaceDN w:val="0"/>
              <w:adjustRightInd w:val="0"/>
              <w:spacing w:line="240" w:lineRule="auto"/>
            </w:pPr>
            <w:r>
              <w:rPr>
                <w:bCs w:val="0"/>
                <w:szCs w:val="18"/>
              </w:rPr>
              <w:t>105.00</w:t>
            </w:r>
          </w:p>
        </w:tc>
        <w:tc>
          <w:tcPr>
            <w:tcW w:w="5333" w:type="dxa"/>
            <w:vAlign w:val="center"/>
          </w:tcPr>
          <w:p w:rsidR="00250EB7" w:rsidRPr="00250EB7" w:rsidRDefault="00250EB7" w:rsidP="00B13588">
            <w:pPr>
              <w:autoSpaceDE w:val="0"/>
              <w:autoSpaceDN w:val="0"/>
              <w:adjustRightInd w:val="0"/>
              <w:spacing w:line="240" w:lineRule="auto"/>
              <w:rPr>
                <w:bCs w:val="0"/>
              </w:rPr>
            </w:pPr>
            <w:r w:rsidRPr="00250EB7">
              <w:rPr>
                <w:bCs w:val="0"/>
              </w:rPr>
              <w:t>$</w:t>
            </w:r>
            <w:r w:rsidR="0016494E">
              <w:rPr>
                <w:bCs w:val="0"/>
              </w:rPr>
              <w:t>6.50</w:t>
            </w:r>
            <w:r w:rsidRPr="00250EB7">
              <w:rPr>
                <w:bCs w:val="0"/>
              </w:rPr>
              <w:t xml:space="preserve"> </w:t>
            </w:r>
          </w:p>
        </w:tc>
      </w:tr>
      <w:tr w:rsidR="00250EB7" w:rsidRPr="00AC4304" w:rsidTr="004D44AE">
        <w:trPr>
          <w:trHeight w:val="290"/>
        </w:trPr>
        <w:tc>
          <w:tcPr>
            <w:tcW w:w="2239" w:type="dxa"/>
          </w:tcPr>
          <w:p w:rsidR="00250EB7" w:rsidRPr="00AC4304" w:rsidRDefault="00250EB7" w:rsidP="00250EB7">
            <w:pPr>
              <w:autoSpaceDE w:val="0"/>
              <w:autoSpaceDN w:val="0"/>
              <w:adjustRightInd w:val="0"/>
              <w:spacing w:line="240" w:lineRule="auto"/>
              <w:rPr>
                <w:bCs w:val="0"/>
                <w:szCs w:val="18"/>
              </w:rPr>
            </w:pPr>
            <w:r>
              <w:rPr>
                <w:bCs w:val="0"/>
                <w:szCs w:val="18"/>
              </w:rPr>
              <w:t>Second</w:t>
            </w:r>
            <w:r w:rsidRPr="00AC4304">
              <w:rPr>
                <w:bCs w:val="0"/>
                <w:szCs w:val="18"/>
              </w:rPr>
              <w:t xml:space="preserve"> Review Date</w:t>
            </w:r>
          </w:p>
        </w:tc>
        <w:tc>
          <w:tcPr>
            <w:tcW w:w="2676" w:type="dxa"/>
          </w:tcPr>
          <w:p w:rsidR="00250EB7" w:rsidRPr="00AC4304" w:rsidRDefault="00250EB7" w:rsidP="00250EB7">
            <w:pPr>
              <w:autoSpaceDE w:val="0"/>
              <w:autoSpaceDN w:val="0"/>
              <w:adjustRightInd w:val="0"/>
              <w:spacing w:line="240" w:lineRule="auto"/>
            </w:pPr>
            <w:r>
              <w:rPr>
                <w:bCs w:val="0"/>
                <w:szCs w:val="18"/>
              </w:rPr>
              <w:t>115.00</w:t>
            </w:r>
          </w:p>
        </w:tc>
        <w:tc>
          <w:tcPr>
            <w:tcW w:w="5333" w:type="dxa"/>
            <w:vAlign w:val="center"/>
          </w:tcPr>
          <w:p w:rsidR="00250EB7" w:rsidRPr="00250EB7" w:rsidRDefault="00250EB7" w:rsidP="00B13588">
            <w:pPr>
              <w:autoSpaceDE w:val="0"/>
              <w:autoSpaceDN w:val="0"/>
              <w:adjustRightInd w:val="0"/>
              <w:spacing w:line="240" w:lineRule="auto"/>
              <w:rPr>
                <w:bCs w:val="0"/>
              </w:rPr>
            </w:pPr>
            <w:r w:rsidRPr="00250EB7">
              <w:rPr>
                <w:bCs w:val="0"/>
              </w:rPr>
              <w:t>$</w:t>
            </w:r>
            <w:r w:rsidR="0016494E">
              <w:rPr>
                <w:bCs w:val="0"/>
              </w:rPr>
              <w:t>6.50</w:t>
            </w:r>
          </w:p>
        </w:tc>
      </w:tr>
      <w:tr w:rsidR="00C51C7F" w:rsidRPr="00AC4304" w:rsidTr="00F44E7D">
        <w:trPr>
          <w:trHeight w:val="290"/>
        </w:trPr>
        <w:tc>
          <w:tcPr>
            <w:tcW w:w="2239" w:type="dxa"/>
          </w:tcPr>
          <w:p w:rsidR="00C51C7F" w:rsidRPr="00AC4304" w:rsidRDefault="00DC1724" w:rsidP="00C51C7F">
            <w:pPr>
              <w:autoSpaceDE w:val="0"/>
              <w:autoSpaceDN w:val="0"/>
              <w:adjustRightInd w:val="0"/>
              <w:spacing w:line="240" w:lineRule="auto"/>
              <w:rPr>
                <w:bCs w:val="0"/>
                <w:szCs w:val="18"/>
              </w:rPr>
            </w:pPr>
            <w:r>
              <w:rPr>
                <w:bCs w:val="0"/>
                <w:szCs w:val="18"/>
              </w:rPr>
              <w:t>Third through Fifth</w:t>
            </w:r>
            <w:r w:rsidR="00C51C7F" w:rsidRPr="00AC4304">
              <w:rPr>
                <w:bCs w:val="0"/>
                <w:szCs w:val="18"/>
              </w:rPr>
              <w:t xml:space="preserve"> Review Date</w:t>
            </w:r>
            <w:r>
              <w:rPr>
                <w:bCs w:val="0"/>
                <w:szCs w:val="18"/>
              </w:rPr>
              <w:t>s</w:t>
            </w:r>
          </w:p>
        </w:tc>
        <w:tc>
          <w:tcPr>
            <w:tcW w:w="2676" w:type="dxa"/>
          </w:tcPr>
          <w:p w:rsidR="00C51C7F" w:rsidRDefault="00DC1724" w:rsidP="00C51C7F">
            <w:pPr>
              <w:autoSpaceDE w:val="0"/>
              <w:autoSpaceDN w:val="0"/>
              <w:adjustRightInd w:val="0"/>
              <w:spacing w:line="240" w:lineRule="auto"/>
              <w:rPr>
                <w:bCs w:val="0"/>
                <w:szCs w:val="18"/>
              </w:rPr>
            </w:pPr>
            <w:r>
              <w:rPr>
                <w:bCs w:val="0"/>
                <w:szCs w:val="18"/>
              </w:rPr>
              <w:t>Greater than Initial Value</w:t>
            </w:r>
          </w:p>
        </w:tc>
        <w:tc>
          <w:tcPr>
            <w:tcW w:w="5333" w:type="dxa"/>
          </w:tcPr>
          <w:p w:rsidR="00C51C7F" w:rsidRDefault="00C51C7F" w:rsidP="00C51C7F">
            <w:pPr>
              <w:autoSpaceDE w:val="0"/>
              <w:autoSpaceDN w:val="0"/>
              <w:adjustRightInd w:val="0"/>
              <w:spacing w:line="240" w:lineRule="auto"/>
              <w:rPr>
                <w:bCs w:val="0"/>
              </w:rPr>
            </w:pPr>
            <w:r>
              <w:rPr>
                <w:bCs w:val="0"/>
              </w:rPr>
              <w:t>$</w:t>
            </w:r>
            <w:r w:rsidR="0016494E">
              <w:rPr>
                <w:bCs w:val="0"/>
              </w:rPr>
              <w:t>6.50</w:t>
            </w:r>
          </w:p>
        </w:tc>
      </w:tr>
      <w:tr w:rsidR="00DC1724" w:rsidRPr="00AC4304" w:rsidTr="00F44E7D">
        <w:trPr>
          <w:trHeight w:val="290"/>
        </w:trPr>
        <w:tc>
          <w:tcPr>
            <w:tcW w:w="2239" w:type="dxa"/>
          </w:tcPr>
          <w:p w:rsidR="00DC1724" w:rsidRDefault="00DC1724" w:rsidP="00C51C7F">
            <w:pPr>
              <w:autoSpaceDE w:val="0"/>
              <w:autoSpaceDN w:val="0"/>
              <w:adjustRightInd w:val="0"/>
              <w:spacing w:line="240" w:lineRule="auto"/>
              <w:rPr>
                <w:bCs w:val="0"/>
                <w:szCs w:val="18"/>
              </w:rPr>
            </w:pPr>
            <w:r>
              <w:rPr>
                <w:bCs w:val="0"/>
                <w:szCs w:val="18"/>
              </w:rPr>
              <w:t>Sixth Review Date</w:t>
            </w:r>
          </w:p>
        </w:tc>
        <w:tc>
          <w:tcPr>
            <w:tcW w:w="2676" w:type="dxa"/>
          </w:tcPr>
          <w:p w:rsidR="00DC1724" w:rsidRDefault="00DC1724" w:rsidP="00C51C7F">
            <w:pPr>
              <w:autoSpaceDE w:val="0"/>
              <w:autoSpaceDN w:val="0"/>
              <w:adjustRightInd w:val="0"/>
              <w:spacing w:line="240" w:lineRule="auto"/>
              <w:rPr>
                <w:bCs w:val="0"/>
                <w:szCs w:val="18"/>
              </w:rPr>
            </w:pPr>
            <w:r>
              <w:rPr>
                <w:bCs w:val="0"/>
                <w:szCs w:val="18"/>
              </w:rPr>
              <w:t>105.00</w:t>
            </w:r>
          </w:p>
        </w:tc>
        <w:tc>
          <w:tcPr>
            <w:tcW w:w="5333" w:type="dxa"/>
          </w:tcPr>
          <w:p w:rsidR="00DC1724" w:rsidRDefault="0015047D" w:rsidP="00C51C7F">
            <w:pPr>
              <w:autoSpaceDE w:val="0"/>
              <w:autoSpaceDN w:val="0"/>
              <w:adjustRightInd w:val="0"/>
              <w:spacing w:line="240" w:lineRule="auto"/>
              <w:rPr>
                <w:bCs w:val="0"/>
              </w:rPr>
            </w:pPr>
            <w:r>
              <w:rPr>
                <w:bCs w:val="0"/>
              </w:rPr>
              <w:t>$</w:t>
            </w:r>
            <w:r w:rsidR="00DC1724">
              <w:rPr>
                <w:bCs w:val="0"/>
              </w:rPr>
              <w:t>1,00</w:t>
            </w:r>
            <w:r w:rsidR="0016494E">
              <w:rPr>
                <w:bCs w:val="0"/>
              </w:rPr>
              <w:t>6.50</w:t>
            </w:r>
          </w:p>
        </w:tc>
      </w:tr>
      <w:tr w:rsidR="00013469" w:rsidRPr="00AC4304" w:rsidTr="00C51C7F">
        <w:trPr>
          <w:trHeight w:val="305"/>
        </w:trPr>
        <w:tc>
          <w:tcPr>
            <w:tcW w:w="2239" w:type="dxa"/>
          </w:tcPr>
          <w:p w:rsidR="00013469" w:rsidRPr="00AC4304" w:rsidRDefault="00013469" w:rsidP="00013469">
            <w:pPr>
              <w:autoSpaceDE w:val="0"/>
              <w:autoSpaceDN w:val="0"/>
              <w:adjustRightInd w:val="0"/>
              <w:spacing w:line="240" w:lineRule="auto"/>
              <w:rPr>
                <w:bCs w:val="0"/>
                <w:szCs w:val="18"/>
              </w:rPr>
            </w:pPr>
          </w:p>
        </w:tc>
        <w:tc>
          <w:tcPr>
            <w:tcW w:w="2676" w:type="dxa"/>
          </w:tcPr>
          <w:p w:rsidR="00013469" w:rsidRPr="00AC4304" w:rsidRDefault="00013469" w:rsidP="00013469">
            <w:pPr>
              <w:autoSpaceDE w:val="0"/>
              <w:autoSpaceDN w:val="0"/>
              <w:adjustRightInd w:val="0"/>
              <w:spacing w:line="240" w:lineRule="auto"/>
              <w:rPr>
                <w:bCs w:val="0"/>
                <w:szCs w:val="18"/>
              </w:rPr>
            </w:pPr>
            <w:r>
              <w:rPr>
                <w:bCs w:val="0"/>
                <w:szCs w:val="18"/>
              </w:rPr>
              <w:t>Total Payment</w:t>
            </w:r>
          </w:p>
        </w:tc>
        <w:tc>
          <w:tcPr>
            <w:tcW w:w="5333" w:type="dxa"/>
          </w:tcPr>
          <w:p w:rsidR="00013469" w:rsidRDefault="00013469" w:rsidP="00644481">
            <w:pPr>
              <w:autoSpaceDE w:val="0"/>
              <w:autoSpaceDN w:val="0"/>
              <w:adjustRightInd w:val="0"/>
              <w:spacing w:line="240" w:lineRule="auto"/>
              <w:rPr>
                <w:bCs w:val="0"/>
                <w:szCs w:val="18"/>
              </w:rPr>
            </w:pPr>
            <w:r w:rsidRPr="005F272B">
              <w:rPr>
                <w:bCs w:val="0"/>
                <w:szCs w:val="18"/>
              </w:rPr>
              <w:t>$</w:t>
            </w:r>
            <w:r w:rsidRPr="00C73E36">
              <w:rPr>
                <w:bCs w:val="0"/>
                <w:szCs w:val="18"/>
              </w:rPr>
              <w:t>1,</w:t>
            </w:r>
            <w:r w:rsidR="00870313">
              <w:rPr>
                <w:bCs w:val="0"/>
                <w:szCs w:val="18"/>
              </w:rPr>
              <w:t>0</w:t>
            </w:r>
            <w:r w:rsidR="00644481">
              <w:rPr>
                <w:bCs w:val="0"/>
                <w:szCs w:val="18"/>
              </w:rPr>
              <w:t>39.00</w:t>
            </w:r>
            <w:r w:rsidRPr="0088624F">
              <w:t xml:space="preserve"> </w:t>
            </w:r>
            <w:r w:rsidRPr="005F272B">
              <w:rPr>
                <w:bCs w:val="0"/>
                <w:szCs w:val="18"/>
              </w:rPr>
              <w:t>(</w:t>
            </w:r>
            <w:r w:rsidR="00644481">
              <w:rPr>
                <w:bCs w:val="0"/>
                <w:szCs w:val="18"/>
              </w:rPr>
              <w:t>3.90</w:t>
            </w:r>
            <w:r w:rsidRPr="00547C79">
              <w:rPr>
                <w:bCs w:val="0"/>
                <w:szCs w:val="18"/>
              </w:rPr>
              <w:t>%</w:t>
            </w:r>
            <w:r w:rsidRPr="005F272B">
              <w:rPr>
                <w:bCs w:val="0"/>
                <w:szCs w:val="18"/>
              </w:rPr>
              <w:t xml:space="preserve"> return)</w:t>
            </w:r>
          </w:p>
        </w:tc>
      </w:tr>
    </w:tbl>
    <w:p w:rsidR="00250EB7" w:rsidRDefault="00250EB7" w:rsidP="00DC1724">
      <w:pPr>
        <w:keepNext/>
        <w:rPr>
          <w:color w:val="404040" w:themeColor="text1" w:themeTint="BF"/>
          <w:szCs w:val="18"/>
        </w:rPr>
      </w:pPr>
      <w:r>
        <w:rPr>
          <w:color w:val="404040" w:themeColor="text1" w:themeTint="BF"/>
          <w:szCs w:val="18"/>
        </w:rPr>
        <w:t xml:space="preserve">Because the </w:t>
      </w:r>
      <w:r w:rsidRPr="00DE618C">
        <w:rPr>
          <w:bCs w:val="0"/>
          <w:color w:val="404040" w:themeColor="text1" w:themeTint="BF"/>
        </w:rPr>
        <w:t>closing</w:t>
      </w:r>
      <w:r>
        <w:rPr>
          <w:bCs w:val="0"/>
          <w:color w:val="404040" w:themeColor="text1" w:themeTint="BF"/>
        </w:rPr>
        <w:t xml:space="preserve"> level of the Index</w:t>
      </w:r>
      <w:r w:rsidRPr="00791E43">
        <w:rPr>
          <w:color w:val="404040" w:themeColor="text1" w:themeTint="BF"/>
          <w:szCs w:val="18"/>
        </w:rPr>
        <w:t xml:space="preserve"> </w:t>
      </w:r>
      <w:r>
        <w:rPr>
          <w:color w:val="404040" w:themeColor="text1" w:themeTint="BF"/>
          <w:szCs w:val="18"/>
        </w:rPr>
        <w:t xml:space="preserve">on the </w:t>
      </w:r>
      <w:r w:rsidR="00DC1724">
        <w:rPr>
          <w:color w:val="404040" w:themeColor="text1" w:themeTint="BF"/>
          <w:szCs w:val="18"/>
        </w:rPr>
        <w:t>sixth</w:t>
      </w:r>
      <w:r>
        <w:rPr>
          <w:color w:val="404040" w:themeColor="text1" w:themeTint="BF"/>
          <w:szCs w:val="18"/>
        </w:rPr>
        <w:t xml:space="preserve"> Review Date is greater than or equal to the </w:t>
      </w:r>
      <w:r w:rsidRPr="00DE618C">
        <w:rPr>
          <w:color w:val="404040" w:themeColor="text1" w:themeTint="BF"/>
          <w:szCs w:val="18"/>
        </w:rPr>
        <w:t>Initial Value</w:t>
      </w:r>
      <w:r>
        <w:rPr>
          <w:color w:val="404040" w:themeColor="text1" w:themeTint="BF"/>
          <w:szCs w:val="18"/>
        </w:rPr>
        <w:t>, the notes will be automatically called</w:t>
      </w:r>
      <w:r w:rsidRPr="00772AAA">
        <w:rPr>
          <w:color w:val="404040" w:themeColor="text1" w:themeTint="BF"/>
          <w:szCs w:val="18"/>
        </w:rPr>
        <w:t xml:space="preserve"> </w:t>
      </w:r>
      <w:r>
        <w:rPr>
          <w:color w:val="404040" w:themeColor="text1" w:themeTint="BF"/>
          <w:szCs w:val="18"/>
        </w:rPr>
        <w:t>f</w:t>
      </w:r>
      <w:r w:rsidRPr="00954099">
        <w:rPr>
          <w:color w:val="404040" w:themeColor="text1" w:themeTint="BF"/>
          <w:szCs w:val="18"/>
        </w:rPr>
        <w:t xml:space="preserve">or a cash payment, for each $1,000 principal amount note, of </w:t>
      </w:r>
      <w:r w:rsidR="00D974FD">
        <w:rPr>
          <w:color w:val="404040" w:themeColor="text1" w:themeTint="BF"/>
          <w:szCs w:val="18"/>
        </w:rPr>
        <w:t>$1,0</w:t>
      </w:r>
      <w:r w:rsidR="00870313">
        <w:rPr>
          <w:color w:val="404040" w:themeColor="text1" w:themeTint="BF"/>
          <w:szCs w:val="18"/>
        </w:rPr>
        <w:t>0</w:t>
      </w:r>
      <w:r w:rsidR="0016494E">
        <w:rPr>
          <w:color w:val="404040" w:themeColor="text1" w:themeTint="BF"/>
          <w:szCs w:val="18"/>
        </w:rPr>
        <w:t>6.50</w:t>
      </w:r>
      <w:r>
        <w:rPr>
          <w:color w:val="404040" w:themeColor="text1" w:themeTint="BF"/>
          <w:szCs w:val="18"/>
        </w:rPr>
        <w:t xml:space="preserve"> </w:t>
      </w:r>
      <w:r w:rsidRPr="00954099">
        <w:rPr>
          <w:color w:val="404040" w:themeColor="text1" w:themeTint="BF"/>
          <w:szCs w:val="18"/>
        </w:rPr>
        <w:t xml:space="preserve">(or $1,000 </w:t>
      </w:r>
      <w:r w:rsidRPr="00954099">
        <w:rPr>
          <w:i/>
          <w:iCs/>
          <w:color w:val="404040" w:themeColor="text1" w:themeTint="BF"/>
          <w:szCs w:val="18"/>
        </w:rPr>
        <w:t>plus</w:t>
      </w:r>
      <w:r w:rsidRPr="00954099">
        <w:rPr>
          <w:color w:val="404040" w:themeColor="text1" w:themeTint="BF"/>
          <w:szCs w:val="18"/>
        </w:rPr>
        <w:t xml:space="preserve"> the Contingent Interest Payment applicable to the</w:t>
      </w:r>
      <w:r>
        <w:rPr>
          <w:color w:val="404040" w:themeColor="text1" w:themeTint="BF"/>
          <w:szCs w:val="18"/>
        </w:rPr>
        <w:t xml:space="preserve"> </w:t>
      </w:r>
      <w:r w:rsidR="00382A6A">
        <w:rPr>
          <w:color w:val="404040" w:themeColor="text1" w:themeTint="BF"/>
          <w:szCs w:val="18"/>
        </w:rPr>
        <w:t>sixth</w:t>
      </w:r>
      <w:r>
        <w:rPr>
          <w:color w:val="404040" w:themeColor="text1" w:themeTint="BF"/>
          <w:szCs w:val="18"/>
        </w:rPr>
        <w:t xml:space="preserve"> Review Date</w:t>
      </w:r>
      <w:r w:rsidRPr="00954099">
        <w:rPr>
          <w:color w:val="404040" w:themeColor="text1" w:themeTint="BF"/>
          <w:szCs w:val="18"/>
        </w:rPr>
        <w:t xml:space="preserve">), payable on the applicable Call Settlement </w:t>
      </w:r>
      <w:r w:rsidRPr="00DE618C">
        <w:rPr>
          <w:color w:val="404040" w:themeColor="text1" w:themeTint="BF"/>
          <w:szCs w:val="18"/>
        </w:rPr>
        <w:t>Date.  The notes are not automatically callable before the</w:t>
      </w:r>
      <w:r w:rsidR="00382A6A">
        <w:rPr>
          <w:color w:val="404040" w:themeColor="text1" w:themeTint="BF"/>
          <w:szCs w:val="18"/>
        </w:rPr>
        <w:t xml:space="preserve"> sixth</w:t>
      </w:r>
      <w:r>
        <w:rPr>
          <w:color w:val="404040" w:themeColor="text1" w:themeTint="BF"/>
          <w:szCs w:val="18"/>
        </w:rPr>
        <w:t xml:space="preserve"> Review Date</w:t>
      </w:r>
      <w:r w:rsidRPr="00DE618C">
        <w:rPr>
          <w:color w:val="404040" w:themeColor="text1" w:themeTint="BF"/>
          <w:szCs w:val="18"/>
        </w:rPr>
        <w:t xml:space="preserve">, even though the </w:t>
      </w:r>
      <w:r w:rsidR="00731A09" w:rsidRPr="00DE618C">
        <w:rPr>
          <w:bCs w:val="0"/>
          <w:color w:val="404040" w:themeColor="text1" w:themeTint="BF"/>
        </w:rPr>
        <w:t>closing</w:t>
      </w:r>
      <w:r w:rsidR="00731A09">
        <w:rPr>
          <w:bCs w:val="0"/>
          <w:color w:val="404040" w:themeColor="text1" w:themeTint="BF"/>
        </w:rPr>
        <w:t xml:space="preserve"> level of the Index</w:t>
      </w:r>
      <w:r w:rsidRPr="00DE618C">
        <w:rPr>
          <w:color w:val="404040" w:themeColor="text1" w:themeTint="BF"/>
          <w:szCs w:val="18"/>
        </w:rPr>
        <w:t xml:space="preserve"> on </w:t>
      </w:r>
      <w:r w:rsidR="009D3307">
        <w:rPr>
          <w:color w:val="404040" w:themeColor="text1" w:themeTint="BF"/>
          <w:szCs w:val="18"/>
        </w:rPr>
        <w:t>ea</w:t>
      </w:r>
      <w:r w:rsidR="00870313">
        <w:rPr>
          <w:color w:val="404040" w:themeColor="text1" w:themeTint="BF"/>
          <w:szCs w:val="18"/>
        </w:rPr>
        <w:t xml:space="preserve">ch of the </w:t>
      </w:r>
      <w:r w:rsidR="00382A6A">
        <w:rPr>
          <w:color w:val="404040" w:themeColor="text1" w:themeTint="BF"/>
          <w:szCs w:val="18"/>
        </w:rPr>
        <w:t>first through fifth</w:t>
      </w:r>
      <w:r w:rsidR="009D3307">
        <w:rPr>
          <w:color w:val="404040" w:themeColor="text1" w:themeTint="BF"/>
          <w:szCs w:val="18"/>
        </w:rPr>
        <w:t xml:space="preserve"> </w:t>
      </w:r>
      <w:r w:rsidRPr="00DE618C">
        <w:rPr>
          <w:color w:val="404040" w:themeColor="text1" w:themeTint="BF"/>
          <w:szCs w:val="18"/>
        </w:rPr>
        <w:t>Review Date</w:t>
      </w:r>
      <w:r>
        <w:rPr>
          <w:color w:val="404040" w:themeColor="text1" w:themeTint="BF"/>
          <w:szCs w:val="18"/>
        </w:rPr>
        <w:t>s</w:t>
      </w:r>
      <w:r w:rsidRPr="00DE618C">
        <w:rPr>
          <w:color w:val="404040" w:themeColor="text1" w:themeTint="BF"/>
          <w:szCs w:val="18"/>
        </w:rPr>
        <w:t xml:space="preserve"> is greater than the Initial Value.  When added to </w:t>
      </w:r>
      <w:r>
        <w:rPr>
          <w:color w:val="404040" w:themeColor="text1" w:themeTint="BF"/>
          <w:szCs w:val="18"/>
        </w:rPr>
        <w:t>the Contingent Interest Payments</w:t>
      </w:r>
      <w:r w:rsidRPr="00DE618C">
        <w:rPr>
          <w:color w:val="404040" w:themeColor="text1" w:themeTint="BF"/>
          <w:szCs w:val="18"/>
        </w:rPr>
        <w:t xml:space="preserve"> received with respect to the prior Review Date</w:t>
      </w:r>
      <w:r>
        <w:rPr>
          <w:color w:val="404040" w:themeColor="text1" w:themeTint="BF"/>
          <w:szCs w:val="18"/>
        </w:rPr>
        <w:t>s</w:t>
      </w:r>
      <w:r w:rsidRPr="00DE618C">
        <w:rPr>
          <w:color w:val="404040" w:themeColor="text1" w:themeTint="BF"/>
          <w:szCs w:val="18"/>
        </w:rPr>
        <w:t xml:space="preserve">, the total amount paid, for each $1,000 </w:t>
      </w:r>
      <w:r>
        <w:rPr>
          <w:color w:val="404040" w:themeColor="text1" w:themeTint="BF"/>
          <w:szCs w:val="18"/>
        </w:rPr>
        <w:t>principal amount note, is $</w:t>
      </w:r>
      <w:r w:rsidRPr="00C32F19">
        <w:rPr>
          <w:color w:val="404040" w:themeColor="text1" w:themeTint="BF"/>
          <w:szCs w:val="18"/>
        </w:rPr>
        <w:t>1,0</w:t>
      </w:r>
      <w:r w:rsidR="00644481">
        <w:rPr>
          <w:color w:val="404040"/>
        </w:rPr>
        <w:t>39.00</w:t>
      </w:r>
      <w:r w:rsidRPr="00DE618C">
        <w:rPr>
          <w:color w:val="404040" w:themeColor="text1" w:themeTint="BF"/>
          <w:szCs w:val="18"/>
        </w:rPr>
        <w:t>.</w:t>
      </w:r>
      <w:r w:rsidRPr="00954099">
        <w:rPr>
          <w:color w:val="404040" w:themeColor="text1" w:themeTint="BF"/>
          <w:szCs w:val="18"/>
        </w:rPr>
        <w:t xml:space="preserve">  No further payments will be made on the notes.</w:t>
      </w:r>
    </w:p>
    <w:p w:rsidR="00593BC3" w:rsidRPr="00593BC3" w:rsidRDefault="00425EDC" w:rsidP="00E63441">
      <w:pPr>
        <w:rPr>
          <w:rFonts w:eastAsiaTheme="majorEastAsia" w:cstheme="majorBidi"/>
          <w:b/>
          <w:color w:val="54301A"/>
          <w:szCs w:val="26"/>
        </w:rPr>
      </w:pPr>
      <w:r w:rsidRPr="00331A02">
        <w:rPr>
          <w:rStyle w:val="Heading5Char"/>
        </w:rPr>
        <w:t>Example 2</w:t>
      </w:r>
      <w:r w:rsidR="008736B2" w:rsidRPr="00331A02">
        <w:rPr>
          <w:rStyle w:val="Heading5Char"/>
        </w:rPr>
        <w:t xml:space="preserve"> — Notes have NOT been automatically called</w:t>
      </w:r>
      <w:r w:rsidR="00593BC3" w:rsidRPr="00593BC3">
        <w:rPr>
          <w:rStyle w:val="Heading5Char"/>
        </w:rPr>
        <w:t xml:space="preserve"> and</w:t>
      </w:r>
      <w:r w:rsidR="008736B2" w:rsidRPr="00331A02">
        <w:rPr>
          <w:rStyle w:val="Heading5Char"/>
        </w:rPr>
        <w:t xml:space="preserve"> the Final Value </w:t>
      </w:r>
      <w:r w:rsidR="00593BC3" w:rsidRPr="00593BC3">
        <w:rPr>
          <w:rStyle w:val="Heading5Char"/>
        </w:rPr>
        <w:t>is</w:t>
      </w:r>
      <w:r w:rsidR="00CF37E5" w:rsidRPr="00331A02">
        <w:rPr>
          <w:rStyle w:val="Heading5Char"/>
        </w:rPr>
        <w:t xml:space="preserve"> greater than or equal to the</w:t>
      </w:r>
      <w:r w:rsidR="008736B2" w:rsidRPr="00331A02">
        <w:rPr>
          <w:rStyle w:val="Heading5Char"/>
        </w:rPr>
        <w:t xml:space="preserve"> </w:t>
      </w:r>
      <w:r w:rsidR="00C10CC0">
        <w:rPr>
          <w:rStyle w:val="Heading5Char"/>
        </w:rPr>
        <w:t>Buffer Threshold</w:t>
      </w:r>
      <w:r w:rsidR="005908C6">
        <w:rPr>
          <w:rStyle w:val="Heading5Char"/>
        </w:rPr>
        <w:t>.</w:t>
      </w:r>
    </w:p>
    <w:tbl>
      <w:tblPr>
        <w:tblStyle w:val="JPMHypoTable"/>
        <w:tblW w:w="0" w:type="auto"/>
        <w:tblLayout w:type="fixed"/>
        <w:tblLook w:val="0020" w:firstRow="1" w:lastRow="0" w:firstColumn="0" w:lastColumn="0" w:noHBand="0" w:noVBand="0"/>
      </w:tblPr>
      <w:tblGrid>
        <w:gridCol w:w="2239"/>
        <w:gridCol w:w="2676"/>
        <w:gridCol w:w="5333"/>
      </w:tblGrid>
      <w:tr w:rsidR="00593BC3" w:rsidRPr="00593BC3" w:rsidTr="00593BC3">
        <w:trPr>
          <w:cnfStyle w:val="100000000000" w:firstRow="1" w:lastRow="0" w:firstColumn="0" w:lastColumn="0" w:oddVBand="0" w:evenVBand="0" w:oddHBand="0" w:evenHBand="0" w:firstRowFirstColumn="0" w:firstRowLastColumn="0" w:lastRowFirstColumn="0" w:lastRowLastColumn="0"/>
          <w:trHeight w:val="305"/>
        </w:trPr>
        <w:tc>
          <w:tcPr>
            <w:tcW w:w="2239" w:type="dxa"/>
          </w:tcPr>
          <w:p w:rsidR="00593BC3" w:rsidRPr="00593BC3" w:rsidRDefault="00593BC3" w:rsidP="00593BC3">
            <w:pPr>
              <w:autoSpaceDE w:val="0"/>
              <w:autoSpaceDN w:val="0"/>
              <w:adjustRightInd w:val="0"/>
              <w:spacing w:line="240" w:lineRule="auto"/>
              <w:rPr>
                <w:szCs w:val="18"/>
              </w:rPr>
            </w:pPr>
            <w:r w:rsidRPr="00593BC3">
              <w:rPr>
                <w:szCs w:val="18"/>
              </w:rPr>
              <w:t>Date</w:t>
            </w:r>
          </w:p>
        </w:tc>
        <w:tc>
          <w:tcPr>
            <w:tcW w:w="2676" w:type="dxa"/>
          </w:tcPr>
          <w:p w:rsidR="00593BC3" w:rsidRPr="00593BC3" w:rsidRDefault="00593BC3" w:rsidP="00593BC3">
            <w:pPr>
              <w:autoSpaceDE w:val="0"/>
              <w:autoSpaceDN w:val="0"/>
              <w:adjustRightInd w:val="0"/>
              <w:spacing w:line="240" w:lineRule="auto"/>
              <w:rPr>
                <w:szCs w:val="18"/>
              </w:rPr>
            </w:pPr>
            <w:r w:rsidRPr="00593BC3">
              <w:rPr>
                <w:szCs w:val="18"/>
              </w:rPr>
              <w:t>Closing Level</w:t>
            </w:r>
          </w:p>
        </w:tc>
        <w:tc>
          <w:tcPr>
            <w:tcW w:w="5333" w:type="dxa"/>
          </w:tcPr>
          <w:p w:rsidR="00593BC3" w:rsidRPr="00593BC3" w:rsidRDefault="00593BC3" w:rsidP="00593BC3">
            <w:pPr>
              <w:autoSpaceDE w:val="0"/>
              <w:autoSpaceDN w:val="0"/>
              <w:adjustRightInd w:val="0"/>
              <w:spacing w:line="240" w:lineRule="auto"/>
              <w:rPr>
                <w:szCs w:val="18"/>
              </w:rPr>
            </w:pPr>
            <w:r w:rsidRPr="00593BC3">
              <w:rPr>
                <w:szCs w:val="18"/>
              </w:rPr>
              <w:t>Payment (per $1,000 principal amount note)</w:t>
            </w:r>
          </w:p>
        </w:tc>
      </w:tr>
      <w:tr w:rsidR="00593BC3" w:rsidRPr="00593BC3" w:rsidTr="00593BC3">
        <w:trPr>
          <w:trHeight w:val="305"/>
        </w:trPr>
        <w:tc>
          <w:tcPr>
            <w:tcW w:w="2239" w:type="dxa"/>
          </w:tcPr>
          <w:p w:rsidR="00593BC3" w:rsidRPr="00593BC3" w:rsidRDefault="00593BC3" w:rsidP="00593BC3">
            <w:pPr>
              <w:autoSpaceDE w:val="0"/>
              <w:autoSpaceDN w:val="0"/>
              <w:adjustRightInd w:val="0"/>
              <w:spacing w:line="240" w:lineRule="auto"/>
              <w:rPr>
                <w:szCs w:val="18"/>
              </w:rPr>
            </w:pPr>
            <w:r w:rsidRPr="00593BC3">
              <w:rPr>
                <w:szCs w:val="18"/>
              </w:rPr>
              <w:t>First Review Date</w:t>
            </w:r>
          </w:p>
        </w:tc>
        <w:tc>
          <w:tcPr>
            <w:tcW w:w="2676" w:type="dxa"/>
          </w:tcPr>
          <w:p w:rsidR="00593BC3" w:rsidRPr="00593BC3" w:rsidRDefault="00472886" w:rsidP="00593BC3">
            <w:pPr>
              <w:autoSpaceDE w:val="0"/>
              <w:autoSpaceDN w:val="0"/>
              <w:adjustRightInd w:val="0"/>
              <w:spacing w:line="240" w:lineRule="auto"/>
              <w:rPr>
                <w:szCs w:val="18"/>
              </w:rPr>
            </w:pPr>
            <w:r>
              <w:rPr>
                <w:szCs w:val="18"/>
              </w:rPr>
              <w:t>95.00</w:t>
            </w:r>
          </w:p>
        </w:tc>
        <w:tc>
          <w:tcPr>
            <w:tcW w:w="5333" w:type="dxa"/>
          </w:tcPr>
          <w:p w:rsidR="00593BC3" w:rsidRPr="00593BC3" w:rsidRDefault="006B16C3" w:rsidP="00593BC3">
            <w:pPr>
              <w:autoSpaceDE w:val="0"/>
              <w:autoSpaceDN w:val="0"/>
              <w:adjustRightInd w:val="0"/>
              <w:spacing w:line="240" w:lineRule="auto"/>
              <w:rPr>
                <w:szCs w:val="18"/>
              </w:rPr>
            </w:pPr>
            <w:r>
              <w:rPr>
                <w:szCs w:val="18"/>
              </w:rPr>
              <w:t>$</w:t>
            </w:r>
            <w:r w:rsidR="0016494E">
              <w:rPr>
                <w:szCs w:val="18"/>
              </w:rPr>
              <w:t>6.50</w:t>
            </w:r>
          </w:p>
        </w:tc>
      </w:tr>
      <w:tr w:rsidR="00593BC3" w:rsidRPr="00593BC3" w:rsidTr="00593BC3">
        <w:trPr>
          <w:trHeight w:val="305"/>
        </w:trPr>
        <w:tc>
          <w:tcPr>
            <w:tcW w:w="2239" w:type="dxa"/>
          </w:tcPr>
          <w:p w:rsidR="00593BC3" w:rsidRPr="00593BC3" w:rsidRDefault="00593BC3" w:rsidP="00593BC3">
            <w:pPr>
              <w:autoSpaceDE w:val="0"/>
              <w:autoSpaceDN w:val="0"/>
              <w:adjustRightInd w:val="0"/>
              <w:spacing w:line="240" w:lineRule="auto"/>
              <w:rPr>
                <w:szCs w:val="18"/>
              </w:rPr>
            </w:pPr>
            <w:r w:rsidRPr="00593BC3">
              <w:rPr>
                <w:szCs w:val="18"/>
              </w:rPr>
              <w:t>Second Review Date</w:t>
            </w:r>
          </w:p>
        </w:tc>
        <w:tc>
          <w:tcPr>
            <w:tcW w:w="2676" w:type="dxa"/>
          </w:tcPr>
          <w:p w:rsidR="00593BC3" w:rsidRPr="00593BC3" w:rsidRDefault="00472886" w:rsidP="00593BC3">
            <w:pPr>
              <w:autoSpaceDE w:val="0"/>
              <w:autoSpaceDN w:val="0"/>
              <w:adjustRightInd w:val="0"/>
              <w:spacing w:line="240" w:lineRule="auto"/>
              <w:rPr>
                <w:szCs w:val="18"/>
              </w:rPr>
            </w:pPr>
            <w:r>
              <w:rPr>
                <w:szCs w:val="18"/>
              </w:rPr>
              <w:t>85</w:t>
            </w:r>
            <w:r w:rsidR="00593BC3" w:rsidRPr="00593BC3">
              <w:rPr>
                <w:szCs w:val="18"/>
              </w:rPr>
              <w:t>.00</w:t>
            </w:r>
          </w:p>
        </w:tc>
        <w:tc>
          <w:tcPr>
            <w:tcW w:w="5333" w:type="dxa"/>
          </w:tcPr>
          <w:p w:rsidR="00593BC3" w:rsidRPr="00593BC3" w:rsidRDefault="006B16C3" w:rsidP="00593BC3">
            <w:pPr>
              <w:autoSpaceDE w:val="0"/>
              <w:autoSpaceDN w:val="0"/>
              <w:adjustRightInd w:val="0"/>
              <w:spacing w:line="240" w:lineRule="auto"/>
              <w:rPr>
                <w:szCs w:val="18"/>
              </w:rPr>
            </w:pPr>
            <w:r>
              <w:rPr>
                <w:szCs w:val="18"/>
              </w:rPr>
              <w:t>$</w:t>
            </w:r>
            <w:r w:rsidR="0016494E">
              <w:rPr>
                <w:szCs w:val="18"/>
              </w:rPr>
              <w:t>6.50</w:t>
            </w:r>
          </w:p>
        </w:tc>
      </w:tr>
      <w:tr w:rsidR="00593BC3" w:rsidRPr="00593BC3" w:rsidTr="00593BC3">
        <w:trPr>
          <w:trHeight w:val="478"/>
        </w:trPr>
        <w:tc>
          <w:tcPr>
            <w:tcW w:w="2239" w:type="dxa"/>
          </w:tcPr>
          <w:p w:rsidR="00593BC3" w:rsidRPr="00593BC3" w:rsidRDefault="00593BC3" w:rsidP="00484F73">
            <w:pPr>
              <w:autoSpaceDE w:val="0"/>
              <w:autoSpaceDN w:val="0"/>
              <w:adjustRightInd w:val="0"/>
              <w:spacing w:line="240" w:lineRule="auto"/>
            </w:pPr>
            <w:r w:rsidRPr="00593BC3">
              <w:rPr>
                <w:szCs w:val="18"/>
              </w:rPr>
              <w:t xml:space="preserve">Third through </w:t>
            </w:r>
            <w:r w:rsidR="00441690">
              <w:rPr>
                <w:szCs w:val="18"/>
              </w:rPr>
              <w:t>Seventeenth</w:t>
            </w:r>
            <w:r w:rsidR="00641B2F" w:rsidRPr="00641B2F">
              <w:rPr>
                <w:szCs w:val="18"/>
              </w:rPr>
              <w:t xml:space="preserve"> </w:t>
            </w:r>
            <w:r w:rsidRPr="00593BC3">
              <w:t>Review Dates</w:t>
            </w:r>
          </w:p>
        </w:tc>
        <w:tc>
          <w:tcPr>
            <w:tcW w:w="2676" w:type="dxa"/>
          </w:tcPr>
          <w:p w:rsidR="00593BC3" w:rsidRPr="00593BC3" w:rsidRDefault="00593BC3" w:rsidP="00593BC3">
            <w:pPr>
              <w:autoSpaceDE w:val="0"/>
              <w:autoSpaceDN w:val="0"/>
              <w:adjustRightInd w:val="0"/>
              <w:spacing w:line="240" w:lineRule="auto"/>
            </w:pPr>
            <w:r w:rsidRPr="00593BC3">
              <w:rPr>
                <w:szCs w:val="18"/>
              </w:rPr>
              <w:t xml:space="preserve">Less </w:t>
            </w:r>
            <w:r w:rsidRPr="00593BC3">
              <w:t>than Interest Barrier</w:t>
            </w:r>
          </w:p>
        </w:tc>
        <w:tc>
          <w:tcPr>
            <w:tcW w:w="5333" w:type="dxa"/>
          </w:tcPr>
          <w:p w:rsidR="00593BC3" w:rsidRPr="00593BC3" w:rsidRDefault="00593BC3" w:rsidP="00593BC3">
            <w:pPr>
              <w:autoSpaceDE w:val="0"/>
              <w:autoSpaceDN w:val="0"/>
              <w:adjustRightInd w:val="0"/>
              <w:spacing w:line="240" w:lineRule="auto"/>
              <w:rPr>
                <w:szCs w:val="18"/>
              </w:rPr>
            </w:pPr>
            <w:r w:rsidRPr="00593BC3">
              <w:rPr>
                <w:szCs w:val="18"/>
              </w:rPr>
              <w:t>$0</w:t>
            </w:r>
          </w:p>
        </w:tc>
      </w:tr>
      <w:tr w:rsidR="00593BC3" w:rsidRPr="00593BC3" w:rsidTr="00593BC3">
        <w:trPr>
          <w:trHeight w:val="305"/>
        </w:trPr>
        <w:tc>
          <w:tcPr>
            <w:tcW w:w="2239" w:type="dxa"/>
          </w:tcPr>
          <w:p w:rsidR="00593BC3" w:rsidRPr="00593BC3" w:rsidRDefault="00593BC3" w:rsidP="00593BC3">
            <w:pPr>
              <w:autoSpaceDE w:val="0"/>
              <w:autoSpaceDN w:val="0"/>
              <w:adjustRightInd w:val="0"/>
              <w:spacing w:line="240" w:lineRule="auto"/>
              <w:rPr>
                <w:szCs w:val="18"/>
              </w:rPr>
            </w:pPr>
            <w:r w:rsidRPr="00593BC3">
              <w:rPr>
                <w:szCs w:val="18"/>
              </w:rPr>
              <w:t>Final Review Date</w:t>
            </w:r>
          </w:p>
        </w:tc>
        <w:tc>
          <w:tcPr>
            <w:tcW w:w="2676" w:type="dxa"/>
          </w:tcPr>
          <w:p w:rsidR="00593BC3" w:rsidRPr="00593BC3" w:rsidRDefault="00472886" w:rsidP="00593BC3">
            <w:pPr>
              <w:autoSpaceDE w:val="0"/>
              <w:autoSpaceDN w:val="0"/>
              <w:adjustRightInd w:val="0"/>
              <w:spacing w:line="240" w:lineRule="auto"/>
              <w:rPr>
                <w:szCs w:val="18"/>
              </w:rPr>
            </w:pPr>
            <w:r>
              <w:rPr>
                <w:szCs w:val="18"/>
              </w:rPr>
              <w:t>90</w:t>
            </w:r>
            <w:r w:rsidR="00593BC3" w:rsidRPr="00593BC3">
              <w:rPr>
                <w:szCs w:val="18"/>
              </w:rPr>
              <w:t>.00</w:t>
            </w:r>
          </w:p>
        </w:tc>
        <w:tc>
          <w:tcPr>
            <w:tcW w:w="5333" w:type="dxa"/>
          </w:tcPr>
          <w:p w:rsidR="00593BC3" w:rsidRPr="00593BC3" w:rsidRDefault="00593BC3" w:rsidP="00593BC3">
            <w:pPr>
              <w:autoSpaceDE w:val="0"/>
              <w:autoSpaceDN w:val="0"/>
              <w:adjustRightInd w:val="0"/>
              <w:spacing w:line="240" w:lineRule="auto"/>
              <w:rPr>
                <w:szCs w:val="18"/>
              </w:rPr>
            </w:pPr>
            <w:r w:rsidRPr="00593BC3">
              <w:rPr>
                <w:szCs w:val="18"/>
              </w:rPr>
              <w:t>$1,0</w:t>
            </w:r>
            <w:r w:rsidR="009D58CF">
              <w:rPr>
                <w:szCs w:val="18"/>
              </w:rPr>
              <w:t>0</w:t>
            </w:r>
            <w:r w:rsidR="0016494E">
              <w:rPr>
                <w:szCs w:val="18"/>
              </w:rPr>
              <w:t>6.50</w:t>
            </w:r>
          </w:p>
        </w:tc>
      </w:tr>
      <w:tr w:rsidR="00B72FE7" w:rsidRPr="00593BC3" w:rsidTr="00593BC3">
        <w:trPr>
          <w:trHeight w:val="305"/>
        </w:trPr>
        <w:tc>
          <w:tcPr>
            <w:tcW w:w="2239" w:type="dxa"/>
          </w:tcPr>
          <w:p w:rsidR="00B72FE7" w:rsidRPr="00593BC3" w:rsidRDefault="00B72FE7" w:rsidP="00B72FE7">
            <w:pPr>
              <w:autoSpaceDE w:val="0"/>
              <w:autoSpaceDN w:val="0"/>
              <w:adjustRightInd w:val="0"/>
              <w:spacing w:line="240" w:lineRule="auto"/>
              <w:rPr>
                <w:szCs w:val="18"/>
              </w:rPr>
            </w:pPr>
          </w:p>
        </w:tc>
        <w:tc>
          <w:tcPr>
            <w:tcW w:w="2676" w:type="dxa"/>
          </w:tcPr>
          <w:p w:rsidR="00B72FE7" w:rsidRPr="00593BC3" w:rsidRDefault="00B72FE7" w:rsidP="00B72FE7">
            <w:pPr>
              <w:autoSpaceDE w:val="0"/>
              <w:autoSpaceDN w:val="0"/>
              <w:adjustRightInd w:val="0"/>
              <w:spacing w:line="240" w:lineRule="auto"/>
              <w:rPr>
                <w:szCs w:val="18"/>
              </w:rPr>
            </w:pPr>
            <w:r w:rsidRPr="00593BC3">
              <w:rPr>
                <w:szCs w:val="18"/>
              </w:rPr>
              <w:t>Total Payment</w:t>
            </w:r>
          </w:p>
        </w:tc>
        <w:tc>
          <w:tcPr>
            <w:tcW w:w="5333" w:type="dxa"/>
          </w:tcPr>
          <w:p w:rsidR="00B72FE7" w:rsidRDefault="00B72FE7" w:rsidP="00644481">
            <w:pPr>
              <w:autoSpaceDE w:val="0"/>
              <w:autoSpaceDN w:val="0"/>
              <w:adjustRightInd w:val="0"/>
              <w:spacing w:line="240" w:lineRule="auto"/>
              <w:rPr>
                <w:bCs w:val="0"/>
                <w:szCs w:val="18"/>
              </w:rPr>
            </w:pPr>
            <w:r w:rsidRPr="005F272B">
              <w:rPr>
                <w:bCs w:val="0"/>
                <w:szCs w:val="18"/>
              </w:rPr>
              <w:t>$</w:t>
            </w:r>
            <w:r w:rsidRPr="00C73E36">
              <w:rPr>
                <w:bCs w:val="0"/>
                <w:szCs w:val="18"/>
              </w:rPr>
              <w:t>1,</w:t>
            </w:r>
            <w:r>
              <w:rPr>
                <w:bCs w:val="0"/>
                <w:szCs w:val="18"/>
              </w:rPr>
              <w:t>0</w:t>
            </w:r>
            <w:r w:rsidR="00644481">
              <w:rPr>
                <w:bCs w:val="0"/>
                <w:szCs w:val="18"/>
              </w:rPr>
              <w:t>19.50</w:t>
            </w:r>
            <w:r w:rsidR="00600B5A">
              <w:rPr>
                <w:bCs w:val="0"/>
                <w:szCs w:val="18"/>
              </w:rPr>
              <w:t xml:space="preserve"> </w:t>
            </w:r>
            <w:r w:rsidR="00DC1724">
              <w:rPr>
                <w:bCs w:val="0"/>
                <w:szCs w:val="18"/>
              </w:rPr>
              <w:t>(1.</w:t>
            </w:r>
            <w:r w:rsidR="00644481">
              <w:rPr>
                <w:bCs w:val="0"/>
                <w:szCs w:val="18"/>
              </w:rPr>
              <w:t>95</w:t>
            </w:r>
            <w:r w:rsidRPr="00547C79">
              <w:rPr>
                <w:bCs w:val="0"/>
                <w:szCs w:val="18"/>
              </w:rPr>
              <w:t>%</w:t>
            </w:r>
            <w:r w:rsidRPr="005F272B">
              <w:rPr>
                <w:bCs w:val="0"/>
                <w:szCs w:val="18"/>
              </w:rPr>
              <w:t xml:space="preserve"> return)</w:t>
            </w:r>
          </w:p>
        </w:tc>
      </w:tr>
    </w:tbl>
    <w:p w:rsidR="00250EB7" w:rsidRDefault="008736B2" w:rsidP="00600B5A">
      <w:pPr>
        <w:rPr>
          <w:color w:val="404040" w:themeColor="text1" w:themeTint="BF"/>
          <w:szCs w:val="18"/>
        </w:rPr>
      </w:pPr>
      <w:r w:rsidRPr="00CF37E5">
        <w:rPr>
          <w:color w:val="404040" w:themeColor="text1" w:themeTint="BF"/>
          <w:szCs w:val="18"/>
        </w:rPr>
        <w:t xml:space="preserve">Because the notes have not been automatically called and the Final Value </w:t>
      </w:r>
      <w:r w:rsidR="00593BC3" w:rsidRPr="00593BC3">
        <w:rPr>
          <w:color w:val="404040" w:themeColor="text1" w:themeTint="BF"/>
          <w:szCs w:val="18"/>
        </w:rPr>
        <w:t>is</w:t>
      </w:r>
      <w:r w:rsidRPr="00CF37E5">
        <w:rPr>
          <w:color w:val="404040" w:themeColor="text1" w:themeTint="BF"/>
          <w:szCs w:val="18"/>
        </w:rPr>
        <w:t xml:space="preserve"> greater than or equal </w:t>
      </w:r>
      <w:r w:rsidR="00CF37E5">
        <w:rPr>
          <w:color w:val="404040" w:themeColor="text1" w:themeTint="BF"/>
          <w:szCs w:val="18"/>
        </w:rPr>
        <w:t xml:space="preserve">to the </w:t>
      </w:r>
      <w:r w:rsidR="00C10CC0">
        <w:rPr>
          <w:color w:val="404040" w:themeColor="text1" w:themeTint="BF"/>
          <w:szCs w:val="18"/>
        </w:rPr>
        <w:t>Buffer Threshold</w:t>
      </w:r>
      <w:r w:rsidRPr="00CF37E5">
        <w:rPr>
          <w:color w:val="404040" w:themeColor="text1" w:themeTint="BF"/>
          <w:szCs w:val="18"/>
        </w:rPr>
        <w:t>, the payment at maturity, for each $1,000 principal amount note, will be</w:t>
      </w:r>
      <w:r w:rsidR="006B2318">
        <w:rPr>
          <w:color w:val="404040" w:themeColor="text1" w:themeTint="BF"/>
          <w:szCs w:val="18"/>
        </w:rPr>
        <w:t xml:space="preserve"> </w:t>
      </w:r>
      <w:r w:rsidR="00593BC3" w:rsidRPr="00593BC3">
        <w:rPr>
          <w:color w:val="404040" w:themeColor="text1" w:themeTint="BF"/>
          <w:szCs w:val="18"/>
        </w:rPr>
        <w:t>$1,</w:t>
      </w:r>
      <w:r w:rsidR="009D58CF">
        <w:rPr>
          <w:color w:val="404040" w:themeColor="text1" w:themeTint="BF"/>
          <w:szCs w:val="18"/>
        </w:rPr>
        <w:t>0</w:t>
      </w:r>
      <w:r w:rsidR="00593BC3" w:rsidRPr="00593BC3">
        <w:rPr>
          <w:color w:val="404040" w:themeColor="text1" w:themeTint="BF"/>
          <w:szCs w:val="18"/>
        </w:rPr>
        <w:t>0</w:t>
      </w:r>
      <w:r w:rsidR="0016494E">
        <w:rPr>
          <w:color w:val="404040" w:themeColor="text1" w:themeTint="BF"/>
          <w:szCs w:val="18"/>
        </w:rPr>
        <w:t>6.50</w:t>
      </w:r>
      <w:r w:rsidR="00593BC3" w:rsidRPr="00593BC3">
        <w:rPr>
          <w:color w:val="404040" w:themeColor="text1" w:themeTint="BF"/>
          <w:szCs w:val="18"/>
        </w:rPr>
        <w:t xml:space="preserve"> (or $1,000 </w:t>
      </w:r>
      <w:r w:rsidR="00593BC3" w:rsidRPr="00593BC3">
        <w:rPr>
          <w:i/>
          <w:color w:val="404040" w:themeColor="text1" w:themeTint="BF"/>
          <w:szCs w:val="18"/>
        </w:rPr>
        <w:t>plus</w:t>
      </w:r>
      <w:r w:rsidR="00593BC3" w:rsidRPr="00593BC3">
        <w:rPr>
          <w:color w:val="404040" w:themeColor="text1" w:themeTint="BF"/>
          <w:szCs w:val="18"/>
        </w:rPr>
        <w:t xml:space="preserve"> the Contingent Interest Payment applicable to </w:t>
      </w:r>
      <w:r w:rsidR="0027398F">
        <w:rPr>
          <w:color w:val="404040" w:themeColor="text1" w:themeTint="BF"/>
          <w:szCs w:val="18"/>
        </w:rPr>
        <w:t>the</w:t>
      </w:r>
      <w:r w:rsidR="004A184A">
        <w:rPr>
          <w:color w:val="404040" w:themeColor="text1" w:themeTint="BF"/>
          <w:szCs w:val="18"/>
        </w:rPr>
        <w:t xml:space="preserve"> final Review Date</w:t>
      </w:r>
      <w:r w:rsidR="00593BC3" w:rsidRPr="00593BC3">
        <w:rPr>
          <w:color w:val="404040" w:themeColor="text1" w:themeTint="BF"/>
          <w:szCs w:val="18"/>
        </w:rPr>
        <w:t>)</w:t>
      </w:r>
      <w:r w:rsidR="00422B5A" w:rsidRPr="00CF37E5">
        <w:rPr>
          <w:color w:val="404040" w:themeColor="text1" w:themeTint="BF"/>
          <w:szCs w:val="18"/>
        </w:rPr>
        <w:t>.</w:t>
      </w:r>
      <w:r w:rsidR="00422B5A">
        <w:rPr>
          <w:color w:val="404040" w:themeColor="text1" w:themeTint="BF"/>
          <w:szCs w:val="18"/>
        </w:rPr>
        <w:t xml:space="preserve">  </w:t>
      </w:r>
      <w:r w:rsidRPr="00CF37E5">
        <w:rPr>
          <w:color w:val="404040" w:themeColor="text1" w:themeTint="BF"/>
          <w:szCs w:val="18"/>
        </w:rPr>
        <w:t>When added to the Contingent Interest Payments received with respect to the prior</w:t>
      </w:r>
      <w:r w:rsidR="00DC6E86">
        <w:rPr>
          <w:color w:val="404040" w:themeColor="text1" w:themeTint="BF"/>
          <w:szCs w:val="18"/>
        </w:rPr>
        <w:t xml:space="preserve"> </w:t>
      </w:r>
      <w:r w:rsidR="00593BC3" w:rsidRPr="00593BC3">
        <w:rPr>
          <w:color w:val="404040" w:themeColor="text1" w:themeTint="BF"/>
          <w:szCs w:val="18"/>
        </w:rPr>
        <w:t>Review</w:t>
      </w:r>
      <w:r w:rsidRPr="00CF37E5">
        <w:rPr>
          <w:color w:val="404040" w:themeColor="text1" w:themeTint="BF"/>
          <w:szCs w:val="18"/>
        </w:rPr>
        <w:t xml:space="preserve"> Dates, the total amount paid, for each $1,000 principal amount note, is </w:t>
      </w:r>
      <w:r w:rsidR="00593BC3" w:rsidRPr="00593BC3">
        <w:rPr>
          <w:color w:val="404040" w:themeColor="text1" w:themeTint="BF"/>
          <w:szCs w:val="18"/>
        </w:rPr>
        <w:t>$1,</w:t>
      </w:r>
      <w:r w:rsidR="00191788">
        <w:rPr>
          <w:color w:val="404040" w:themeColor="text1" w:themeTint="BF"/>
          <w:szCs w:val="18"/>
        </w:rPr>
        <w:t>0</w:t>
      </w:r>
      <w:r w:rsidR="00644481">
        <w:rPr>
          <w:color w:val="404040" w:themeColor="text1" w:themeTint="BF"/>
          <w:szCs w:val="18"/>
        </w:rPr>
        <w:t>19.50</w:t>
      </w:r>
      <w:r w:rsidR="00DC1724">
        <w:rPr>
          <w:color w:val="404040" w:themeColor="text1" w:themeTint="BF"/>
          <w:szCs w:val="18"/>
        </w:rPr>
        <w:t>.</w:t>
      </w:r>
    </w:p>
    <w:p w:rsidR="00DE7C64" w:rsidRDefault="00DE7C64" w:rsidP="00250EB7">
      <w:pPr>
        <w:rPr>
          <w:rStyle w:val="Heading5Char"/>
        </w:rPr>
      </w:pPr>
      <w:r>
        <w:rPr>
          <w:rStyle w:val="Heading5Char"/>
        </w:rPr>
        <w:br w:type="page"/>
      </w:r>
    </w:p>
    <w:p w:rsidR="00593BC3" w:rsidRPr="00250EB7" w:rsidRDefault="00593BC3" w:rsidP="00250EB7">
      <w:pPr>
        <w:rPr>
          <w:color w:val="404040" w:themeColor="text1" w:themeTint="BF"/>
          <w:szCs w:val="18"/>
        </w:rPr>
      </w:pPr>
      <w:r w:rsidRPr="00593BC3">
        <w:rPr>
          <w:rStyle w:val="Heading5Char"/>
        </w:rPr>
        <w:lastRenderedPageBreak/>
        <w:t>Example 3</w:t>
      </w:r>
      <w:r w:rsidR="00954099" w:rsidRPr="00331A02">
        <w:rPr>
          <w:rStyle w:val="Heading5Char"/>
        </w:rPr>
        <w:t xml:space="preserve"> — </w:t>
      </w:r>
      <w:r w:rsidR="0097358B" w:rsidRPr="00331A02">
        <w:rPr>
          <w:rStyle w:val="Heading5Char"/>
        </w:rPr>
        <w:t>N</w:t>
      </w:r>
      <w:r w:rsidR="001C1A8B" w:rsidRPr="00331A02">
        <w:rPr>
          <w:rStyle w:val="Heading5Char"/>
        </w:rPr>
        <w:t>otes</w:t>
      </w:r>
      <w:r w:rsidR="00954099" w:rsidRPr="00331A02">
        <w:rPr>
          <w:rStyle w:val="Heading5Char"/>
        </w:rPr>
        <w:t xml:space="preserve"> </w:t>
      </w:r>
      <w:r w:rsidR="005E0A88" w:rsidRPr="00331A02">
        <w:rPr>
          <w:rStyle w:val="Heading5Char"/>
        </w:rPr>
        <w:t xml:space="preserve">have NOT been </w:t>
      </w:r>
      <w:r w:rsidR="00B33391" w:rsidRPr="00331A02">
        <w:rPr>
          <w:rStyle w:val="Heading5Char"/>
        </w:rPr>
        <w:t>automatically called</w:t>
      </w:r>
      <w:r w:rsidRPr="00593BC3">
        <w:rPr>
          <w:rStyle w:val="Heading5Char"/>
        </w:rPr>
        <w:t xml:space="preserve"> and</w:t>
      </w:r>
      <w:r w:rsidR="00954099" w:rsidRPr="00331A02">
        <w:rPr>
          <w:rStyle w:val="Heading5Char"/>
        </w:rPr>
        <w:t xml:space="preserve"> the </w:t>
      </w:r>
      <w:r w:rsidR="00365C23" w:rsidRPr="00331A02">
        <w:rPr>
          <w:rStyle w:val="Heading5Char"/>
        </w:rPr>
        <w:t>Final Value</w:t>
      </w:r>
      <w:r w:rsidR="00954099" w:rsidRPr="00331A02">
        <w:rPr>
          <w:rStyle w:val="Heading5Char"/>
        </w:rPr>
        <w:t xml:space="preserve"> is less than </w:t>
      </w:r>
      <w:r w:rsidR="00F21E4E" w:rsidRPr="00331A02">
        <w:rPr>
          <w:rStyle w:val="Heading5Char"/>
        </w:rPr>
        <w:t>the</w:t>
      </w:r>
      <w:r w:rsidR="00442297" w:rsidRPr="00331A02">
        <w:rPr>
          <w:rStyle w:val="Heading5Char"/>
        </w:rPr>
        <w:t xml:space="preserve"> </w:t>
      </w:r>
      <w:r w:rsidR="00C10CC0">
        <w:rPr>
          <w:rStyle w:val="Heading5Char"/>
        </w:rPr>
        <w:t>Buffer Threshold</w:t>
      </w:r>
      <w:r w:rsidR="002B4F7F">
        <w:t>.</w:t>
      </w:r>
    </w:p>
    <w:tbl>
      <w:tblPr>
        <w:tblStyle w:val="JPMHypoTable"/>
        <w:tblW w:w="0" w:type="auto"/>
        <w:tblLayout w:type="fixed"/>
        <w:tblLook w:val="0020" w:firstRow="1" w:lastRow="0" w:firstColumn="0" w:lastColumn="0" w:noHBand="0" w:noVBand="0"/>
      </w:tblPr>
      <w:tblGrid>
        <w:gridCol w:w="2239"/>
        <w:gridCol w:w="2676"/>
        <w:gridCol w:w="5333"/>
      </w:tblGrid>
      <w:tr w:rsidR="00593BC3" w:rsidRPr="00593BC3" w:rsidTr="00593BC3">
        <w:trPr>
          <w:cnfStyle w:val="100000000000" w:firstRow="1" w:lastRow="0" w:firstColumn="0" w:lastColumn="0" w:oddVBand="0" w:evenVBand="0" w:oddHBand="0" w:evenHBand="0" w:firstRowFirstColumn="0" w:firstRowLastColumn="0" w:lastRowFirstColumn="0" w:lastRowLastColumn="0"/>
          <w:trHeight w:val="305"/>
        </w:trPr>
        <w:tc>
          <w:tcPr>
            <w:tcW w:w="2239" w:type="dxa"/>
          </w:tcPr>
          <w:p w:rsidR="00593BC3" w:rsidRPr="00593BC3" w:rsidRDefault="00593BC3" w:rsidP="00593BC3">
            <w:pPr>
              <w:autoSpaceDE w:val="0"/>
              <w:autoSpaceDN w:val="0"/>
              <w:adjustRightInd w:val="0"/>
              <w:spacing w:line="240" w:lineRule="auto"/>
              <w:rPr>
                <w:szCs w:val="18"/>
              </w:rPr>
            </w:pPr>
            <w:r w:rsidRPr="00593BC3">
              <w:rPr>
                <w:szCs w:val="18"/>
              </w:rPr>
              <w:t>Date</w:t>
            </w:r>
          </w:p>
        </w:tc>
        <w:tc>
          <w:tcPr>
            <w:tcW w:w="2676" w:type="dxa"/>
          </w:tcPr>
          <w:p w:rsidR="00593BC3" w:rsidRPr="00593BC3" w:rsidRDefault="00593BC3" w:rsidP="00593BC3">
            <w:pPr>
              <w:autoSpaceDE w:val="0"/>
              <w:autoSpaceDN w:val="0"/>
              <w:adjustRightInd w:val="0"/>
              <w:spacing w:line="240" w:lineRule="auto"/>
              <w:rPr>
                <w:szCs w:val="18"/>
              </w:rPr>
            </w:pPr>
            <w:r w:rsidRPr="00593BC3">
              <w:rPr>
                <w:szCs w:val="18"/>
              </w:rPr>
              <w:t>Closing Level</w:t>
            </w:r>
          </w:p>
        </w:tc>
        <w:tc>
          <w:tcPr>
            <w:tcW w:w="5333" w:type="dxa"/>
          </w:tcPr>
          <w:p w:rsidR="00593BC3" w:rsidRPr="00593BC3" w:rsidRDefault="00593BC3" w:rsidP="00593BC3">
            <w:pPr>
              <w:autoSpaceDE w:val="0"/>
              <w:autoSpaceDN w:val="0"/>
              <w:adjustRightInd w:val="0"/>
              <w:spacing w:line="240" w:lineRule="auto"/>
              <w:rPr>
                <w:szCs w:val="18"/>
              </w:rPr>
            </w:pPr>
            <w:r w:rsidRPr="00593BC3">
              <w:rPr>
                <w:szCs w:val="18"/>
              </w:rPr>
              <w:t>Payment (per $1,000 principal amount note)</w:t>
            </w:r>
          </w:p>
        </w:tc>
      </w:tr>
      <w:tr w:rsidR="00593BC3" w:rsidRPr="00593BC3" w:rsidTr="00593BC3">
        <w:trPr>
          <w:trHeight w:val="305"/>
        </w:trPr>
        <w:tc>
          <w:tcPr>
            <w:tcW w:w="2239" w:type="dxa"/>
          </w:tcPr>
          <w:p w:rsidR="00593BC3" w:rsidRPr="00593BC3" w:rsidRDefault="00593BC3" w:rsidP="00593BC3">
            <w:pPr>
              <w:autoSpaceDE w:val="0"/>
              <w:autoSpaceDN w:val="0"/>
              <w:adjustRightInd w:val="0"/>
              <w:spacing w:line="240" w:lineRule="auto"/>
              <w:rPr>
                <w:szCs w:val="18"/>
              </w:rPr>
            </w:pPr>
            <w:r w:rsidRPr="00593BC3">
              <w:rPr>
                <w:szCs w:val="18"/>
              </w:rPr>
              <w:t>First Review Date</w:t>
            </w:r>
          </w:p>
        </w:tc>
        <w:tc>
          <w:tcPr>
            <w:tcW w:w="2676" w:type="dxa"/>
          </w:tcPr>
          <w:p w:rsidR="00593BC3" w:rsidRPr="00593BC3" w:rsidRDefault="00472886" w:rsidP="00593BC3">
            <w:pPr>
              <w:autoSpaceDE w:val="0"/>
              <w:autoSpaceDN w:val="0"/>
              <w:adjustRightInd w:val="0"/>
              <w:spacing w:line="240" w:lineRule="auto"/>
              <w:rPr>
                <w:szCs w:val="18"/>
              </w:rPr>
            </w:pPr>
            <w:r>
              <w:rPr>
                <w:szCs w:val="18"/>
              </w:rPr>
              <w:t>40.00</w:t>
            </w:r>
          </w:p>
        </w:tc>
        <w:tc>
          <w:tcPr>
            <w:tcW w:w="5333" w:type="dxa"/>
          </w:tcPr>
          <w:p w:rsidR="00593BC3" w:rsidRPr="00593BC3" w:rsidRDefault="00593BC3" w:rsidP="00593BC3">
            <w:pPr>
              <w:autoSpaceDE w:val="0"/>
              <w:autoSpaceDN w:val="0"/>
              <w:adjustRightInd w:val="0"/>
              <w:spacing w:line="240" w:lineRule="auto"/>
              <w:rPr>
                <w:szCs w:val="18"/>
              </w:rPr>
            </w:pPr>
            <w:r w:rsidRPr="00593BC3">
              <w:rPr>
                <w:szCs w:val="18"/>
              </w:rPr>
              <w:t>$0</w:t>
            </w:r>
          </w:p>
        </w:tc>
      </w:tr>
      <w:tr w:rsidR="00593BC3" w:rsidRPr="00593BC3" w:rsidTr="00593BC3">
        <w:trPr>
          <w:trHeight w:val="305"/>
        </w:trPr>
        <w:tc>
          <w:tcPr>
            <w:tcW w:w="2239" w:type="dxa"/>
          </w:tcPr>
          <w:p w:rsidR="00593BC3" w:rsidRPr="00593BC3" w:rsidRDefault="00593BC3" w:rsidP="00593BC3">
            <w:pPr>
              <w:autoSpaceDE w:val="0"/>
              <w:autoSpaceDN w:val="0"/>
              <w:adjustRightInd w:val="0"/>
              <w:spacing w:line="240" w:lineRule="auto"/>
              <w:rPr>
                <w:szCs w:val="18"/>
              </w:rPr>
            </w:pPr>
            <w:r w:rsidRPr="00593BC3">
              <w:rPr>
                <w:szCs w:val="18"/>
              </w:rPr>
              <w:t>Second Review Date</w:t>
            </w:r>
          </w:p>
        </w:tc>
        <w:tc>
          <w:tcPr>
            <w:tcW w:w="2676" w:type="dxa"/>
          </w:tcPr>
          <w:p w:rsidR="00593BC3" w:rsidRPr="00593BC3" w:rsidRDefault="00472886" w:rsidP="00593BC3">
            <w:pPr>
              <w:autoSpaceDE w:val="0"/>
              <w:autoSpaceDN w:val="0"/>
              <w:adjustRightInd w:val="0"/>
              <w:spacing w:line="240" w:lineRule="auto"/>
              <w:rPr>
                <w:szCs w:val="18"/>
              </w:rPr>
            </w:pPr>
            <w:r>
              <w:rPr>
                <w:szCs w:val="18"/>
              </w:rPr>
              <w:t>45</w:t>
            </w:r>
            <w:r w:rsidR="00593BC3" w:rsidRPr="00593BC3">
              <w:rPr>
                <w:szCs w:val="18"/>
              </w:rPr>
              <w:t>.00</w:t>
            </w:r>
          </w:p>
        </w:tc>
        <w:tc>
          <w:tcPr>
            <w:tcW w:w="5333" w:type="dxa"/>
          </w:tcPr>
          <w:p w:rsidR="00593BC3" w:rsidRPr="00593BC3" w:rsidRDefault="00593BC3" w:rsidP="00593BC3">
            <w:pPr>
              <w:autoSpaceDE w:val="0"/>
              <w:autoSpaceDN w:val="0"/>
              <w:adjustRightInd w:val="0"/>
              <w:spacing w:line="240" w:lineRule="auto"/>
              <w:rPr>
                <w:szCs w:val="18"/>
              </w:rPr>
            </w:pPr>
            <w:r w:rsidRPr="00593BC3">
              <w:rPr>
                <w:szCs w:val="18"/>
              </w:rPr>
              <w:t>$0</w:t>
            </w:r>
          </w:p>
        </w:tc>
      </w:tr>
      <w:tr w:rsidR="0024771A" w:rsidRPr="00593BC3" w:rsidTr="00593BC3">
        <w:trPr>
          <w:trHeight w:val="478"/>
        </w:trPr>
        <w:tc>
          <w:tcPr>
            <w:tcW w:w="2239" w:type="dxa"/>
          </w:tcPr>
          <w:p w:rsidR="0024771A" w:rsidRPr="00593BC3" w:rsidRDefault="0024771A" w:rsidP="00484F73">
            <w:pPr>
              <w:autoSpaceDE w:val="0"/>
              <w:autoSpaceDN w:val="0"/>
              <w:adjustRightInd w:val="0"/>
              <w:spacing w:line="240" w:lineRule="auto"/>
            </w:pPr>
            <w:r w:rsidRPr="00593BC3">
              <w:rPr>
                <w:szCs w:val="18"/>
              </w:rPr>
              <w:t xml:space="preserve">Third through </w:t>
            </w:r>
            <w:r w:rsidR="00441690">
              <w:rPr>
                <w:szCs w:val="18"/>
              </w:rPr>
              <w:t>Seventeenth</w:t>
            </w:r>
            <w:r w:rsidR="00DD2688" w:rsidRPr="00641B2F">
              <w:rPr>
                <w:szCs w:val="18"/>
              </w:rPr>
              <w:t xml:space="preserve"> </w:t>
            </w:r>
            <w:r w:rsidRPr="00593BC3">
              <w:t>Review Dates</w:t>
            </w:r>
          </w:p>
        </w:tc>
        <w:tc>
          <w:tcPr>
            <w:tcW w:w="2676" w:type="dxa"/>
          </w:tcPr>
          <w:p w:rsidR="0024771A" w:rsidRPr="00593BC3" w:rsidRDefault="0024771A" w:rsidP="0024771A">
            <w:pPr>
              <w:autoSpaceDE w:val="0"/>
              <w:autoSpaceDN w:val="0"/>
              <w:adjustRightInd w:val="0"/>
              <w:spacing w:line="240" w:lineRule="auto"/>
            </w:pPr>
            <w:r w:rsidRPr="00593BC3">
              <w:rPr>
                <w:szCs w:val="18"/>
              </w:rPr>
              <w:t xml:space="preserve">Less </w:t>
            </w:r>
            <w:r w:rsidRPr="00593BC3">
              <w:t>than Interest Barrier</w:t>
            </w:r>
          </w:p>
        </w:tc>
        <w:tc>
          <w:tcPr>
            <w:tcW w:w="5333" w:type="dxa"/>
          </w:tcPr>
          <w:p w:rsidR="0024771A" w:rsidRPr="00593BC3" w:rsidRDefault="0024771A" w:rsidP="0024771A">
            <w:pPr>
              <w:autoSpaceDE w:val="0"/>
              <w:autoSpaceDN w:val="0"/>
              <w:adjustRightInd w:val="0"/>
              <w:spacing w:line="240" w:lineRule="auto"/>
              <w:rPr>
                <w:szCs w:val="18"/>
              </w:rPr>
            </w:pPr>
            <w:r w:rsidRPr="00593BC3">
              <w:rPr>
                <w:szCs w:val="18"/>
              </w:rPr>
              <w:t>$0</w:t>
            </w:r>
          </w:p>
        </w:tc>
      </w:tr>
      <w:tr w:rsidR="00593BC3" w:rsidRPr="00593BC3" w:rsidTr="00593BC3">
        <w:trPr>
          <w:trHeight w:val="305"/>
        </w:trPr>
        <w:tc>
          <w:tcPr>
            <w:tcW w:w="2239" w:type="dxa"/>
          </w:tcPr>
          <w:p w:rsidR="00593BC3" w:rsidRPr="00593BC3" w:rsidRDefault="00593BC3" w:rsidP="00593BC3">
            <w:pPr>
              <w:autoSpaceDE w:val="0"/>
              <w:autoSpaceDN w:val="0"/>
              <w:adjustRightInd w:val="0"/>
              <w:spacing w:line="240" w:lineRule="auto"/>
              <w:rPr>
                <w:szCs w:val="18"/>
              </w:rPr>
            </w:pPr>
            <w:r w:rsidRPr="00593BC3">
              <w:rPr>
                <w:szCs w:val="18"/>
              </w:rPr>
              <w:t>Final Review Date</w:t>
            </w:r>
          </w:p>
        </w:tc>
        <w:tc>
          <w:tcPr>
            <w:tcW w:w="2676" w:type="dxa"/>
          </w:tcPr>
          <w:p w:rsidR="00593BC3" w:rsidRPr="00593BC3" w:rsidRDefault="00593BC3" w:rsidP="00593BC3">
            <w:pPr>
              <w:autoSpaceDE w:val="0"/>
              <w:autoSpaceDN w:val="0"/>
              <w:adjustRightInd w:val="0"/>
              <w:spacing w:line="240" w:lineRule="auto"/>
              <w:rPr>
                <w:szCs w:val="18"/>
              </w:rPr>
            </w:pPr>
            <w:r w:rsidRPr="00593BC3">
              <w:rPr>
                <w:szCs w:val="18"/>
              </w:rPr>
              <w:t>50.00</w:t>
            </w:r>
          </w:p>
        </w:tc>
        <w:tc>
          <w:tcPr>
            <w:tcW w:w="5333" w:type="dxa"/>
          </w:tcPr>
          <w:p w:rsidR="00593BC3" w:rsidRPr="00593BC3" w:rsidRDefault="00593BC3" w:rsidP="00222146">
            <w:pPr>
              <w:autoSpaceDE w:val="0"/>
              <w:autoSpaceDN w:val="0"/>
              <w:adjustRightInd w:val="0"/>
              <w:spacing w:line="240" w:lineRule="auto"/>
              <w:rPr>
                <w:szCs w:val="18"/>
              </w:rPr>
            </w:pPr>
            <w:r w:rsidRPr="00593BC3">
              <w:rPr>
                <w:szCs w:val="18"/>
              </w:rPr>
              <w:t>$</w:t>
            </w:r>
            <w:r w:rsidR="00222146">
              <w:rPr>
                <w:szCs w:val="18"/>
              </w:rPr>
              <w:t>7</w:t>
            </w:r>
            <w:r w:rsidR="00644481">
              <w:rPr>
                <w:szCs w:val="18"/>
              </w:rPr>
              <w:t>0</w:t>
            </w:r>
            <w:r w:rsidRPr="00593BC3">
              <w:rPr>
                <w:szCs w:val="18"/>
              </w:rPr>
              <w:t>0.00</w:t>
            </w:r>
          </w:p>
        </w:tc>
      </w:tr>
      <w:tr w:rsidR="00593BC3" w:rsidRPr="00593BC3" w:rsidTr="00593BC3">
        <w:trPr>
          <w:trHeight w:val="305"/>
        </w:trPr>
        <w:tc>
          <w:tcPr>
            <w:tcW w:w="2239" w:type="dxa"/>
          </w:tcPr>
          <w:p w:rsidR="00593BC3" w:rsidRPr="00593BC3" w:rsidRDefault="00593BC3" w:rsidP="00593BC3">
            <w:pPr>
              <w:autoSpaceDE w:val="0"/>
              <w:autoSpaceDN w:val="0"/>
              <w:adjustRightInd w:val="0"/>
              <w:spacing w:line="240" w:lineRule="auto"/>
              <w:rPr>
                <w:szCs w:val="18"/>
              </w:rPr>
            </w:pPr>
          </w:p>
        </w:tc>
        <w:tc>
          <w:tcPr>
            <w:tcW w:w="2676" w:type="dxa"/>
          </w:tcPr>
          <w:p w:rsidR="00593BC3" w:rsidRPr="00593BC3" w:rsidRDefault="00593BC3" w:rsidP="00593BC3">
            <w:pPr>
              <w:autoSpaceDE w:val="0"/>
              <w:autoSpaceDN w:val="0"/>
              <w:adjustRightInd w:val="0"/>
              <w:spacing w:line="240" w:lineRule="auto"/>
              <w:rPr>
                <w:szCs w:val="18"/>
              </w:rPr>
            </w:pPr>
            <w:r w:rsidRPr="00593BC3">
              <w:rPr>
                <w:szCs w:val="18"/>
              </w:rPr>
              <w:t>Total Payment</w:t>
            </w:r>
          </w:p>
        </w:tc>
        <w:tc>
          <w:tcPr>
            <w:tcW w:w="5333" w:type="dxa"/>
          </w:tcPr>
          <w:p w:rsidR="00593BC3" w:rsidRPr="00593BC3" w:rsidRDefault="00593BC3" w:rsidP="00222146">
            <w:pPr>
              <w:autoSpaceDE w:val="0"/>
              <w:autoSpaceDN w:val="0"/>
              <w:adjustRightInd w:val="0"/>
              <w:spacing w:line="240" w:lineRule="auto"/>
              <w:rPr>
                <w:szCs w:val="18"/>
              </w:rPr>
            </w:pPr>
            <w:r w:rsidRPr="00593BC3">
              <w:rPr>
                <w:szCs w:val="18"/>
              </w:rPr>
              <w:t>$</w:t>
            </w:r>
            <w:r w:rsidR="00222146">
              <w:rPr>
                <w:szCs w:val="18"/>
              </w:rPr>
              <w:t>7</w:t>
            </w:r>
            <w:r w:rsidR="00644481">
              <w:rPr>
                <w:szCs w:val="18"/>
              </w:rPr>
              <w:t>0</w:t>
            </w:r>
            <w:r w:rsidRPr="00593BC3">
              <w:rPr>
                <w:szCs w:val="18"/>
              </w:rPr>
              <w:t>0.00 (-</w:t>
            </w:r>
            <w:r w:rsidR="00DE7C64">
              <w:rPr>
                <w:szCs w:val="18"/>
              </w:rPr>
              <w:t>3</w:t>
            </w:r>
            <w:r w:rsidR="00644481">
              <w:rPr>
                <w:szCs w:val="18"/>
              </w:rPr>
              <w:t>0</w:t>
            </w:r>
            <w:r w:rsidRPr="00593BC3">
              <w:rPr>
                <w:szCs w:val="18"/>
              </w:rPr>
              <w:t>.00% return)</w:t>
            </w:r>
          </w:p>
        </w:tc>
      </w:tr>
    </w:tbl>
    <w:p w:rsidR="00314E75" w:rsidRPr="00314E75" w:rsidRDefault="00314E75" w:rsidP="00DA6608">
      <w:pPr>
        <w:pStyle w:val="Heading2"/>
        <w:keepNext w:val="0"/>
        <w:spacing w:before="0" w:line="288" w:lineRule="auto"/>
        <w:rPr>
          <w:sz w:val="2"/>
          <w:szCs w:val="8"/>
        </w:rPr>
      </w:pPr>
    </w:p>
    <w:p w:rsidR="00954099" w:rsidRPr="00C10C95" w:rsidRDefault="00954099" w:rsidP="00222146">
      <w:pPr>
        <w:rPr>
          <w:color w:val="404040" w:themeColor="text1" w:themeTint="BF"/>
        </w:rPr>
      </w:pPr>
      <w:r w:rsidRPr="00C10C95">
        <w:rPr>
          <w:color w:val="404040" w:themeColor="text1" w:themeTint="BF"/>
        </w:rPr>
        <w:t xml:space="preserve">Because the </w:t>
      </w:r>
      <w:r w:rsidR="001C1A8B" w:rsidRPr="00C10C95">
        <w:rPr>
          <w:color w:val="404040" w:themeColor="text1" w:themeTint="BF"/>
        </w:rPr>
        <w:t>notes</w:t>
      </w:r>
      <w:r w:rsidRPr="00C10C95">
        <w:rPr>
          <w:color w:val="404040" w:themeColor="text1" w:themeTint="BF"/>
        </w:rPr>
        <w:t xml:space="preserve"> </w:t>
      </w:r>
      <w:r w:rsidR="005E0A88" w:rsidRPr="00C10C95">
        <w:rPr>
          <w:color w:val="404040" w:themeColor="text1" w:themeTint="BF"/>
        </w:rPr>
        <w:t xml:space="preserve">have not been </w:t>
      </w:r>
      <w:r w:rsidR="00B33391" w:rsidRPr="00C10C95">
        <w:rPr>
          <w:color w:val="404040" w:themeColor="text1" w:themeTint="BF"/>
        </w:rPr>
        <w:t>automatically called</w:t>
      </w:r>
      <w:r w:rsidR="00F96E03" w:rsidRPr="00C10C95">
        <w:rPr>
          <w:color w:val="404040" w:themeColor="text1" w:themeTint="BF"/>
        </w:rPr>
        <w:t>,</w:t>
      </w:r>
      <w:r w:rsidRPr="00C10C95">
        <w:rPr>
          <w:color w:val="404040" w:themeColor="text1" w:themeTint="BF"/>
        </w:rPr>
        <w:t xml:space="preserve"> the </w:t>
      </w:r>
      <w:r w:rsidR="00365C23" w:rsidRPr="00C10C95">
        <w:rPr>
          <w:color w:val="404040" w:themeColor="text1" w:themeTint="BF"/>
        </w:rPr>
        <w:t>Final Value</w:t>
      </w:r>
      <w:r w:rsidRPr="00C10C95">
        <w:rPr>
          <w:color w:val="404040" w:themeColor="text1" w:themeTint="BF"/>
        </w:rPr>
        <w:t xml:space="preserve"> is less than </w:t>
      </w:r>
      <w:r w:rsidR="00F21E4E" w:rsidRPr="00C10C95">
        <w:rPr>
          <w:color w:val="404040" w:themeColor="text1" w:themeTint="BF"/>
        </w:rPr>
        <w:t>the</w:t>
      </w:r>
      <w:r w:rsidR="008D4D91" w:rsidRPr="00C10C95">
        <w:rPr>
          <w:color w:val="404040" w:themeColor="text1" w:themeTint="BF"/>
        </w:rPr>
        <w:t xml:space="preserve"> </w:t>
      </w:r>
      <w:r w:rsidR="00C10CC0">
        <w:rPr>
          <w:color w:val="404040" w:themeColor="text1" w:themeTint="BF"/>
          <w:szCs w:val="18"/>
        </w:rPr>
        <w:t>Buffer Threshold</w:t>
      </w:r>
      <w:r w:rsidRPr="00C10C95">
        <w:rPr>
          <w:color w:val="404040" w:themeColor="text1" w:themeTint="BF"/>
        </w:rPr>
        <w:t xml:space="preserve"> </w:t>
      </w:r>
      <w:r w:rsidR="00464EA3" w:rsidRPr="00C10C95">
        <w:rPr>
          <w:color w:val="404040" w:themeColor="text1" w:themeTint="BF"/>
        </w:rPr>
        <w:t xml:space="preserve">and </w:t>
      </w:r>
      <w:r w:rsidR="006F7B12" w:rsidRPr="00C10C95">
        <w:rPr>
          <w:color w:val="404040" w:themeColor="text1" w:themeTint="BF"/>
        </w:rPr>
        <w:t xml:space="preserve">the </w:t>
      </w:r>
      <w:r w:rsidR="00593BC3" w:rsidRPr="00593BC3">
        <w:rPr>
          <w:color w:val="404040" w:themeColor="text1" w:themeTint="BF"/>
          <w:szCs w:val="18"/>
        </w:rPr>
        <w:t>Index Return</w:t>
      </w:r>
      <w:r w:rsidR="003D7DDD" w:rsidRPr="00C10C95">
        <w:rPr>
          <w:color w:val="404040" w:themeColor="text1" w:themeTint="BF"/>
        </w:rPr>
        <w:t xml:space="preserve"> is </w:t>
      </w:r>
      <w:r w:rsidR="00593BC3" w:rsidRPr="00593BC3">
        <w:rPr>
          <w:color w:val="404040" w:themeColor="text1" w:themeTint="BF"/>
          <w:szCs w:val="18"/>
        </w:rPr>
        <w:t>-50.00%</w:t>
      </w:r>
      <w:r w:rsidRPr="00C10C95">
        <w:rPr>
          <w:color w:val="404040" w:themeColor="text1" w:themeTint="BF"/>
        </w:rPr>
        <w:t>, th</w:t>
      </w:r>
      <w:r w:rsidR="004A2C56" w:rsidRPr="00C10C95">
        <w:rPr>
          <w:color w:val="404040" w:themeColor="text1" w:themeTint="BF"/>
        </w:rPr>
        <w:t xml:space="preserve">e payment at maturity will be </w:t>
      </w:r>
      <w:r w:rsidR="00593BC3" w:rsidRPr="00593BC3">
        <w:rPr>
          <w:color w:val="404040" w:themeColor="text1" w:themeTint="BF"/>
          <w:szCs w:val="18"/>
        </w:rPr>
        <w:t>$</w:t>
      </w:r>
      <w:r w:rsidR="00222146">
        <w:rPr>
          <w:color w:val="404040" w:themeColor="text1" w:themeTint="BF"/>
          <w:szCs w:val="18"/>
        </w:rPr>
        <w:t>7</w:t>
      </w:r>
      <w:r w:rsidR="00644481">
        <w:rPr>
          <w:color w:val="404040" w:themeColor="text1" w:themeTint="BF"/>
          <w:szCs w:val="18"/>
        </w:rPr>
        <w:t>0</w:t>
      </w:r>
      <w:r w:rsidR="00593BC3" w:rsidRPr="00593BC3">
        <w:rPr>
          <w:color w:val="404040" w:themeColor="text1" w:themeTint="BF"/>
          <w:szCs w:val="18"/>
        </w:rPr>
        <w:t>0.00</w:t>
      </w:r>
      <w:r w:rsidR="00DB5186" w:rsidRPr="00C10C95">
        <w:rPr>
          <w:color w:val="404040" w:themeColor="text1" w:themeTint="BF"/>
        </w:rPr>
        <w:t xml:space="preserve"> per $1,000 principal amount n</w:t>
      </w:r>
      <w:r w:rsidR="00F27985" w:rsidRPr="00C10C95">
        <w:rPr>
          <w:color w:val="404040" w:themeColor="text1" w:themeTint="BF"/>
        </w:rPr>
        <w:t>ote, calculated as follows:</w:t>
      </w:r>
    </w:p>
    <w:p w:rsidR="00644481" w:rsidRDefault="00644481" w:rsidP="00DA6608">
      <w:pPr>
        <w:rPr>
          <w:color w:val="404040" w:themeColor="text1" w:themeTint="BF"/>
          <w:szCs w:val="18"/>
        </w:rPr>
      </w:pPr>
      <w:r w:rsidRPr="00644481">
        <w:rPr>
          <w:color w:val="404040" w:themeColor="text1" w:themeTint="BF"/>
          <w:szCs w:val="18"/>
        </w:rPr>
        <w:t>$1,000 + [$1,000 × (-50.00% + 20.00%)] = $700.00</w:t>
      </w:r>
    </w:p>
    <w:p w:rsidR="00660F9A" w:rsidRDefault="00954099" w:rsidP="00DA6608">
      <w:pPr>
        <w:rPr>
          <w:color w:val="404040" w:themeColor="text1" w:themeTint="BF"/>
          <w:szCs w:val="18"/>
        </w:rPr>
      </w:pPr>
      <w:r w:rsidRPr="00954099">
        <w:rPr>
          <w:color w:val="404040" w:themeColor="text1" w:themeTint="BF"/>
          <w:szCs w:val="18"/>
        </w:rPr>
        <w:t xml:space="preserve">The hypothetical returns and hypothetical payments on the </w:t>
      </w:r>
      <w:r w:rsidR="001C1A8B">
        <w:rPr>
          <w:color w:val="404040" w:themeColor="text1" w:themeTint="BF"/>
          <w:szCs w:val="18"/>
        </w:rPr>
        <w:t>notes</w:t>
      </w:r>
      <w:r w:rsidRPr="00954099">
        <w:rPr>
          <w:color w:val="404040" w:themeColor="text1" w:themeTint="BF"/>
          <w:szCs w:val="18"/>
        </w:rPr>
        <w:t xml:space="preserve"> shown above apply </w:t>
      </w:r>
      <w:r w:rsidRPr="00954099">
        <w:rPr>
          <w:b/>
          <w:color w:val="404040" w:themeColor="text1" w:themeTint="BF"/>
          <w:szCs w:val="18"/>
        </w:rPr>
        <w:t xml:space="preserve">only if you hold the </w:t>
      </w:r>
      <w:r w:rsidR="001C1A8B">
        <w:rPr>
          <w:b/>
          <w:color w:val="404040" w:themeColor="text1" w:themeTint="BF"/>
          <w:szCs w:val="18"/>
        </w:rPr>
        <w:t>notes</w:t>
      </w:r>
      <w:r w:rsidRPr="00954099">
        <w:rPr>
          <w:b/>
          <w:color w:val="404040" w:themeColor="text1" w:themeTint="BF"/>
          <w:szCs w:val="18"/>
        </w:rPr>
        <w:t xml:space="preserve"> for their entire term</w:t>
      </w:r>
      <w:r w:rsidR="00E4287C">
        <w:rPr>
          <w:b/>
          <w:color w:val="404040" w:themeColor="text1" w:themeTint="BF"/>
          <w:szCs w:val="18"/>
        </w:rPr>
        <w:t xml:space="preserve"> or until automatically called</w:t>
      </w:r>
      <w:r w:rsidR="00422B5A" w:rsidRPr="00954099">
        <w:rPr>
          <w:b/>
          <w:color w:val="404040" w:themeColor="text1" w:themeTint="BF"/>
          <w:szCs w:val="18"/>
        </w:rPr>
        <w:t>.</w:t>
      </w:r>
      <w:r w:rsidR="00422B5A">
        <w:rPr>
          <w:b/>
          <w:color w:val="404040" w:themeColor="text1" w:themeTint="BF"/>
          <w:szCs w:val="18"/>
        </w:rPr>
        <w:t xml:space="preserve">  </w:t>
      </w:r>
      <w:r w:rsidRPr="00954099">
        <w:rPr>
          <w:color w:val="404040" w:themeColor="text1" w:themeTint="BF"/>
          <w:szCs w:val="18"/>
        </w:rPr>
        <w:t>These hypotheticals do not reflect the fees or expenses that would be associated with any sale in the secondary market</w:t>
      </w:r>
      <w:r w:rsidR="00422B5A" w:rsidRPr="00954099">
        <w:rPr>
          <w:color w:val="404040" w:themeColor="text1" w:themeTint="BF"/>
          <w:szCs w:val="18"/>
        </w:rPr>
        <w:t>.</w:t>
      </w:r>
      <w:r w:rsidR="00422B5A">
        <w:rPr>
          <w:color w:val="404040" w:themeColor="text1" w:themeTint="BF"/>
          <w:szCs w:val="18"/>
        </w:rPr>
        <w:t xml:space="preserve">  </w:t>
      </w:r>
      <w:r w:rsidRPr="00954099">
        <w:rPr>
          <w:color w:val="404040" w:themeColor="text1" w:themeTint="BF"/>
          <w:szCs w:val="18"/>
        </w:rPr>
        <w:t>If these fees and expenses were included, the hypothetical returns and hypothetical payments shown above would likely be lower.</w:t>
      </w:r>
    </w:p>
    <w:p w:rsidR="007E15C2" w:rsidRPr="006968AD" w:rsidRDefault="007E15C2" w:rsidP="001E4ECB">
      <w:pPr>
        <w:pStyle w:val="Heading1"/>
        <w:keepNext/>
        <w:rPr>
          <w:color w:val="4E8ABE"/>
        </w:rPr>
      </w:pPr>
      <w:bookmarkStart w:id="0" w:name="SelectedRiskConsiderations"/>
      <w:r w:rsidRPr="006968AD">
        <w:rPr>
          <w:color w:val="4E8ABE"/>
        </w:rPr>
        <w:t>Selected Risk Considerations</w:t>
      </w:r>
      <w:bookmarkEnd w:id="0"/>
    </w:p>
    <w:p w:rsidR="007E15C2" w:rsidRDefault="00464EA3" w:rsidP="00F317D6">
      <w:pPr>
        <w:keepNext/>
        <w:rPr>
          <w:color w:val="404040" w:themeColor="text1" w:themeTint="BF"/>
        </w:rPr>
      </w:pPr>
      <w:r>
        <w:rPr>
          <w:color w:val="404040" w:themeColor="text1" w:themeTint="BF"/>
        </w:rPr>
        <w:t xml:space="preserve">An investment in the </w:t>
      </w:r>
      <w:r w:rsidR="001C1A8B">
        <w:rPr>
          <w:color w:val="404040" w:themeColor="text1" w:themeTint="BF"/>
        </w:rPr>
        <w:t>notes</w:t>
      </w:r>
      <w:r w:rsidR="007E15C2" w:rsidRPr="00966ED2">
        <w:rPr>
          <w:color w:val="404040" w:themeColor="text1" w:themeTint="BF"/>
        </w:rPr>
        <w:t xml:space="preserve"> involves significant risks</w:t>
      </w:r>
      <w:r w:rsidR="00422B5A" w:rsidRPr="00966ED2">
        <w:rPr>
          <w:color w:val="404040" w:themeColor="text1" w:themeTint="BF"/>
        </w:rPr>
        <w:t>.</w:t>
      </w:r>
      <w:r w:rsidR="00422B5A">
        <w:rPr>
          <w:color w:val="404040" w:themeColor="text1" w:themeTint="BF"/>
        </w:rPr>
        <w:t xml:space="preserve">  </w:t>
      </w:r>
      <w:r w:rsidR="00F317D6" w:rsidRPr="00F317D6">
        <w:rPr>
          <w:color w:val="404040" w:themeColor="text1" w:themeTint="BF"/>
        </w:rPr>
        <w:t>These risks are explained in more detail in the “Risk Factors” sections of the accompanying prospectus supplement,</w:t>
      </w:r>
      <w:r w:rsidR="004E119A" w:rsidRPr="00C3495A">
        <w:rPr>
          <w:color w:val="404040" w:themeColor="text1" w:themeTint="BF"/>
        </w:rPr>
        <w:t xml:space="preserve"> product </w:t>
      </w:r>
      <w:r w:rsidR="00593BC3" w:rsidRPr="00593BC3">
        <w:rPr>
          <w:color w:val="404040" w:themeColor="text1" w:themeTint="BF"/>
        </w:rPr>
        <w:t>supplement and underlying supplement</w:t>
      </w:r>
      <w:r w:rsidR="007E15C2" w:rsidRPr="004E119A">
        <w:rPr>
          <w:color w:val="404040" w:themeColor="text1" w:themeTint="BF"/>
        </w:rPr>
        <w:t>.</w:t>
      </w:r>
    </w:p>
    <w:p w:rsidR="00507292" w:rsidRPr="00507292" w:rsidRDefault="00507292" w:rsidP="00507292">
      <w:pPr>
        <w:keepNext/>
        <w:keepLines/>
        <w:spacing w:after="80"/>
        <w:outlineLvl w:val="1"/>
        <w:rPr>
          <w:rFonts w:eastAsiaTheme="majorEastAsia" w:cstheme="majorBidi"/>
          <w:b/>
          <w:bCs w:val="0"/>
          <w:color w:val="54301A"/>
          <w:szCs w:val="18"/>
        </w:rPr>
      </w:pPr>
      <w:r w:rsidRPr="00C110DF">
        <w:rPr>
          <w:rFonts w:eastAsiaTheme="majorEastAsia" w:cstheme="majorBidi"/>
          <w:b/>
          <w:bCs w:val="0"/>
          <w:color w:val="54301A"/>
          <w:szCs w:val="18"/>
        </w:rPr>
        <w:t>Risks Relating to the Notes Generally</w:t>
      </w:r>
    </w:p>
    <w:p w:rsidR="008460C2" w:rsidRPr="00723013" w:rsidRDefault="008460C2" w:rsidP="00474AD9">
      <w:pPr>
        <w:pStyle w:val="Heading2"/>
        <w:numPr>
          <w:ilvl w:val="0"/>
          <w:numId w:val="16"/>
        </w:numPr>
        <w:spacing w:line="288" w:lineRule="auto"/>
        <w:ind w:left="360"/>
        <w:rPr>
          <w:b/>
          <w:bCs/>
          <w:szCs w:val="18"/>
        </w:rPr>
      </w:pPr>
      <w:r w:rsidRPr="00723013">
        <w:rPr>
          <w:b/>
          <w:bCs/>
          <w:szCs w:val="18"/>
        </w:rPr>
        <w:t xml:space="preserve">YOUR INVESTMENT IN THE </w:t>
      </w:r>
      <w:r w:rsidR="00365C23" w:rsidRPr="00723013">
        <w:rPr>
          <w:b/>
          <w:bCs/>
          <w:szCs w:val="18"/>
        </w:rPr>
        <w:t>NOTES</w:t>
      </w:r>
      <w:r w:rsidRPr="00723013">
        <w:rPr>
          <w:b/>
          <w:bCs/>
          <w:szCs w:val="18"/>
        </w:rPr>
        <w:t xml:space="preserve"> MAY RESULT IN A LOSS — </w:t>
      </w:r>
    </w:p>
    <w:p w:rsidR="008460C2" w:rsidRPr="00474AD9" w:rsidRDefault="00F84D64" w:rsidP="000154DB">
      <w:pPr>
        <w:pStyle w:val="ListParagraph"/>
        <w:ind w:left="360"/>
        <w:rPr>
          <w:color w:val="404040" w:themeColor="text1" w:themeTint="BF"/>
          <w:szCs w:val="18"/>
        </w:rPr>
      </w:pPr>
      <w:r w:rsidRPr="00474AD9">
        <w:rPr>
          <w:color w:val="404040" w:themeColor="text1" w:themeTint="BF"/>
          <w:szCs w:val="18"/>
        </w:rPr>
        <w:t xml:space="preserve">The </w:t>
      </w:r>
      <w:r w:rsidR="001C1A8B">
        <w:rPr>
          <w:color w:val="404040" w:themeColor="text1" w:themeTint="BF"/>
          <w:szCs w:val="18"/>
        </w:rPr>
        <w:t>notes</w:t>
      </w:r>
      <w:r w:rsidRPr="00474AD9">
        <w:rPr>
          <w:color w:val="404040" w:themeColor="text1" w:themeTint="BF"/>
          <w:szCs w:val="18"/>
        </w:rPr>
        <w:t xml:space="preserve"> do not guarantee any return of principal</w:t>
      </w:r>
      <w:r w:rsidR="00422B5A" w:rsidRPr="00474AD9">
        <w:rPr>
          <w:color w:val="404040" w:themeColor="text1" w:themeTint="BF"/>
          <w:szCs w:val="18"/>
        </w:rPr>
        <w:t>.</w:t>
      </w:r>
      <w:r w:rsidR="00422B5A">
        <w:rPr>
          <w:color w:val="404040" w:themeColor="text1" w:themeTint="BF"/>
          <w:szCs w:val="18"/>
        </w:rPr>
        <w:t xml:space="preserve">  </w:t>
      </w:r>
      <w:r w:rsidR="00CE43AE" w:rsidRPr="00474AD9">
        <w:rPr>
          <w:color w:val="404040" w:themeColor="text1" w:themeTint="BF"/>
          <w:szCs w:val="18"/>
        </w:rPr>
        <w:t xml:space="preserve">If </w:t>
      </w:r>
      <w:r w:rsidR="00292865" w:rsidRPr="00474AD9">
        <w:rPr>
          <w:color w:val="404040" w:themeColor="text1" w:themeTint="BF"/>
          <w:szCs w:val="18"/>
        </w:rPr>
        <w:t xml:space="preserve">the </w:t>
      </w:r>
      <w:r w:rsidR="001C1A8B">
        <w:rPr>
          <w:color w:val="404040" w:themeColor="text1" w:themeTint="BF"/>
          <w:szCs w:val="18"/>
        </w:rPr>
        <w:t>notes</w:t>
      </w:r>
      <w:r w:rsidR="00292865" w:rsidRPr="00474AD9">
        <w:rPr>
          <w:color w:val="404040" w:themeColor="text1" w:themeTint="BF"/>
          <w:szCs w:val="18"/>
        </w:rPr>
        <w:t xml:space="preserve"> have not been </w:t>
      </w:r>
      <w:r w:rsidR="00B33391">
        <w:rPr>
          <w:color w:val="404040" w:themeColor="text1" w:themeTint="BF"/>
          <w:szCs w:val="18"/>
        </w:rPr>
        <w:t>automatically called</w:t>
      </w:r>
      <w:r w:rsidR="005908C6">
        <w:rPr>
          <w:color w:val="404040" w:themeColor="text1" w:themeTint="BF"/>
          <w:szCs w:val="18"/>
        </w:rPr>
        <w:t xml:space="preserve"> </w:t>
      </w:r>
      <w:r w:rsidR="00593BC3" w:rsidRPr="00593BC3">
        <w:rPr>
          <w:color w:val="404040" w:themeColor="text1" w:themeTint="BF"/>
          <w:szCs w:val="18"/>
        </w:rPr>
        <w:t xml:space="preserve">and the Final Value is less than the </w:t>
      </w:r>
      <w:r w:rsidR="00C10CC0">
        <w:rPr>
          <w:color w:val="404040" w:themeColor="text1" w:themeTint="BF"/>
          <w:szCs w:val="18"/>
        </w:rPr>
        <w:t>Buffer Threshold</w:t>
      </w:r>
      <w:r w:rsidR="00CE43AE" w:rsidRPr="00474AD9">
        <w:rPr>
          <w:color w:val="404040" w:themeColor="text1" w:themeTint="BF"/>
          <w:szCs w:val="18"/>
        </w:rPr>
        <w:t>, y</w:t>
      </w:r>
      <w:r w:rsidR="008460C2" w:rsidRPr="00474AD9">
        <w:rPr>
          <w:color w:val="404040" w:themeColor="text1" w:themeTint="BF"/>
          <w:szCs w:val="18"/>
        </w:rPr>
        <w:t>ou will lose</w:t>
      </w:r>
      <w:r w:rsidR="001E10CE">
        <w:rPr>
          <w:color w:val="404040" w:themeColor="text1" w:themeTint="BF"/>
          <w:szCs w:val="18"/>
        </w:rPr>
        <w:t xml:space="preserve"> </w:t>
      </w:r>
      <w:r w:rsidR="00593BC3" w:rsidRPr="00593BC3">
        <w:rPr>
          <w:color w:val="404040" w:themeColor="text1" w:themeTint="BF"/>
          <w:szCs w:val="18"/>
        </w:rPr>
        <w:t>1%</w:t>
      </w:r>
      <w:r w:rsidR="001E10CE">
        <w:rPr>
          <w:color w:val="404040" w:themeColor="text1" w:themeTint="BF"/>
          <w:szCs w:val="18"/>
        </w:rPr>
        <w:t xml:space="preserve"> </w:t>
      </w:r>
      <w:r w:rsidR="008460C2" w:rsidRPr="00474AD9">
        <w:rPr>
          <w:color w:val="404040" w:themeColor="text1" w:themeTint="BF"/>
          <w:szCs w:val="18"/>
        </w:rPr>
        <w:t xml:space="preserve">of the principal amount of your </w:t>
      </w:r>
      <w:r w:rsidR="001C1A8B">
        <w:rPr>
          <w:color w:val="404040" w:themeColor="text1" w:themeTint="BF"/>
          <w:szCs w:val="18"/>
        </w:rPr>
        <w:t>notes</w:t>
      </w:r>
      <w:r w:rsidR="008202B7" w:rsidRPr="00474AD9">
        <w:rPr>
          <w:color w:val="404040" w:themeColor="text1" w:themeTint="BF"/>
          <w:szCs w:val="18"/>
        </w:rPr>
        <w:t xml:space="preserve"> for every 1% that the </w:t>
      </w:r>
      <w:r w:rsidR="00365C23" w:rsidRPr="00474AD9">
        <w:rPr>
          <w:color w:val="404040" w:themeColor="text1" w:themeTint="BF"/>
          <w:szCs w:val="18"/>
        </w:rPr>
        <w:t>Final Value</w:t>
      </w:r>
      <w:r w:rsidR="008202B7" w:rsidRPr="00474AD9">
        <w:rPr>
          <w:color w:val="404040" w:themeColor="text1" w:themeTint="BF"/>
          <w:szCs w:val="18"/>
        </w:rPr>
        <w:t xml:space="preserve"> is less than </w:t>
      </w:r>
      <w:r w:rsidR="00F21E4E">
        <w:rPr>
          <w:color w:val="404040" w:themeColor="text1" w:themeTint="BF"/>
          <w:szCs w:val="18"/>
        </w:rPr>
        <w:t>the</w:t>
      </w:r>
      <w:r w:rsidR="008202B7" w:rsidRPr="00474AD9">
        <w:rPr>
          <w:color w:val="404040" w:themeColor="text1" w:themeTint="BF"/>
          <w:szCs w:val="18"/>
        </w:rPr>
        <w:t xml:space="preserve"> </w:t>
      </w:r>
      <w:r w:rsidR="00593BC3" w:rsidRPr="00593BC3">
        <w:rPr>
          <w:color w:val="404040" w:themeColor="text1" w:themeTint="BF"/>
          <w:szCs w:val="18"/>
        </w:rPr>
        <w:t>Initial Value</w:t>
      </w:r>
      <w:r w:rsidR="000154DB" w:rsidRPr="000154DB">
        <w:rPr>
          <w:color w:val="404040" w:themeColor="text1" w:themeTint="BF"/>
          <w:szCs w:val="18"/>
        </w:rPr>
        <w:t xml:space="preserve"> by more than </w:t>
      </w:r>
      <w:r w:rsidR="00DB7E16">
        <w:rPr>
          <w:color w:val="404040" w:themeColor="text1" w:themeTint="BF"/>
          <w:szCs w:val="18"/>
        </w:rPr>
        <w:t>20.00</w:t>
      </w:r>
      <w:r w:rsidR="000154DB" w:rsidRPr="000154DB">
        <w:rPr>
          <w:color w:val="404040" w:themeColor="text1" w:themeTint="BF"/>
          <w:szCs w:val="18"/>
        </w:rPr>
        <w:t>%</w:t>
      </w:r>
      <w:r w:rsidR="00593BC3" w:rsidRPr="00593BC3">
        <w:rPr>
          <w:color w:val="404040" w:themeColor="text1" w:themeTint="BF"/>
          <w:szCs w:val="18"/>
        </w:rPr>
        <w:t>.</w:t>
      </w:r>
      <w:r w:rsidR="005258C4" w:rsidRPr="00474AD9">
        <w:rPr>
          <w:color w:val="404040" w:themeColor="text1" w:themeTint="BF"/>
          <w:szCs w:val="18"/>
        </w:rPr>
        <w:t xml:space="preserve">  </w:t>
      </w:r>
      <w:r w:rsidR="004A0974" w:rsidRPr="00474AD9">
        <w:rPr>
          <w:color w:val="404040" w:themeColor="text1" w:themeTint="BF"/>
          <w:szCs w:val="18"/>
        </w:rPr>
        <w:t>Accordingly, under these circumstances, you will lose</w:t>
      </w:r>
      <w:r w:rsidR="000154DB" w:rsidRPr="000154DB">
        <w:t xml:space="preserve"> </w:t>
      </w:r>
      <w:r w:rsidR="000154DB" w:rsidRPr="000154DB">
        <w:rPr>
          <w:color w:val="404040" w:themeColor="text1" w:themeTint="BF"/>
          <w:szCs w:val="18"/>
        </w:rPr>
        <w:t xml:space="preserve">up to </w:t>
      </w:r>
      <w:r w:rsidR="008E7C15">
        <w:rPr>
          <w:color w:val="404040" w:themeColor="text1" w:themeTint="BF"/>
          <w:szCs w:val="18"/>
        </w:rPr>
        <w:t>80.00</w:t>
      </w:r>
      <w:r w:rsidR="000154DB">
        <w:rPr>
          <w:color w:val="404040" w:themeColor="text1" w:themeTint="BF"/>
          <w:szCs w:val="18"/>
        </w:rPr>
        <w:t>%</w:t>
      </w:r>
      <w:r w:rsidR="004A0974" w:rsidRPr="00474AD9">
        <w:rPr>
          <w:color w:val="404040" w:themeColor="text1" w:themeTint="BF"/>
          <w:szCs w:val="18"/>
        </w:rPr>
        <w:t xml:space="preserve"> of your principal amount</w:t>
      </w:r>
      <w:r w:rsidR="004448EB">
        <w:rPr>
          <w:color w:val="404040" w:themeColor="text1" w:themeTint="BF"/>
          <w:szCs w:val="18"/>
        </w:rPr>
        <w:t xml:space="preserve"> at</w:t>
      </w:r>
      <w:r w:rsidR="004448EB" w:rsidRPr="00474AD9">
        <w:rPr>
          <w:color w:val="404040" w:themeColor="text1" w:themeTint="BF"/>
          <w:szCs w:val="18"/>
        </w:rPr>
        <w:t xml:space="preserve"> </w:t>
      </w:r>
      <w:r w:rsidR="00593BC3" w:rsidRPr="00593BC3">
        <w:rPr>
          <w:color w:val="404040" w:themeColor="text1" w:themeTint="BF"/>
          <w:szCs w:val="18"/>
        </w:rPr>
        <w:t>maturity.</w:t>
      </w:r>
    </w:p>
    <w:p w:rsidR="00292865" w:rsidRPr="00723013" w:rsidRDefault="00292865" w:rsidP="00474AD9">
      <w:pPr>
        <w:pStyle w:val="Heading2"/>
        <w:numPr>
          <w:ilvl w:val="0"/>
          <w:numId w:val="16"/>
        </w:numPr>
        <w:spacing w:line="288" w:lineRule="auto"/>
        <w:ind w:left="360"/>
        <w:rPr>
          <w:b/>
          <w:bCs/>
          <w:szCs w:val="18"/>
        </w:rPr>
      </w:pPr>
      <w:r w:rsidRPr="00723013">
        <w:rPr>
          <w:b/>
          <w:bCs/>
          <w:szCs w:val="18"/>
        </w:rPr>
        <w:t xml:space="preserve">THE </w:t>
      </w:r>
      <w:r w:rsidR="00365C23" w:rsidRPr="00723013">
        <w:rPr>
          <w:b/>
          <w:bCs/>
          <w:szCs w:val="18"/>
        </w:rPr>
        <w:t>NOTES</w:t>
      </w:r>
      <w:r w:rsidRPr="00723013">
        <w:rPr>
          <w:b/>
          <w:bCs/>
          <w:szCs w:val="18"/>
        </w:rPr>
        <w:t xml:space="preserve"> DO NOT GUARANTEE THE PAYMENT OF INTEREST AND MAY NOT PAY ANY INTEREST AT ALL —</w:t>
      </w:r>
    </w:p>
    <w:p w:rsidR="008460C2" w:rsidRPr="00474AD9" w:rsidRDefault="00532C0E" w:rsidP="005F5C95">
      <w:pPr>
        <w:pStyle w:val="ListParagraph"/>
        <w:ind w:left="360"/>
        <w:rPr>
          <w:color w:val="404040" w:themeColor="text1" w:themeTint="BF"/>
          <w:szCs w:val="18"/>
        </w:rPr>
      </w:pPr>
      <w:r w:rsidRPr="00474AD9">
        <w:rPr>
          <w:color w:val="404040" w:themeColor="text1" w:themeTint="BF"/>
          <w:szCs w:val="18"/>
        </w:rPr>
        <w:t xml:space="preserve">If the </w:t>
      </w:r>
      <w:r w:rsidR="001C1A8B">
        <w:rPr>
          <w:color w:val="404040" w:themeColor="text1" w:themeTint="BF"/>
          <w:szCs w:val="18"/>
        </w:rPr>
        <w:t>notes</w:t>
      </w:r>
      <w:r w:rsidRPr="00474AD9">
        <w:rPr>
          <w:color w:val="404040" w:themeColor="text1" w:themeTint="BF"/>
          <w:szCs w:val="18"/>
        </w:rPr>
        <w:t xml:space="preserve"> have not been</w:t>
      </w:r>
      <w:r w:rsidR="00464EA3" w:rsidRPr="00474AD9">
        <w:rPr>
          <w:color w:val="404040" w:themeColor="text1" w:themeTint="BF"/>
          <w:szCs w:val="18"/>
        </w:rPr>
        <w:t xml:space="preserve"> </w:t>
      </w:r>
      <w:r w:rsidR="00B33391">
        <w:rPr>
          <w:color w:val="404040" w:themeColor="text1" w:themeTint="BF"/>
          <w:szCs w:val="18"/>
        </w:rPr>
        <w:t>automatically called</w:t>
      </w:r>
      <w:r w:rsidRPr="00474AD9">
        <w:rPr>
          <w:color w:val="404040" w:themeColor="text1" w:themeTint="BF"/>
          <w:szCs w:val="18"/>
        </w:rPr>
        <w:t xml:space="preserve">, we </w:t>
      </w:r>
      <w:r w:rsidR="00292865" w:rsidRPr="00474AD9">
        <w:rPr>
          <w:color w:val="404040" w:themeColor="text1" w:themeTint="BF"/>
          <w:szCs w:val="18"/>
        </w:rPr>
        <w:t>will make a Contingent Interest Payment with r</w:t>
      </w:r>
      <w:r w:rsidR="00D034F0">
        <w:rPr>
          <w:color w:val="404040" w:themeColor="text1" w:themeTint="BF"/>
          <w:szCs w:val="18"/>
        </w:rPr>
        <w:t xml:space="preserve">espect to </w:t>
      </w:r>
      <w:r w:rsidR="00593BC3" w:rsidRPr="00593BC3">
        <w:rPr>
          <w:color w:val="404040" w:themeColor="text1" w:themeTint="BF"/>
          <w:szCs w:val="18"/>
        </w:rPr>
        <w:t>a Review</w:t>
      </w:r>
      <w:r w:rsidR="001C1A8B">
        <w:rPr>
          <w:color w:val="404040" w:themeColor="text1" w:themeTint="BF"/>
          <w:szCs w:val="18"/>
        </w:rPr>
        <w:t xml:space="preserve"> </w:t>
      </w:r>
      <w:r w:rsidR="00593BC3" w:rsidRPr="00593BC3">
        <w:rPr>
          <w:color w:val="404040" w:themeColor="text1" w:themeTint="BF"/>
          <w:szCs w:val="18"/>
        </w:rPr>
        <w:t>Date</w:t>
      </w:r>
      <w:r w:rsidR="00292865" w:rsidRPr="00474AD9">
        <w:rPr>
          <w:color w:val="404040" w:themeColor="text1" w:themeTint="BF"/>
          <w:szCs w:val="18"/>
        </w:rPr>
        <w:t xml:space="preserve"> only if </w:t>
      </w:r>
      <w:r w:rsidR="0033216A" w:rsidRPr="00474AD9">
        <w:rPr>
          <w:color w:val="404040" w:themeColor="text1" w:themeTint="BF"/>
          <w:szCs w:val="18"/>
        </w:rPr>
        <w:t xml:space="preserve">the </w:t>
      </w:r>
      <w:r w:rsidR="00593BC3" w:rsidRPr="00593BC3">
        <w:rPr>
          <w:color w:val="404040" w:themeColor="text1" w:themeTint="BF"/>
          <w:szCs w:val="18"/>
        </w:rPr>
        <w:t>closing level of the Index</w:t>
      </w:r>
      <w:r w:rsidR="00292865" w:rsidRPr="00474AD9">
        <w:rPr>
          <w:color w:val="404040" w:themeColor="text1" w:themeTint="BF"/>
          <w:szCs w:val="18"/>
        </w:rPr>
        <w:t xml:space="preserve"> on that </w:t>
      </w:r>
      <w:r w:rsidR="00593BC3" w:rsidRPr="00593BC3">
        <w:rPr>
          <w:color w:val="404040" w:themeColor="text1" w:themeTint="BF"/>
          <w:szCs w:val="18"/>
        </w:rPr>
        <w:t>Review</w:t>
      </w:r>
      <w:r w:rsidR="001C1A8B">
        <w:rPr>
          <w:color w:val="404040" w:themeColor="text1" w:themeTint="BF"/>
          <w:szCs w:val="18"/>
        </w:rPr>
        <w:t xml:space="preserve"> Date</w:t>
      </w:r>
      <w:r w:rsidR="00292865" w:rsidRPr="00474AD9">
        <w:rPr>
          <w:color w:val="404040" w:themeColor="text1" w:themeTint="BF"/>
          <w:szCs w:val="18"/>
        </w:rPr>
        <w:t xml:space="preserve"> is greater than or equal to </w:t>
      </w:r>
      <w:r w:rsidR="0070178F">
        <w:rPr>
          <w:color w:val="404040" w:themeColor="text1" w:themeTint="BF"/>
          <w:szCs w:val="18"/>
        </w:rPr>
        <w:t>the</w:t>
      </w:r>
      <w:r w:rsidR="0045010B" w:rsidRPr="00474AD9">
        <w:rPr>
          <w:color w:val="404040" w:themeColor="text1" w:themeTint="BF"/>
          <w:szCs w:val="18"/>
        </w:rPr>
        <w:t xml:space="preserve"> </w:t>
      </w:r>
      <w:r w:rsidR="00B95D6B">
        <w:rPr>
          <w:color w:val="404040" w:themeColor="text1" w:themeTint="BF"/>
          <w:szCs w:val="18"/>
        </w:rPr>
        <w:t>Interest Barrier</w:t>
      </w:r>
      <w:r w:rsidR="00422B5A" w:rsidRPr="00474AD9">
        <w:rPr>
          <w:color w:val="404040" w:themeColor="text1" w:themeTint="BF"/>
          <w:szCs w:val="18"/>
        </w:rPr>
        <w:t>.</w:t>
      </w:r>
      <w:r w:rsidR="00422B5A">
        <w:rPr>
          <w:color w:val="404040" w:themeColor="text1" w:themeTint="BF"/>
          <w:szCs w:val="18"/>
        </w:rPr>
        <w:t xml:space="preserve">  </w:t>
      </w:r>
      <w:r w:rsidR="00292865" w:rsidRPr="00474AD9">
        <w:rPr>
          <w:color w:val="404040" w:themeColor="text1" w:themeTint="BF"/>
          <w:szCs w:val="18"/>
        </w:rPr>
        <w:t xml:space="preserve">If </w:t>
      </w:r>
      <w:r w:rsidR="0033216A" w:rsidRPr="00474AD9">
        <w:rPr>
          <w:color w:val="404040" w:themeColor="text1" w:themeTint="BF"/>
          <w:szCs w:val="18"/>
        </w:rPr>
        <w:t xml:space="preserve">the </w:t>
      </w:r>
      <w:r w:rsidR="00593BC3" w:rsidRPr="00593BC3">
        <w:rPr>
          <w:color w:val="404040" w:themeColor="text1" w:themeTint="BF"/>
          <w:szCs w:val="18"/>
        </w:rPr>
        <w:t>closing level of the Index</w:t>
      </w:r>
      <w:r w:rsidR="00292865" w:rsidRPr="00474AD9">
        <w:rPr>
          <w:color w:val="404040" w:themeColor="text1" w:themeTint="BF"/>
          <w:szCs w:val="18"/>
        </w:rPr>
        <w:t xml:space="preserve"> on that </w:t>
      </w:r>
      <w:r w:rsidR="00593BC3" w:rsidRPr="00593BC3">
        <w:rPr>
          <w:color w:val="404040" w:themeColor="text1" w:themeTint="BF"/>
          <w:szCs w:val="18"/>
        </w:rPr>
        <w:t>Review</w:t>
      </w:r>
      <w:r w:rsidR="00AE5C1E">
        <w:rPr>
          <w:color w:val="404040" w:themeColor="text1" w:themeTint="BF"/>
          <w:szCs w:val="18"/>
        </w:rPr>
        <w:t xml:space="preserve"> </w:t>
      </w:r>
      <w:r w:rsidR="001C1A8B">
        <w:rPr>
          <w:color w:val="404040" w:themeColor="text1" w:themeTint="BF"/>
          <w:szCs w:val="18"/>
        </w:rPr>
        <w:t>Date</w:t>
      </w:r>
      <w:r w:rsidR="00292865" w:rsidRPr="00474AD9">
        <w:rPr>
          <w:color w:val="404040" w:themeColor="text1" w:themeTint="BF"/>
          <w:szCs w:val="18"/>
        </w:rPr>
        <w:t xml:space="preserve"> is less than </w:t>
      </w:r>
      <w:r w:rsidR="0070178F">
        <w:rPr>
          <w:color w:val="404040" w:themeColor="text1" w:themeTint="BF"/>
          <w:szCs w:val="18"/>
        </w:rPr>
        <w:t>the</w:t>
      </w:r>
      <w:r w:rsidR="0045010B" w:rsidRPr="00474AD9">
        <w:rPr>
          <w:color w:val="404040" w:themeColor="text1" w:themeTint="BF"/>
          <w:szCs w:val="18"/>
        </w:rPr>
        <w:t xml:space="preserve"> </w:t>
      </w:r>
      <w:r w:rsidR="00B95D6B">
        <w:rPr>
          <w:color w:val="404040" w:themeColor="text1" w:themeTint="BF"/>
          <w:szCs w:val="18"/>
        </w:rPr>
        <w:t>Interest Barrier</w:t>
      </w:r>
      <w:r w:rsidR="00292865" w:rsidRPr="00474AD9">
        <w:rPr>
          <w:color w:val="404040" w:themeColor="text1" w:themeTint="BF"/>
          <w:szCs w:val="18"/>
        </w:rPr>
        <w:t>, no</w:t>
      </w:r>
      <w:r w:rsidR="004A2C56">
        <w:rPr>
          <w:color w:val="404040" w:themeColor="text1" w:themeTint="BF"/>
          <w:szCs w:val="18"/>
        </w:rPr>
        <w:t xml:space="preserve"> Contingent</w:t>
      </w:r>
      <w:r w:rsidR="00292865" w:rsidRPr="00474AD9">
        <w:rPr>
          <w:color w:val="404040" w:themeColor="text1" w:themeTint="BF"/>
          <w:szCs w:val="18"/>
        </w:rPr>
        <w:t xml:space="preserve"> Interest Payment will be made with respect to that </w:t>
      </w:r>
      <w:r w:rsidR="00593BC3" w:rsidRPr="00593BC3">
        <w:rPr>
          <w:color w:val="404040" w:themeColor="text1" w:themeTint="BF"/>
          <w:szCs w:val="18"/>
        </w:rPr>
        <w:t>Review</w:t>
      </w:r>
      <w:r w:rsidR="00AE5C1E">
        <w:rPr>
          <w:color w:val="404040" w:themeColor="text1" w:themeTint="BF"/>
          <w:szCs w:val="18"/>
        </w:rPr>
        <w:t xml:space="preserve"> </w:t>
      </w:r>
      <w:r w:rsidR="00593BC3" w:rsidRPr="00593BC3">
        <w:rPr>
          <w:color w:val="404040" w:themeColor="text1" w:themeTint="BF"/>
          <w:szCs w:val="18"/>
        </w:rPr>
        <w:t>Date.  Accordingly</w:t>
      </w:r>
      <w:r w:rsidR="00292865" w:rsidRPr="00474AD9">
        <w:rPr>
          <w:color w:val="404040" w:themeColor="text1" w:themeTint="BF"/>
          <w:szCs w:val="18"/>
        </w:rPr>
        <w:t xml:space="preserve">, if </w:t>
      </w:r>
      <w:r w:rsidR="0033216A" w:rsidRPr="00474AD9">
        <w:rPr>
          <w:color w:val="404040" w:themeColor="text1" w:themeTint="BF"/>
          <w:szCs w:val="18"/>
        </w:rPr>
        <w:t xml:space="preserve">the </w:t>
      </w:r>
      <w:r w:rsidR="00593BC3" w:rsidRPr="00593BC3">
        <w:rPr>
          <w:color w:val="404040" w:themeColor="text1" w:themeTint="BF"/>
          <w:szCs w:val="18"/>
        </w:rPr>
        <w:t>closing level of the Index</w:t>
      </w:r>
      <w:r w:rsidR="0033216A" w:rsidRPr="00474AD9">
        <w:rPr>
          <w:color w:val="404040" w:themeColor="text1" w:themeTint="BF"/>
          <w:szCs w:val="18"/>
        </w:rPr>
        <w:t xml:space="preserve"> </w:t>
      </w:r>
      <w:r w:rsidR="00292865" w:rsidRPr="00474AD9">
        <w:rPr>
          <w:color w:val="404040" w:themeColor="text1" w:themeTint="BF"/>
          <w:szCs w:val="18"/>
        </w:rPr>
        <w:t xml:space="preserve">on each </w:t>
      </w:r>
      <w:r w:rsidR="00593BC3" w:rsidRPr="00593BC3">
        <w:rPr>
          <w:color w:val="404040" w:themeColor="text1" w:themeTint="BF"/>
          <w:szCs w:val="18"/>
        </w:rPr>
        <w:t>Review</w:t>
      </w:r>
      <w:r w:rsidR="00AE5C1E">
        <w:rPr>
          <w:color w:val="404040" w:themeColor="text1" w:themeTint="BF"/>
          <w:szCs w:val="18"/>
        </w:rPr>
        <w:t xml:space="preserve"> </w:t>
      </w:r>
      <w:r w:rsidR="001C1A8B">
        <w:rPr>
          <w:color w:val="404040" w:themeColor="text1" w:themeTint="BF"/>
          <w:szCs w:val="18"/>
        </w:rPr>
        <w:t>Date</w:t>
      </w:r>
      <w:r w:rsidR="00292865" w:rsidRPr="00474AD9">
        <w:rPr>
          <w:color w:val="404040" w:themeColor="text1" w:themeTint="BF"/>
          <w:szCs w:val="18"/>
        </w:rPr>
        <w:t xml:space="preserve"> is less than </w:t>
      </w:r>
      <w:r w:rsidR="0070178F">
        <w:rPr>
          <w:color w:val="404040" w:themeColor="text1" w:themeTint="BF"/>
          <w:szCs w:val="18"/>
        </w:rPr>
        <w:t>the</w:t>
      </w:r>
      <w:r w:rsidR="0045010B" w:rsidRPr="00474AD9">
        <w:rPr>
          <w:color w:val="404040" w:themeColor="text1" w:themeTint="BF"/>
          <w:szCs w:val="18"/>
        </w:rPr>
        <w:t xml:space="preserve"> </w:t>
      </w:r>
      <w:r w:rsidR="00B95D6B">
        <w:rPr>
          <w:color w:val="404040" w:themeColor="text1" w:themeTint="BF"/>
          <w:szCs w:val="18"/>
        </w:rPr>
        <w:t>Interest Barrier</w:t>
      </w:r>
      <w:r w:rsidR="00292865" w:rsidRPr="00474AD9">
        <w:rPr>
          <w:color w:val="404040" w:themeColor="text1" w:themeTint="BF"/>
          <w:szCs w:val="18"/>
        </w:rPr>
        <w:t xml:space="preserve">, you will not receive any interest payments over the term of the </w:t>
      </w:r>
      <w:r w:rsidR="001C1A8B">
        <w:rPr>
          <w:color w:val="404040" w:themeColor="text1" w:themeTint="BF"/>
          <w:szCs w:val="18"/>
        </w:rPr>
        <w:t>notes</w:t>
      </w:r>
      <w:r w:rsidR="00292865" w:rsidRPr="00474AD9">
        <w:rPr>
          <w:color w:val="404040" w:themeColor="text1" w:themeTint="BF"/>
          <w:szCs w:val="18"/>
        </w:rPr>
        <w:t>.</w:t>
      </w:r>
    </w:p>
    <w:p w:rsidR="00ED2800" w:rsidRPr="00723013" w:rsidRDefault="00ED2800" w:rsidP="00723013">
      <w:pPr>
        <w:pStyle w:val="Heading2"/>
        <w:numPr>
          <w:ilvl w:val="0"/>
          <w:numId w:val="16"/>
        </w:numPr>
        <w:spacing w:line="288" w:lineRule="auto"/>
        <w:ind w:left="360"/>
        <w:rPr>
          <w:b/>
          <w:bCs/>
          <w:szCs w:val="18"/>
        </w:rPr>
      </w:pPr>
      <w:r w:rsidRPr="00723013">
        <w:rPr>
          <w:b/>
          <w:bCs/>
          <w:szCs w:val="18"/>
        </w:rPr>
        <w:t>CREDIT RISKS OF JPMORGAN FINANCIAL AND JPMORGAN CHASE &amp; CO</w:t>
      </w:r>
      <w:r w:rsidR="00422B5A" w:rsidRPr="00723013">
        <w:rPr>
          <w:b/>
          <w:bCs/>
          <w:szCs w:val="18"/>
        </w:rPr>
        <w:t>.</w:t>
      </w:r>
      <w:r w:rsidR="00422B5A">
        <w:rPr>
          <w:b/>
          <w:bCs/>
          <w:szCs w:val="18"/>
        </w:rPr>
        <w:t xml:space="preserve">  </w:t>
      </w:r>
      <w:r w:rsidRPr="00723013">
        <w:rPr>
          <w:b/>
          <w:bCs/>
          <w:szCs w:val="18"/>
        </w:rPr>
        <w:t xml:space="preserve">— </w:t>
      </w:r>
    </w:p>
    <w:p w:rsidR="00ED2800" w:rsidRDefault="00ED2800" w:rsidP="00ED2800">
      <w:pPr>
        <w:pStyle w:val="ListParagraph"/>
        <w:ind w:left="360"/>
        <w:rPr>
          <w:color w:val="404040" w:themeColor="text1" w:themeTint="BF"/>
          <w:szCs w:val="18"/>
        </w:rPr>
      </w:pPr>
      <w:r w:rsidRPr="005946E2">
        <w:rPr>
          <w:color w:val="404040" w:themeColor="text1" w:themeTint="BF"/>
          <w:szCs w:val="18"/>
        </w:rPr>
        <w:t xml:space="preserve">Investors are dependent on </w:t>
      </w:r>
      <w:r>
        <w:rPr>
          <w:color w:val="404040" w:themeColor="text1" w:themeTint="BF"/>
          <w:szCs w:val="18"/>
        </w:rPr>
        <w:t xml:space="preserve">our and </w:t>
      </w:r>
      <w:r w:rsidRPr="005946E2">
        <w:rPr>
          <w:color w:val="404040" w:themeColor="text1" w:themeTint="BF"/>
          <w:szCs w:val="18"/>
        </w:rPr>
        <w:t>JPMorgan Chase &amp; Co.</w:t>
      </w:r>
      <w:r w:rsidR="00593BC3">
        <w:rPr>
          <w:color w:val="404040" w:themeColor="text1" w:themeTint="BF"/>
          <w:szCs w:val="18"/>
        </w:rPr>
        <w:t>’</w:t>
      </w:r>
      <w:r w:rsidRPr="005946E2">
        <w:rPr>
          <w:color w:val="404040" w:themeColor="text1" w:themeTint="BF"/>
          <w:szCs w:val="18"/>
        </w:rPr>
        <w:t>s ability to pay all amounts due on the notes</w:t>
      </w:r>
      <w:r w:rsidR="00422B5A" w:rsidRPr="005946E2">
        <w:rPr>
          <w:color w:val="404040" w:themeColor="text1" w:themeTint="BF"/>
          <w:szCs w:val="18"/>
        </w:rPr>
        <w:t>.</w:t>
      </w:r>
      <w:r w:rsidR="00422B5A">
        <w:rPr>
          <w:color w:val="404040" w:themeColor="text1" w:themeTint="BF"/>
          <w:szCs w:val="18"/>
        </w:rPr>
        <w:t xml:space="preserve">  </w:t>
      </w:r>
      <w:r w:rsidRPr="005946E2">
        <w:rPr>
          <w:color w:val="404040" w:themeColor="text1" w:themeTint="BF"/>
          <w:szCs w:val="18"/>
        </w:rPr>
        <w:t xml:space="preserve">Any actual or potential change in our </w:t>
      </w:r>
      <w:r>
        <w:rPr>
          <w:color w:val="404040" w:themeColor="text1" w:themeTint="BF"/>
          <w:szCs w:val="18"/>
        </w:rPr>
        <w:t>or JPMorgan Chase &amp; Co.</w:t>
      </w:r>
      <w:r w:rsidR="00593BC3">
        <w:rPr>
          <w:color w:val="404040" w:themeColor="text1" w:themeTint="BF"/>
          <w:szCs w:val="18"/>
        </w:rPr>
        <w:t>’</w:t>
      </w:r>
      <w:r>
        <w:rPr>
          <w:color w:val="404040" w:themeColor="text1" w:themeTint="BF"/>
          <w:szCs w:val="18"/>
        </w:rPr>
        <w:t xml:space="preserve">s </w:t>
      </w:r>
      <w:r w:rsidRPr="005946E2">
        <w:rPr>
          <w:color w:val="404040" w:themeColor="text1" w:themeTint="BF"/>
          <w:szCs w:val="18"/>
        </w:rPr>
        <w:t>creditworthiness or credit spreads, as determined by the market for takin</w:t>
      </w:r>
      <w:r>
        <w:rPr>
          <w:color w:val="404040" w:themeColor="text1" w:themeTint="BF"/>
          <w:szCs w:val="18"/>
        </w:rPr>
        <w:t>g that</w:t>
      </w:r>
      <w:r w:rsidRPr="005946E2">
        <w:rPr>
          <w:color w:val="404040" w:themeColor="text1" w:themeTint="BF"/>
          <w:szCs w:val="18"/>
        </w:rPr>
        <w:t xml:space="preserve"> credit risk, is likely to adversely affect the value of the notes</w:t>
      </w:r>
      <w:r w:rsidR="00422B5A" w:rsidRPr="005946E2">
        <w:rPr>
          <w:color w:val="404040" w:themeColor="text1" w:themeTint="BF"/>
          <w:szCs w:val="18"/>
        </w:rPr>
        <w:t>.</w:t>
      </w:r>
      <w:r w:rsidR="00422B5A">
        <w:rPr>
          <w:color w:val="404040" w:themeColor="text1" w:themeTint="BF"/>
          <w:szCs w:val="18"/>
        </w:rPr>
        <w:t xml:space="preserve">  </w:t>
      </w:r>
      <w:r w:rsidRPr="005946E2">
        <w:rPr>
          <w:color w:val="404040" w:themeColor="text1" w:themeTint="BF"/>
          <w:szCs w:val="18"/>
        </w:rPr>
        <w:t xml:space="preserve">If we </w:t>
      </w:r>
      <w:r>
        <w:rPr>
          <w:color w:val="404040" w:themeColor="text1" w:themeTint="BF"/>
          <w:szCs w:val="18"/>
        </w:rPr>
        <w:t xml:space="preserve">and JPMorgan Chase &amp; </w:t>
      </w:r>
      <w:r w:rsidR="00422B5A">
        <w:rPr>
          <w:color w:val="404040" w:themeColor="text1" w:themeTint="BF"/>
          <w:szCs w:val="18"/>
        </w:rPr>
        <w:t xml:space="preserve">Co. </w:t>
      </w:r>
      <w:r w:rsidRPr="005946E2">
        <w:rPr>
          <w:color w:val="404040" w:themeColor="text1" w:themeTint="BF"/>
          <w:szCs w:val="18"/>
        </w:rPr>
        <w:t>were to default on our payment obligations, you may not receive any amounts owed to you under the notes and you could lose your entire investment.</w:t>
      </w:r>
    </w:p>
    <w:p w:rsidR="00ED2800" w:rsidRPr="00723013" w:rsidRDefault="00ED2800" w:rsidP="00723013">
      <w:pPr>
        <w:pStyle w:val="Heading2"/>
        <w:numPr>
          <w:ilvl w:val="0"/>
          <w:numId w:val="16"/>
        </w:numPr>
        <w:spacing w:line="288" w:lineRule="auto"/>
        <w:ind w:left="360"/>
        <w:rPr>
          <w:b/>
          <w:bCs/>
          <w:szCs w:val="18"/>
        </w:rPr>
      </w:pPr>
      <w:r w:rsidRPr="00723013">
        <w:rPr>
          <w:b/>
          <w:bCs/>
          <w:szCs w:val="18"/>
        </w:rPr>
        <w:t xml:space="preserve">AS A FINANCE SUBSIDIARY, JPMORGAN FINANCIAL HAS NO INDEPENDENT OPERATIONS AND HAS LIMITED ASSETS — </w:t>
      </w:r>
    </w:p>
    <w:p w:rsidR="00ED2800" w:rsidRPr="00ED59A3" w:rsidRDefault="00ED2800" w:rsidP="00ED2800">
      <w:pPr>
        <w:pStyle w:val="ListParagraph"/>
        <w:ind w:left="360"/>
        <w:rPr>
          <w:color w:val="404040" w:themeColor="text1" w:themeTint="BF"/>
          <w:szCs w:val="18"/>
        </w:rPr>
      </w:pPr>
      <w:r w:rsidRPr="00ED59A3">
        <w:rPr>
          <w:color w:val="404040" w:themeColor="text1" w:themeTint="BF"/>
          <w:szCs w:val="18"/>
        </w:rPr>
        <w:t>As a finance subsidiary of JPMorgan Chase &amp; Co., we have no independent operations beyond the issuance and administration of our securities</w:t>
      </w:r>
      <w:r w:rsidR="00422B5A" w:rsidRPr="00ED59A3">
        <w:rPr>
          <w:color w:val="404040" w:themeColor="text1" w:themeTint="BF"/>
          <w:szCs w:val="18"/>
        </w:rPr>
        <w:t>.</w:t>
      </w:r>
      <w:r w:rsidR="00422B5A">
        <w:rPr>
          <w:color w:val="404040" w:themeColor="text1" w:themeTint="BF"/>
          <w:szCs w:val="18"/>
        </w:rPr>
        <w:t xml:space="preserve">  </w:t>
      </w:r>
      <w:r w:rsidRPr="00ED59A3">
        <w:rPr>
          <w:color w:val="404040" w:themeColor="text1" w:themeTint="BF"/>
          <w:szCs w:val="18"/>
        </w:rPr>
        <w:t>Aside from the initial capital contribution from JPMorgan Chase &amp; Co., substantially all of our assets relate to obligations of our affiliates to make payments under loans made by us or other intercompany agreements</w:t>
      </w:r>
      <w:r w:rsidR="00422B5A" w:rsidRPr="00ED59A3">
        <w:rPr>
          <w:color w:val="404040" w:themeColor="text1" w:themeTint="BF"/>
          <w:szCs w:val="18"/>
        </w:rPr>
        <w:t>.</w:t>
      </w:r>
      <w:r w:rsidR="00422B5A">
        <w:rPr>
          <w:color w:val="404040" w:themeColor="text1" w:themeTint="BF"/>
          <w:szCs w:val="18"/>
        </w:rPr>
        <w:t xml:space="preserve">  </w:t>
      </w:r>
      <w:r w:rsidRPr="00ED59A3">
        <w:rPr>
          <w:color w:val="404040" w:themeColor="text1" w:themeTint="BF"/>
          <w:szCs w:val="18"/>
        </w:rPr>
        <w:t>As a result, we are dependent upon payments from our affiliates to meet our obligations under the notes</w:t>
      </w:r>
      <w:r w:rsidR="00422B5A" w:rsidRPr="00ED59A3">
        <w:rPr>
          <w:color w:val="404040" w:themeColor="text1" w:themeTint="BF"/>
          <w:szCs w:val="18"/>
        </w:rPr>
        <w:t>.</w:t>
      </w:r>
      <w:r w:rsidR="00422B5A">
        <w:rPr>
          <w:color w:val="404040" w:themeColor="text1" w:themeTint="BF"/>
          <w:szCs w:val="18"/>
        </w:rPr>
        <w:t xml:space="preserve">  </w:t>
      </w:r>
      <w:r w:rsidRPr="00ED59A3">
        <w:rPr>
          <w:color w:val="404040" w:themeColor="text1" w:themeTint="BF"/>
          <w:szCs w:val="18"/>
        </w:rPr>
        <w:t xml:space="preserve">If these affiliates do not make payments to us and we fail to make payments on the notes, you may have to seek payment under the related guarantee by JPMorgan Chase &amp; Co., and that guarantee will rank </w:t>
      </w:r>
      <w:r w:rsidRPr="0068485E">
        <w:rPr>
          <w:i/>
          <w:iCs/>
          <w:color w:val="404040" w:themeColor="text1" w:themeTint="BF"/>
          <w:szCs w:val="18"/>
        </w:rPr>
        <w:t>pari passu</w:t>
      </w:r>
      <w:r w:rsidRPr="00ED59A3">
        <w:rPr>
          <w:color w:val="404040" w:themeColor="text1" w:themeTint="BF"/>
          <w:szCs w:val="18"/>
        </w:rPr>
        <w:t xml:space="preserve"> with all other unsecured and unsubordinated obligations of JPMorgan Chase &amp; Co.</w:t>
      </w:r>
    </w:p>
    <w:p w:rsidR="00292865" w:rsidRPr="00723013" w:rsidRDefault="00292865" w:rsidP="00474AD9">
      <w:pPr>
        <w:pStyle w:val="Heading2"/>
        <w:numPr>
          <w:ilvl w:val="0"/>
          <w:numId w:val="16"/>
        </w:numPr>
        <w:spacing w:line="288" w:lineRule="auto"/>
        <w:ind w:left="360"/>
        <w:rPr>
          <w:b/>
          <w:bCs/>
          <w:szCs w:val="18"/>
        </w:rPr>
      </w:pPr>
      <w:r w:rsidRPr="00723013">
        <w:rPr>
          <w:b/>
          <w:bCs/>
          <w:szCs w:val="18"/>
        </w:rPr>
        <w:t xml:space="preserve">THE APPRECIATION POTENTIAL OF THE </w:t>
      </w:r>
      <w:r w:rsidR="00365C23" w:rsidRPr="00723013">
        <w:rPr>
          <w:b/>
          <w:bCs/>
          <w:szCs w:val="18"/>
        </w:rPr>
        <w:t>NOTES</w:t>
      </w:r>
      <w:r w:rsidRPr="00723013">
        <w:rPr>
          <w:b/>
          <w:bCs/>
          <w:szCs w:val="18"/>
        </w:rPr>
        <w:t xml:space="preserve"> IS LIMITED TO THE SUM OF ANY CONTINGENT INTEREST PAYMENTS THAT MAY BE PAID OVER THE TERM OF THE </w:t>
      </w:r>
      <w:r w:rsidR="00365C23" w:rsidRPr="00723013">
        <w:rPr>
          <w:b/>
          <w:bCs/>
          <w:szCs w:val="18"/>
        </w:rPr>
        <w:t>NOTES</w:t>
      </w:r>
      <w:r w:rsidRPr="00723013">
        <w:rPr>
          <w:b/>
          <w:bCs/>
          <w:szCs w:val="18"/>
        </w:rPr>
        <w:t xml:space="preserve">, </w:t>
      </w:r>
    </w:p>
    <w:p w:rsidR="00292865" w:rsidRPr="00474AD9" w:rsidRDefault="00292865" w:rsidP="00B16C33">
      <w:pPr>
        <w:pStyle w:val="ListParagraph"/>
        <w:ind w:left="360"/>
        <w:rPr>
          <w:color w:val="404040" w:themeColor="text1" w:themeTint="BF"/>
          <w:szCs w:val="18"/>
        </w:rPr>
      </w:pPr>
      <w:r w:rsidRPr="00474AD9">
        <w:rPr>
          <w:color w:val="404040" w:themeColor="text1" w:themeTint="BF"/>
          <w:szCs w:val="18"/>
        </w:rPr>
        <w:t xml:space="preserve">regardless of any appreciation </w:t>
      </w:r>
      <w:r w:rsidR="00593BC3" w:rsidRPr="00593BC3">
        <w:rPr>
          <w:color w:val="404040" w:themeColor="text1" w:themeTint="BF"/>
          <w:szCs w:val="18"/>
        </w:rPr>
        <w:t>of the Index</w:t>
      </w:r>
      <w:r w:rsidRPr="00474AD9">
        <w:rPr>
          <w:color w:val="404040" w:themeColor="text1" w:themeTint="BF"/>
          <w:szCs w:val="18"/>
        </w:rPr>
        <w:t>, which may be significant</w:t>
      </w:r>
      <w:r w:rsidR="00422B5A" w:rsidRPr="00474AD9">
        <w:rPr>
          <w:color w:val="404040" w:themeColor="text1" w:themeTint="BF"/>
          <w:szCs w:val="18"/>
        </w:rPr>
        <w:t>.</w:t>
      </w:r>
      <w:r w:rsidR="00422B5A">
        <w:rPr>
          <w:color w:val="404040" w:themeColor="text1" w:themeTint="BF"/>
          <w:szCs w:val="18"/>
        </w:rPr>
        <w:t xml:space="preserve">  </w:t>
      </w:r>
      <w:r w:rsidRPr="00474AD9">
        <w:rPr>
          <w:color w:val="404040" w:themeColor="text1" w:themeTint="BF"/>
          <w:szCs w:val="18"/>
        </w:rPr>
        <w:t xml:space="preserve">You will not participate in any appreciation </w:t>
      </w:r>
      <w:r w:rsidR="00593BC3" w:rsidRPr="00593BC3">
        <w:rPr>
          <w:color w:val="404040" w:themeColor="text1" w:themeTint="BF"/>
          <w:szCs w:val="18"/>
        </w:rPr>
        <w:t>of the Index</w:t>
      </w:r>
      <w:r w:rsidRPr="00474AD9">
        <w:rPr>
          <w:color w:val="404040" w:themeColor="text1" w:themeTint="BF"/>
          <w:szCs w:val="18"/>
        </w:rPr>
        <w:t>.</w:t>
      </w:r>
    </w:p>
    <w:p w:rsidR="001040ED" w:rsidRPr="00FA4387" w:rsidRDefault="00B33391" w:rsidP="00723013">
      <w:pPr>
        <w:pStyle w:val="Heading2"/>
        <w:numPr>
          <w:ilvl w:val="0"/>
          <w:numId w:val="16"/>
        </w:numPr>
        <w:spacing w:line="288" w:lineRule="auto"/>
        <w:ind w:left="360"/>
        <w:rPr>
          <w:b/>
          <w:bCs/>
          <w:color w:val="404040"/>
          <w:szCs w:val="18"/>
        </w:rPr>
      </w:pPr>
      <w:r w:rsidRPr="00FA4387">
        <w:rPr>
          <w:b/>
          <w:bCs/>
          <w:color w:val="404040"/>
          <w:szCs w:val="18"/>
        </w:rPr>
        <w:lastRenderedPageBreak/>
        <w:t>THE AUTOMATIC CALL</w:t>
      </w:r>
      <w:r w:rsidR="001040ED" w:rsidRPr="00FA4387">
        <w:rPr>
          <w:b/>
          <w:bCs/>
          <w:color w:val="404040"/>
          <w:szCs w:val="18"/>
        </w:rPr>
        <w:t xml:space="preserve"> FEATURE MAY FORCE A POTENTIAL EARLY EXIT —</w:t>
      </w:r>
    </w:p>
    <w:p w:rsidR="001040ED" w:rsidRPr="00474AD9" w:rsidRDefault="001040ED" w:rsidP="002B3D2B">
      <w:pPr>
        <w:pStyle w:val="ListParagraph"/>
        <w:ind w:left="360"/>
        <w:rPr>
          <w:color w:val="404040" w:themeColor="text1" w:themeTint="BF"/>
          <w:szCs w:val="18"/>
        </w:rPr>
      </w:pPr>
      <w:r w:rsidRPr="00474AD9">
        <w:rPr>
          <w:color w:val="404040" w:themeColor="text1" w:themeTint="BF"/>
          <w:szCs w:val="18"/>
        </w:rPr>
        <w:t xml:space="preserve">If your </w:t>
      </w:r>
      <w:r w:rsidR="001C1A8B">
        <w:rPr>
          <w:color w:val="404040" w:themeColor="text1" w:themeTint="BF"/>
          <w:szCs w:val="18"/>
        </w:rPr>
        <w:t>notes</w:t>
      </w:r>
      <w:r w:rsidRPr="00474AD9">
        <w:rPr>
          <w:color w:val="404040" w:themeColor="text1" w:themeTint="BF"/>
          <w:szCs w:val="18"/>
        </w:rPr>
        <w:t xml:space="preserve"> are </w:t>
      </w:r>
      <w:r w:rsidR="00B33391">
        <w:rPr>
          <w:color w:val="404040" w:themeColor="text1" w:themeTint="BF"/>
          <w:szCs w:val="18"/>
        </w:rPr>
        <w:t>automatically called</w:t>
      </w:r>
      <w:r w:rsidRPr="00474AD9">
        <w:rPr>
          <w:color w:val="404040" w:themeColor="text1" w:themeTint="BF"/>
          <w:szCs w:val="18"/>
        </w:rPr>
        <w:t xml:space="preserve">, the term of the </w:t>
      </w:r>
      <w:r w:rsidR="001C1A8B">
        <w:rPr>
          <w:color w:val="404040" w:themeColor="text1" w:themeTint="BF"/>
          <w:szCs w:val="18"/>
        </w:rPr>
        <w:t>notes</w:t>
      </w:r>
      <w:r w:rsidR="004A2C56">
        <w:rPr>
          <w:color w:val="404040" w:themeColor="text1" w:themeTint="BF"/>
          <w:szCs w:val="18"/>
        </w:rPr>
        <w:t xml:space="preserve"> may be reduced to as short as </w:t>
      </w:r>
      <w:r w:rsidR="004E4CF2">
        <w:rPr>
          <w:color w:val="404040" w:themeColor="text1" w:themeTint="BF"/>
          <w:szCs w:val="18"/>
        </w:rPr>
        <w:t>approximately</w:t>
      </w:r>
      <w:r w:rsidR="002B3D2B">
        <w:rPr>
          <w:bCs w:val="0"/>
          <w:color w:val="404040" w:themeColor="text1" w:themeTint="BF"/>
        </w:rPr>
        <w:t xml:space="preserve"> six</w:t>
      </w:r>
      <w:r w:rsidR="00F14A3D">
        <w:rPr>
          <w:bCs w:val="0"/>
          <w:color w:val="404040" w:themeColor="text1" w:themeTint="BF"/>
        </w:rPr>
        <w:t xml:space="preserve"> months</w:t>
      </w:r>
      <w:r w:rsidR="00B30087" w:rsidRPr="008D0CDF">
        <w:rPr>
          <w:color w:val="404040" w:themeColor="text1" w:themeTint="BF"/>
          <w:szCs w:val="18"/>
        </w:rPr>
        <w:t xml:space="preserve"> a</w:t>
      </w:r>
      <w:r w:rsidR="00B30087" w:rsidRPr="00474AD9">
        <w:rPr>
          <w:color w:val="404040" w:themeColor="text1" w:themeTint="BF"/>
          <w:szCs w:val="18"/>
        </w:rPr>
        <w:t>nd you will not receive any Contingent Interest Payments after the applicable</w:t>
      </w:r>
      <w:r w:rsidR="004A2C56">
        <w:rPr>
          <w:color w:val="404040" w:themeColor="text1" w:themeTint="BF"/>
          <w:szCs w:val="18"/>
        </w:rPr>
        <w:t xml:space="preserve"> Call Settlement</w:t>
      </w:r>
      <w:r w:rsidR="00B30087" w:rsidRPr="00474AD9">
        <w:rPr>
          <w:color w:val="404040" w:themeColor="text1" w:themeTint="BF"/>
          <w:szCs w:val="18"/>
        </w:rPr>
        <w:t xml:space="preserve"> Date</w:t>
      </w:r>
      <w:r w:rsidR="00422B5A" w:rsidRPr="00474AD9">
        <w:rPr>
          <w:color w:val="404040" w:themeColor="text1" w:themeTint="BF"/>
          <w:szCs w:val="18"/>
        </w:rPr>
        <w:t>.</w:t>
      </w:r>
      <w:r w:rsidR="00422B5A">
        <w:rPr>
          <w:color w:val="404040" w:themeColor="text1" w:themeTint="BF"/>
          <w:szCs w:val="18"/>
        </w:rPr>
        <w:t xml:space="preserve">  </w:t>
      </w:r>
      <w:r w:rsidR="00B30087" w:rsidRPr="00474AD9">
        <w:rPr>
          <w:color w:val="404040" w:themeColor="text1" w:themeTint="BF"/>
          <w:szCs w:val="18"/>
        </w:rPr>
        <w:t xml:space="preserve">There is no guarantee that you would be able to reinvest the proceeds from an investment in the </w:t>
      </w:r>
      <w:r w:rsidR="001C1A8B">
        <w:rPr>
          <w:color w:val="404040" w:themeColor="text1" w:themeTint="BF"/>
          <w:szCs w:val="18"/>
        </w:rPr>
        <w:t>notes</w:t>
      </w:r>
      <w:r w:rsidR="00B30087" w:rsidRPr="00474AD9">
        <w:rPr>
          <w:color w:val="404040" w:themeColor="text1" w:themeTint="BF"/>
          <w:szCs w:val="18"/>
        </w:rPr>
        <w:t xml:space="preserve"> at a comparable return and/or with a comparable interest rate for a similar </w:t>
      </w:r>
      <w:r w:rsidR="00755A98">
        <w:rPr>
          <w:color w:val="404040" w:themeColor="text1" w:themeTint="BF"/>
          <w:szCs w:val="18"/>
        </w:rPr>
        <w:t>level</w:t>
      </w:r>
      <w:r w:rsidR="00B30087" w:rsidRPr="00474AD9">
        <w:rPr>
          <w:color w:val="404040" w:themeColor="text1" w:themeTint="BF"/>
          <w:szCs w:val="18"/>
        </w:rPr>
        <w:t xml:space="preserve"> of risk</w:t>
      </w:r>
      <w:r w:rsidR="00422B5A" w:rsidRPr="00474AD9">
        <w:rPr>
          <w:color w:val="404040" w:themeColor="text1" w:themeTint="BF"/>
          <w:szCs w:val="18"/>
        </w:rPr>
        <w:t>.</w:t>
      </w:r>
      <w:r w:rsidR="00422B5A">
        <w:rPr>
          <w:color w:val="404040" w:themeColor="text1" w:themeTint="BF"/>
          <w:szCs w:val="18"/>
        </w:rPr>
        <w:t xml:space="preserve">  </w:t>
      </w:r>
      <w:r w:rsidR="0011608E">
        <w:rPr>
          <w:color w:val="404040" w:themeColor="text1" w:themeTint="BF"/>
          <w:szCs w:val="18"/>
        </w:rPr>
        <w:t>Even in cases where the notes are called before maturity, you are not entitled to any fees and commissions described on the front cover of this pricing supplement.</w:t>
      </w:r>
    </w:p>
    <w:p w:rsidR="000D469E" w:rsidRPr="00B16C33" w:rsidRDefault="006F7B12" w:rsidP="00B16C33">
      <w:pPr>
        <w:keepNext/>
        <w:keepLines/>
        <w:numPr>
          <w:ilvl w:val="0"/>
          <w:numId w:val="16"/>
        </w:numPr>
        <w:spacing w:after="80"/>
        <w:ind w:left="360"/>
        <w:outlineLvl w:val="1"/>
        <w:rPr>
          <w:color w:val="404040"/>
          <w:szCs w:val="18"/>
        </w:rPr>
      </w:pPr>
      <w:r w:rsidRPr="00B16C33">
        <w:rPr>
          <w:b/>
          <w:bCs w:val="0"/>
          <w:color w:val="404040"/>
          <w:szCs w:val="18"/>
        </w:rPr>
        <w:t xml:space="preserve">YOU WILL NOT RECEIVE DIVIDENDS ON THE </w:t>
      </w:r>
      <w:r w:rsidR="00593BC3" w:rsidRPr="00B16C33">
        <w:rPr>
          <w:b/>
          <w:color w:val="404040"/>
          <w:szCs w:val="18"/>
        </w:rPr>
        <w:t>SECURITIES INCLUDED IN THE INDEX</w:t>
      </w:r>
      <w:r w:rsidR="001D67E6" w:rsidRPr="00B16C33">
        <w:rPr>
          <w:b/>
          <w:bCs w:val="0"/>
          <w:color w:val="404040"/>
          <w:szCs w:val="18"/>
        </w:rPr>
        <w:t xml:space="preserve"> </w:t>
      </w:r>
      <w:r w:rsidRPr="00B16C33">
        <w:rPr>
          <w:b/>
          <w:bCs w:val="0"/>
          <w:color w:val="404040"/>
          <w:szCs w:val="18"/>
        </w:rPr>
        <w:t>OR HAVE</w:t>
      </w:r>
      <w:r w:rsidR="005A1166" w:rsidRPr="00B16C33">
        <w:rPr>
          <w:b/>
          <w:bCs w:val="0"/>
          <w:color w:val="404040"/>
          <w:szCs w:val="18"/>
        </w:rPr>
        <w:t xml:space="preserve"> ANY RIGHTS WITH RESPECT TO </w:t>
      </w:r>
      <w:r w:rsidR="00593BC3" w:rsidRPr="00B16C33">
        <w:rPr>
          <w:b/>
          <w:color w:val="404040"/>
          <w:szCs w:val="18"/>
        </w:rPr>
        <w:t>THOSE SECURITIES</w:t>
      </w:r>
      <w:r w:rsidRPr="00B16C33">
        <w:rPr>
          <w:b/>
          <w:bCs w:val="0"/>
          <w:color w:val="404040"/>
          <w:szCs w:val="18"/>
        </w:rPr>
        <w:t>.</w:t>
      </w:r>
    </w:p>
    <w:p w:rsidR="00292865" w:rsidRPr="00B16C33" w:rsidRDefault="00292865" w:rsidP="00354555">
      <w:pPr>
        <w:pStyle w:val="Heading2"/>
        <w:numPr>
          <w:ilvl w:val="0"/>
          <w:numId w:val="16"/>
        </w:numPr>
        <w:spacing w:line="288" w:lineRule="auto"/>
        <w:ind w:left="360"/>
        <w:rPr>
          <w:b/>
          <w:bCs/>
          <w:color w:val="404040"/>
          <w:szCs w:val="18"/>
        </w:rPr>
      </w:pPr>
      <w:r w:rsidRPr="00B16C33">
        <w:rPr>
          <w:b/>
          <w:bCs/>
          <w:color w:val="404040"/>
          <w:szCs w:val="18"/>
        </w:rPr>
        <w:t xml:space="preserve">THE RISK OF THE </w:t>
      </w:r>
      <w:r w:rsidR="00593BC3" w:rsidRPr="00B16C33">
        <w:rPr>
          <w:b/>
          <w:bCs/>
          <w:color w:val="404040"/>
          <w:szCs w:val="18"/>
        </w:rPr>
        <w:t>CLOSING LEVEL OF THE INDEX</w:t>
      </w:r>
      <w:r w:rsidR="00513696" w:rsidRPr="00B16C33">
        <w:rPr>
          <w:b/>
          <w:bCs/>
          <w:color w:val="404040"/>
          <w:szCs w:val="18"/>
        </w:rPr>
        <w:t xml:space="preserve"> </w:t>
      </w:r>
      <w:r w:rsidRPr="00B16C33">
        <w:rPr>
          <w:b/>
          <w:bCs/>
          <w:color w:val="404040"/>
          <w:szCs w:val="18"/>
        </w:rPr>
        <w:t xml:space="preserve">FALLING BELOW </w:t>
      </w:r>
      <w:r w:rsidR="0070178F" w:rsidRPr="00B16C33">
        <w:rPr>
          <w:b/>
          <w:bCs/>
          <w:color w:val="404040"/>
          <w:szCs w:val="18"/>
        </w:rPr>
        <w:t>THE</w:t>
      </w:r>
      <w:r w:rsidR="00513696" w:rsidRPr="00B16C33">
        <w:rPr>
          <w:b/>
          <w:bCs/>
          <w:color w:val="404040"/>
          <w:szCs w:val="18"/>
        </w:rPr>
        <w:t xml:space="preserve"> </w:t>
      </w:r>
      <w:r w:rsidR="00B95D6B" w:rsidRPr="00B16C33">
        <w:rPr>
          <w:b/>
          <w:bCs/>
          <w:color w:val="404040"/>
          <w:szCs w:val="18"/>
        </w:rPr>
        <w:t>INTEREST BARRIER</w:t>
      </w:r>
      <w:r w:rsidRPr="00B16C33">
        <w:rPr>
          <w:b/>
          <w:bCs/>
          <w:color w:val="404040"/>
          <w:szCs w:val="18"/>
        </w:rPr>
        <w:t xml:space="preserve"> OR </w:t>
      </w:r>
      <w:r w:rsidR="00C50AF1" w:rsidRPr="00B16C33">
        <w:rPr>
          <w:b/>
          <w:bCs/>
          <w:color w:val="404040"/>
          <w:szCs w:val="18"/>
        </w:rPr>
        <w:t xml:space="preserve">THE </w:t>
      </w:r>
      <w:r w:rsidR="00C10CC0">
        <w:rPr>
          <w:b/>
          <w:bCs/>
          <w:color w:val="404040"/>
          <w:szCs w:val="18"/>
        </w:rPr>
        <w:t>BUFFER THRESHOLD</w:t>
      </w:r>
      <w:r w:rsidR="00CD51B4" w:rsidRPr="00B16C33">
        <w:rPr>
          <w:b/>
          <w:bCs/>
          <w:color w:val="404040"/>
          <w:szCs w:val="18"/>
        </w:rPr>
        <w:t xml:space="preserve"> </w:t>
      </w:r>
      <w:r w:rsidRPr="00B16C33">
        <w:rPr>
          <w:b/>
          <w:bCs/>
          <w:color w:val="404040"/>
          <w:szCs w:val="18"/>
        </w:rPr>
        <w:t xml:space="preserve">IS GREATER IF THE </w:t>
      </w:r>
      <w:r w:rsidR="00593BC3" w:rsidRPr="00B16C33">
        <w:rPr>
          <w:b/>
          <w:bCs/>
          <w:color w:val="404040"/>
          <w:szCs w:val="18"/>
        </w:rPr>
        <w:t>LEVEL OF THE INDEX</w:t>
      </w:r>
      <w:r w:rsidR="00513696" w:rsidRPr="00B16C33">
        <w:rPr>
          <w:b/>
          <w:bCs/>
          <w:color w:val="404040"/>
          <w:szCs w:val="18"/>
        </w:rPr>
        <w:t xml:space="preserve"> </w:t>
      </w:r>
      <w:r w:rsidRPr="00B16C33">
        <w:rPr>
          <w:b/>
          <w:bCs/>
          <w:color w:val="404040"/>
          <w:szCs w:val="18"/>
        </w:rPr>
        <w:t>IS VOLATILE.</w:t>
      </w:r>
    </w:p>
    <w:p w:rsidR="008460C2" w:rsidRPr="00B16C33" w:rsidRDefault="008460C2" w:rsidP="00474AD9">
      <w:pPr>
        <w:pStyle w:val="Heading2"/>
        <w:numPr>
          <w:ilvl w:val="0"/>
          <w:numId w:val="16"/>
        </w:numPr>
        <w:spacing w:line="288" w:lineRule="auto"/>
        <w:ind w:left="360"/>
        <w:rPr>
          <w:b/>
          <w:bCs/>
          <w:color w:val="404040"/>
          <w:szCs w:val="18"/>
        </w:rPr>
      </w:pPr>
      <w:r w:rsidRPr="00B16C33">
        <w:rPr>
          <w:b/>
          <w:bCs/>
          <w:color w:val="404040"/>
          <w:szCs w:val="18"/>
        </w:rPr>
        <w:t xml:space="preserve">LACK OF LIQUIDITY — </w:t>
      </w:r>
    </w:p>
    <w:p w:rsidR="00EA0A70" w:rsidRPr="00474AD9" w:rsidRDefault="00491AB4" w:rsidP="00532289">
      <w:pPr>
        <w:pStyle w:val="ListParagraph"/>
        <w:ind w:left="360"/>
        <w:rPr>
          <w:color w:val="404040" w:themeColor="text1" w:themeTint="BF"/>
          <w:szCs w:val="18"/>
        </w:rPr>
      </w:pPr>
      <w:r w:rsidRPr="00151920">
        <w:rPr>
          <w:color w:val="404040" w:themeColor="text1" w:themeTint="BF"/>
          <w:szCs w:val="18"/>
        </w:rPr>
        <w:t xml:space="preserve">The notes will not be listed on any securities exchange.  Accordingly, the price at which you may be able to trade your notes is likely to depend on the price, if any, at which </w:t>
      </w:r>
      <w:r w:rsidR="00532289">
        <w:rPr>
          <w:color w:val="404040" w:themeColor="text1" w:themeTint="BF"/>
          <w:szCs w:val="18"/>
        </w:rPr>
        <w:t>JPMS</w:t>
      </w:r>
      <w:r w:rsidRPr="00151920">
        <w:rPr>
          <w:color w:val="404040" w:themeColor="text1" w:themeTint="BF"/>
          <w:szCs w:val="18"/>
        </w:rPr>
        <w:t xml:space="preserve"> is willing to buy the notes.  You may not be able to sell your notes.  The notes are not designed to be short-term trading instruments.  Accordingly, you should be able and willing to hold your notes to maturity</w:t>
      </w:r>
      <w:r w:rsidR="00CE19CF" w:rsidRPr="00474AD9">
        <w:rPr>
          <w:color w:val="404040" w:themeColor="text1" w:themeTint="BF"/>
          <w:szCs w:val="18"/>
        </w:rPr>
        <w:t>.</w:t>
      </w:r>
    </w:p>
    <w:p w:rsidR="00571576" w:rsidRPr="00723013" w:rsidRDefault="008460C2" w:rsidP="00474AD9">
      <w:pPr>
        <w:pStyle w:val="Heading2"/>
        <w:numPr>
          <w:ilvl w:val="0"/>
          <w:numId w:val="16"/>
        </w:numPr>
        <w:spacing w:line="288" w:lineRule="auto"/>
        <w:ind w:left="360"/>
        <w:rPr>
          <w:b/>
          <w:bCs/>
          <w:szCs w:val="18"/>
        </w:rPr>
      </w:pPr>
      <w:r w:rsidRPr="00723013">
        <w:rPr>
          <w:b/>
          <w:bCs/>
          <w:szCs w:val="18"/>
        </w:rPr>
        <w:t xml:space="preserve">THE </w:t>
      </w:r>
      <w:r w:rsidR="00C61B38" w:rsidRPr="00723013">
        <w:rPr>
          <w:b/>
          <w:bCs/>
          <w:szCs w:val="18"/>
        </w:rPr>
        <w:t>FINAL TERMS AND VALUATION</w:t>
      </w:r>
      <w:r w:rsidR="00571576" w:rsidRPr="00723013">
        <w:rPr>
          <w:b/>
          <w:bCs/>
          <w:szCs w:val="18"/>
        </w:rPr>
        <w:t xml:space="preserve"> </w:t>
      </w:r>
      <w:r w:rsidRPr="00723013">
        <w:rPr>
          <w:b/>
          <w:bCs/>
          <w:szCs w:val="18"/>
        </w:rPr>
        <w:t xml:space="preserve">OF THE </w:t>
      </w:r>
      <w:r w:rsidR="00365C23" w:rsidRPr="00723013">
        <w:rPr>
          <w:b/>
          <w:bCs/>
          <w:szCs w:val="18"/>
        </w:rPr>
        <w:t>NOTES</w:t>
      </w:r>
      <w:r w:rsidRPr="00723013">
        <w:rPr>
          <w:b/>
          <w:bCs/>
          <w:szCs w:val="18"/>
        </w:rPr>
        <w:t xml:space="preserve"> WILL BE PROVIDED IN THE PRICING SUPPLEMENT —</w:t>
      </w:r>
    </w:p>
    <w:p w:rsidR="00CE43AE" w:rsidRDefault="008460C2" w:rsidP="0011723E">
      <w:pPr>
        <w:pStyle w:val="ListParagraph"/>
        <w:ind w:left="360"/>
        <w:rPr>
          <w:color w:val="404040" w:themeColor="text1" w:themeTint="BF"/>
        </w:rPr>
      </w:pPr>
      <w:r w:rsidRPr="00474AD9">
        <w:rPr>
          <w:color w:val="404040" w:themeColor="text1" w:themeTint="BF"/>
          <w:szCs w:val="18"/>
        </w:rPr>
        <w:t xml:space="preserve">You should consider your potential investment in the </w:t>
      </w:r>
      <w:r w:rsidR="001C1A8B">
        <w:rPr>
          <w:color w:val="404040" w:themeColor="text1" w:themeTint="BF"/>
          <w:szCs w:val="18"/>
        </w:rPr>
        <w:t>notes</w:t>
      </w:r>
      <w:r w:rsidRPr="00474AD9">
        <w:rPr>
          <w:color w:val="404040" w:themeColor="text1" w:themeTint="BF"/>
          <w:szCs w:val="18"/>
        </w:rPr>
        <w:t xml:space="preserve"> based on the </w:t>
      </w:r>
      <w:r w:rsidR="00593BC3" w:rsidRPr="00593BC3">
        <w:rPr>
          <w:color w:val="404040" w:themeColor="text1" w:themeTint="BF"/>
        </w:rPr>
        <w:t>minimums for the estimated value of the notes and the Contingent Interest Rate.</w:t>
      </w:r>
    </w:p>
    <w:p w:rsidR="00507292" w:rsidRPr="003E0F99" w:rsidRDefault="00507292" w:rsidP="00507292">
      <w:pPr>
        <w:keepNext/>
        <w:keepLines/>
        <w:spacing w:after="80"/>
        <w:outlineLvl w:val="1"/>
        <w:rPr>
          <w:rFonts w:eastAsiaTheme="majorEastAsia" w:cstheme="majorBidi"/>
          <w:b/>
          <w:bCs w:val="0"/>
          <w:color w:val="54301A"/>
          <w:szCs w:val="18"/>
        </w:rPr>
      </w:pPr>
      <w:r w:rsidRPr="003E0F99">
        <w:rPr>
          <w:rFonts w:eastAsiaTheme="majorEastAsia" w:cstheme="majorBidi"/>
          <w:b/>
          <w:bCs w:val="0"/>
          <w:color w:val="54301A"/>
          <w:szCs w:val="18"/>
        </w:rPr>
        <w:t xml:space="preserve">Risks Relating to </w:t>
      </w:r>
      <w:r>
        <w:rPr>
          <w:rFonts w:eastAsiaTheme="majorEastAsia" w:cstheme="majorBidi"/>
          <w:b/>
          <w:bCs w:val="0"/>
          <w:color w:val="54301A"/>
          <w:szCs w:val="18"/>
        </w:rPr>
        <w:t>Conflicts of Interest</w:t>
      </w:r>
    </w:p>
    <w:p w:rsidR="00507292" w:rsidRPr="00723013" w:rsidRDefault="00507292" w:rsidP="00507292">
      <w:pPr>
        <w:pStyle w:val="Heading2"/>
        <w:numPr>
          <w:ilvl w:val="0"/>
          <w:numId w:val="16"/>
        </w:numPr>
        <w:spacing w:line="288" w:lineRule="auto"/>
        <w:ind w:left="360"/>
        <w:rPr>
          <w:b/>
          <w:bCs/>
          <w:szCs w:val="18"/>
        </w:rPr>
      </w:pPr>
      <w:r w:rsidRPr="00723013">
        <w:rPr>
          <w:b/>
          <w:bCs/>
          <w:szCs w:val="18"/>
        </w:rPr>
        <w:t xml:space="preserve">POTENTIAL CONFLICTS — </w:t>
      </w:r>
    </w:p>
    <w:p w:rsidR="00507292" w:rsidRDefault="00507292" w:rsidP="00507292">
      <w:pPr>
        <w:keepNext/>
        <w:keepLines/>
        <w:spacing w:before="160"/>
        <w:ind w:left="360"/>
        <w:outlineLvl w:val="1"/>
        <w:rPr>
          <w:rFonts w:eastAsia="PMingLiU" w:cs="Times New Roman"/>
          <w:b/>
          <w:color w:val="404040"/>
          <w:szCs w:val="18"/>
        </w:rPr>
      </w:pPr>
      <w:r w:rsidRPr="00ED2800">
        <w:rPr>
          <w:color w:val="404040" w:themeColor="text1" w:themeTint="BF"/>
          <w:szCs w:val="18"/>
        </w:rPr>
        <w:t>We and our affiliates play a variety of roles in connection with the notes.</w:t>
      </w:r>
      <w:r>
        <w:rPr>
          <w:color w:val="404040" w:themeColor="text1" w:themeTint="BF"/>
          <w:szCs w:val="18"/>
        </w:rPr>
        <w:t xml:space="preserve">  </w:t>
      </w:r>
      <w:r w:rsidRPr="00ED2800">
        <w:rPr>
          <w:color w:val="404040" w:themeColor="text1" w:themeTint="BF"/>
          <w:szCs w:val="18"/>
        </w:rPr>
        <w:t>In performing these duties, our and JPMorgan Chase &amp; Co.</w:t>
      </w:r>
      <w:r>
        <w:rPr>
          <w:color w:val="404040" w:themeColor="text1" w:themeTint="BF"/>
          <w:szCs w:val="18"/>
        </w:rPr>
        <w:t>’</w:t>
      </w:r>
      <w:r w:rsidRPr="00ED2800">
        <w:rPr>
          <w:color w:val="404040" w:themeColor="text1" w:themeTint="BF"/>
          <w:szCs w:val="18"/>
        </w:rPr>
        <w:t>s economic interests are potentially adverse to your interests as an investor in the notes.</w:t>
      </w:r>
      <w:r>
        <w:rPr>
          <w:color w:val="404040" w:themeColor="text1" w:themeTint="BF"/>
          <w:szCs w:val="18"/>
        </w:rPr>
        <w:t xml:space="preserve">  </w:t>
      </w:r>
      <w:r w:rsidRPr="00ED2800">
        <w:rPr>
          <w:color w:val="404040" w:themeColor="text1" w:themeTint="BF"/>
          <w:szCs w:val="18"/>
        </w:rPr>
        <w:t>It is possible that hedging or trading activities of ours or our affiliates in connection with the notes could result in substantial returns for us or our affiliates while the value of the notes declines.</w:t>
      </w:r>
      <w:r>
        <w:rPr>
          <w:color w:val="404040" w:themeColor="text1" w:themeTint="BF"/>
          <w:szCs w:val="18"/>
        </w:rPr>
        <w:t xml:space="preserve">  </w:t>
      </w:r>
      <w:r w:rsidRPr="00ED2800">
        <w:rPr>
          <w:color w:val="404040" w:themeColor="text1" w:themeTint="BF"/>
          <w:szCs w:val="18"/>
        </w:rPr>
        <w:t xml:space="preserve">Please refer to </w:t>
      </w:r>
      <w:r>
        <w:rPr>
          <w:color w:val="404040" w:themeColor="text1" w:themeTint="BF"/>
          <w:szCs w:val="18"/>
        </w:rPr>
        <w:t>“</w:t>
      </w:r>
      <w:r w:rsidRPr="00ED2800">
        <w:rPr>
          <w:color w:val="404040" w:themeColor="text1" w:themeTint="BF"/>
          <w:szCs w:val="18"/>
        </w:rPr>
        <w:t>Risk Factors — Risks Relating to Conflicts of Interest</w:t>
      </w:r>
      <w:r>
        <w:rPr>
          <w:color w:val="404040" w:themeColor="text1" w:themeTint="BF"/>
          <w:szCs w:val="18"/>
        </w:rPr>
        <w:t>”</w:t>
      </w:r>
      <w:r w:rsidRPr="00ED2800">
        <w:rPr>
          <w:color w:val="404040" w:themeColor="text1" w:themeTint="BF"/>
          <w:szCs w:val="18"/>
        </w:rPr>
        <w:t xml:space="preserve"> in the accompanying product </w:t>
      </w:r>
      <w:r w:rsidRPr="00FA4387">
        <w:rPr>
          <w:color w:val="404040"/>
          <w:szCs w:val="18"/>
        </w:rPr>
        <w:t>supplement.</w:t>
      </w:r>
    </w:p>
    <w:p w:rsidR="00507292" w:rsidRPr="00507292" w:rsidRDefault="00507292" w:rsidP="00507292">
      <w:pPr>
        <w:keepNext/>
        <w:keepLines/>
        <w:spacing w:after="80"/>
        <w:outlineLvl w:val="1"/>
        <w:rPr>
          <w:rFonts w:eastAsiaTheme="majorEastAsia" w:cstheme="majorBidi"/>
          <w:b/>
          <w:bCs w:val="0"/>
          <w:color w:val="54301A"/>
          <w:szCs w:val="18"/>
        </w:rPr>
      </w:pPr>
      <w:r w:rsidRPr="003E0F99">
        <w:rPr>
          <w:rFonts w:eastAsiaTheme="majorEastAsia" w:cstheme="majorBidi"/>
          <w:b/>
          <w:bCs w:val="0"/>
          <w:color w:val="54301A"/>
          <w:szCs w:val="18"/>
        </w:rPr>
        <w:t xml:space="preserve">Risks Relating to the </w:t>
      </w:r>
      <w:r>
        <w:rPr>
          <w:rFonts w:eastAsiaTheme="majorEastAsia" w:cstheme="majorBidi"/>
          <w:b/>
          <w:bCs w:val="0"/>
          <w:color w:val="54301A"/>
          <w:szCs w:val="18"/>
        </w:rPr>
        <w:t>Estimated Value and Secondary Market Prices of the Notes</w:t>
      </w:r>
    </w:p>
    <w:p w:rsidR="00F50DB4" w:rsidRPr="00723013" w:rsidRDefault="00F50DB4" w:rsidP="00723013">
      <w:pPr>
        <w:pStyle w:val="Heading2"/>
        <w:numPr>
          <w:ilvl w:val="0"/>
          <w:numId w:val="16"/>
        </w:numPr>
        <w:spacing w:line="288" w:lineRule="auto"/>
        <w:ind w:left="360"/>
        <w:rPr>
          <w:b/>
          <w:bCs/>
          <w:szCs w:val="18"/>
        </w:rPr>
      </w:pPr>
      <w:r w:rsidRPr="00723013">
        <w:rPr>
          <w:b/>
          <w:bCs/>
          <w:szCs w:val="18"/>
        </w:rPr>
        <w:t xml:space="preserve">THE ESTIMATED VALUE OF THE NOTES </w:t>
      </w:r>
      <w:r w:rsidR="00593BC3" w:rsidRPr="00593BC3">
        <w:rPr>
          <w:b/>
          <w:bCs/>
          <w:szCs w:val="18"/>
        </w:rPr>
        <w:t>WILL</w:t>
      </w:r>
      <w:r w:rsidRPr="00723013">
        <w:rPr>
          <w:b/>
          <w:bCs/>
          <w:szCs w:val="18"/>
        </w:rPr>
        <w:t xml:space="preserve"> BE LOWER THAN THE ORIGINAL ISSUE PRICE (PRICE TO PUBLIC) OF THE NOTES — </w:t>
      </w:r>
    </w:p>
    <w:p w:rsidR="00F50DB4" w:rsidRPr="005946E2" w:rsidRDefault="00F50DB4" w:rsidP="001F74E3">
      <w:pPr>
        <w:pStyle w:val="ListParagraph"/>
        <w:ind w:left="360"/>
        <w:rPr>
          <w:color w:val="404040" w:themeColor="text1" w:themeTint="BF"/>
          <w:szCs w:val="18"/>
        </w:rPr>
      </w:pPr>
      <w:r>
        <w:rPr>
          <w:color w:val="404040" w:themeColor="text1" w:themeTint="BF"/>
          <w:szCs w:val="18"/>
        </w:rPr>
        <w:t>The</w:t>
      </w:r>
      <w:r w:rsidRPr="005946E2">
        <w:rPr>
          <w:color w:val="404040" w:themeColor="text1" w:themeTint="BF"/>
          <w:szCs w:val="18"/>
        </w:rPr>
        <w:t xml:space="preserve"> estimated value</w:t>
      </w:r>
      <w:r>
        <w:rPr>
          <w:color w:val="404040" w:themeColor="text1" w:themeTint="BF"/>
          <w:szCs w:val="18"/>
        </w:rPr>
        <w:t xml:space="preserve"> of the notes</w:t>
      </w:r>
      <w:r w:rsidRPr="005946E2">
        <w:rPr>
          <w:color w:val="404040" w:themeColor="text1" w:themeTint="BF"/>
          <w:szCs w:val="18"/>
        </w:rPr>
        <w:t xml:space="preserve"> is only an estimate </w:t>
      </w:r>
      <w:r>
        <w:rPr>
          <w:color w:val="404040" w:themeColor="text1" w:themeTint="BF"/>
          <w:szCs w:val="18"/>
        </w:rPr>
        <w:t>determined by reference to</w:t>
      </w:r>
      <w:r w:rsidRPr="005946E2">
        <w:rPr>
          <w:color w:val="404040" w:themeColor="text1" w:themeTint="BF"/>
          <w:szCs w:val="18"/>
        </w:rPr>
        <w:t xml:space="preserve"> several factors</w:t>
      </w:r>
      <w:r w:rsidR="00422B5A" w:rsidRPr="005946E2">
        <w:rPr>
          <w:color w:val="404040" w:themeColor="text1" w:themeTint="BF"/>
          <w:szCs w:val="18"/>
        </w:rPr>
        <w:t>.</w:t>
      </w:r>
      <w:r w:rsidR="00422B5A">
        <w:rPr>
          <w:color w:val="404040" w:themeColor="text1" w:themeTint="BF"/>
          <w:szCs w:val="18"/>
        </w:rPr>
        <w:t xml:space="preserve">  </w:t>
      </w:r>
      <w:r w:rsidRPr="005946E2">
        <w:rPr>
          <w:color w:val="404040" w:themeColor="text1" w:themeTint="BF"/>
          <w:szCs w:val="18"/>
        </w:rPr>
        <w:t xml:space="preserve">The original issue price of the notes </w:t>
      </w:r>
      <w:r w:rsidR="00593BC3" w:rsidRPr="00593BC3">
        <w:rPr>
          <w:bCs w:val="0"/>
          <w:color w:val="404040" w:themeColor="text1" w:themeTint="BF"/>
        </w:rPr>
        <w:t>will</w:t>
      </w:r>
      <w:r w:rsidRPr="005946E2">
        <w:rPr>
          <w:color w:val="404040" w:themeColor="text1" w:themeTint="BF"/>
          <w:szCs w:val="18"/>
        </w:rPr>
        <w:t xml:space="preserve"> exceed </w:t>
      </w:r>
      <w:r>
        <w:rPr>
          <w:color w:val="404040" w:themeColor="text1" w:themeTint="BF"/>
          <w:szCs w:val="18"/>
        </w:rPr>
        <w:t>the</w:t>
      </w:r>
      <w:r w:rsidRPr="005946E2">
        <w:rPr>
          <w:color w:val="404040" w:themeColor="text1" w:themeTint="BF"/>
          <w:szCs w:val="18"/>
        </w:rPr>
        <w:t xml:space="preserve"> estimated value</w:t>
      </w:r>
      <w:r>
        <w:rPr>
          <w:color w:val="404040" w:themeColor="text1" w:themeTint="BF"/>
          <w:szCs w:val="18"/>
        </w:rPr>
        <w:t xml:space="preserve"> of the notes</w:t>
      </w:r>
      <w:r w:rsidRPr="005946E2">
        <w:rPr>
          <w:color w:val="404040" w:themeColor="text1" w:themeTint="BF"/>
          <w:szCs w:val="18"/>
        </w:rPr>
        <w:t xml:space="preserve"> because costs associated </w:t>
      </w:r>
      <w:r w:rsidR="00593BC3" w:rsidRPr="00593BC3">
        <w:rPr>
          <w:color w:val="404040" w:themeColor="text1" w:themeTint="BF"/>
        </w:rPr>
        <w:t>with</w:t>
      </w:r>
      <w:r w:rsidR="00532289">
        <w:rPr>
          <w:color w:val="404040" w:themeColor="text1" w:themeTint="BF"/>
        </w:rPr>
        <w:t xml:space="preserve"> </w:t>
      </w:r>
      <w:r w:rsidR="000A2EF6" w:rsidRPr="000A2EF6">
        <w:rPr>
          <w:color w:val="404040" w:themeColor="text1" w:themeTint="BF"/>
        </w:rPr>
        <w:t xml:space="preserve">selling, </w:t>
      </w:r>
      <w:r w:rsidR="001F74E3">
        <w:rPr>
          <w:color w:val="404040" w:themeColor="text1" w:themeTint="BF"/>
        </w:rPr>
        <w:t>s</w:t>
      </w:r>
      <w:r w:rsidRPr="005946E2">
        <w:rPr>
          <w:color w:val="404040" w:themeColor="text1" w:themeTint="BF"/>
          <w:szCs w:val="18"/>
        </w:rPr>
        <w:t>tructuring and hedging the notes are included in the original issue price of the</w:t>
      </w:r>
      <w:r>
        <w:rPr>
          <w:color w:val="404040" w:themeColor="text1" w:themeTint="BF"/>
          <w:szCs w:val="18"/>
        </w:rPr>
        <w:t xml:space="preserve"> notes</w:t>
      </w:r>
      <w:r w:rsidR="00422B5A">
        <w:rPr>
          <w:color w:val="404040" w:themeColor="text1" w:themeTint="BF"/>
          <w:szCs w:val="18"/>
        </w:rPr>
        <w:t xml:space="preserve">.  </w:t>
      </w:r>
      <w:r>
        <w:rPr>
          <w:color w:val="404040" w:themeColor="text1" w:themeTint="BF"/>
          <w:szCs w:val="18"/>
        </w:rPr>
        <w:t xml:space="preserve">These costs </w:t>
      </w:r>
      <w:r w:rsidR="00593BC3" w:rsidRPr="00593BC3">
        <w:rPr>
          <w:color w:val="404040" w:themeColor="text1" w:themeTint="BF"/>
        </w:rPr>
        <w:t>include</w:t>
      </w:r>
      <w:r>
        <w:rPr>
          <w:color w:val="404040" w:themeColor="text1" w:themeTint="BF"/>
          <w:szCs w:val="18"/>
        </w:rPr>
        <w:t xml:space="preserve"> </w:t>
      </w:r>
      <w:r w:rsidR="000A2EF6" w:rsidRPr="000A2EF6">
        <w:rPr>
          <w:color w:val="404040" w:themeColor="text1" w:themeTint="BF"/>
          <w:szCs w:val="18"/>
        </w:rPr>
        <w:t xml:space="preserve">the selling commissions, </w:t>
      </w:r>
      <w:r w:rsidR="004A4A66">
        <w:rPr>
          <w:color w:val="404040" w:themeColor="text1" w:themeTint="BF"/>
          <w:szCs w:val="18"/>
        </w:rPr>
        <w:t xml:space="preserve">the </w:t>
      </w:r>
      <w:r w:rsidRPr="005946E2">
        <w:rPr>
          <w:color w:val="404040" w:themeColor="text1" w:themeTint="BF"/>
          <w:szCs w:val="18"/>
        </w:rPr>
        <w:t>projected profits, if any, that our affiliates expect to realize for assuming risks inherent in hedging our obligations under the notes and the estimated cost of hedging our obligations under the notes</w:t>
      </w:r>
      <w:r w:rsidR="00422B5A" w:rsidRPr="005946E2">
        <w:rPr>
          <w:color w:val="404040" w:themeColor="text1" w:themeTint="BF"/>
          <w:szCs w:val="18"/>
        </w:rPr>
        <w:t>.</w:t>
      </w:r>
      <w:r w:rsidR="00422B5A">
        <w:rPr>
          <w:color w:val="404040" w:themeColor="text1" w:themeTint="BF"/>
          <w:szCs w:val="18"/>
        </w:rPr>
        <w:t xml:space="preserve">  </w:t>
      </w:r>
      <w:r w:rsidRPr="005946E2">
        <w:rPr>
          <w:color w:val="404040" w:themeColor="text1" w:themeTint="BF"/>
          <w:szCs w:val="18"/>
        </w:rPr>
        <w:t xml:space="preserve">See </w:t>
      </w:r>
      <w:r w:rsidR="00593BC3">
        <w:rPr>
          <w:color w:val="404040" w:themeColor="text1" w:themeTint="BF"/>
          <w:szCs w:val="18"/>
        </w:rPr>
        <w:t>“</w:t>
      </w:r>
      <w:r>
        <w:rPr>
          <w:color w:val="404040" w:themeColor="text1" w:themeTint="BF"/>
          <w:szCs w:val="18"/>
        </w:rPr>
        <w:t>The</w:t>
      </w:r>
      <w:r w:rsidRPr="005946E2">
        <w:rPr>
          <w:color w:val="404040" w:themeColor="text1" w:themeTint="BF"/>
          <w:szCs w:val="18"/>
        </w:rPr>
        <w:t xml:space="preserve"> Estimated Value of the Notes</w:t>
      </w:r>
      <w:r w:rsidR="00593BC3">
        <w:rPr>
          <w:color w:val="404040" w:themeColor="text1" w:themeTint="BF"/>
          <w:szCs w:val="18"/>
        </w:rPr>
        <w:t>”</w:t>
      </w:r>
      <w:r w:rsidRPr="005946E2">
        <w:rPr>
          <w:color w:val="404040" w:themeColor="text1" w:themeTint="BF"/>
          <w:szCs w:val="18"/>
        </w:rPr>
        <w:t xml:space="preserve"> in </w:t>
      </w:r>
      <w:r>
        <w:rPr>
          <w:color w:val="404040" w:themeColor="text1" w:themeTint="BF"/>
          <w:szCs w:val="18"/>
        </w:rPr>
        <w:t>this pricing supplement</w:t>
      </w:r>
      <w:r w:rsidRPr="005946E2">
        <w:rPr>
          <w:color w:val="404040" w:themeColor="text1" w:themeTint="BF"/>
          <w:szCs w:val="18"/>
        </w:rPr>
        <w:t>.</w:t>
      </w:r>
    </w:p>
    <w:p w:rsidR="00F50DB4" w:rsidRPr="00723013" w:rsidRDefault="00F50DB4" w:rsidP="00723013">
      <w:pPr>
        <w:pStyle w:val="Heading2"/>
        <w:numPr>
          <w:ilvl w:val="0"/>
          <w:numId w:val="16"/>
        </w:numPr>
        <w:spacing w:line="288" w:lineRule="auto"/>
        <w:ind w:left="360"/>
        <w:rPr>
          <w:b/>
          <w:bCs/>
          <w:szCs w:val="18"/>
        </w:rPr>
      </w:pPr>
      <w:r w:rsidRPr="00723013">
        <w:rPr>
          <w:b/>
          <w:bCs/>
          <w:szCs w:val="18"/>
        </w:rPr>
        <w:t>THE ESTIMATED VALUE OF THE NOTES DOES NOT REPRESENT FUTURE VALUES OF THE NOTES AND MAY DIFFER FROM OTHERS</w:t>
      </w:r>
      <w:r w:rsidR="00593BC3">
        <w:rPr>
          <w:b/>
          <w:bCs/>
          <w:szCs w:val="18"/>
        </w:rPr>
        <w:t>’</w:t>
      </w:r>
      <w:r w:rsidRPr="00723013">
        <w:rPr>
          <w:b/>
          <w:bCs/>
          <w:szCs w:val="18"/>
        </w:rPr>
        <w:t xml:space="preserve"> ESTIMATES — </w:t>
      </w:r>
    </w:p>
    <w:p w:rsidR="00F50DB4" w:rsidRPr="005946E2" w:rsidRDefault="00F50DB4" w:rsidP="00F50DB4">
      <w:pPr>
        <w:pStyle w:val="ListParagraph"/>
        <w:ind w:left="360"/>
        <w:rPr>
          <w:color w:val="404040" w:themeColor="text1" w:themeTint="BF"/>
          <w:szCs w:val="18"/>
        </w:rPr>
      </w:pPr>
      <w:r w:rsidRPr="005946E2">
        <w:rPr>
          <w:color w:val="404040" w:themeColor="text1" w:themeTint="BF"/>
          <w:szCs w:val="18"/>
        </w:rPr>
        <w:t xml:space="preserve">See </w:t>
      </w:r>
      <w:r w:rsidR="00593BC3">
        <w:rPr>
          <w:color w:val="404040" w:themeColor="text1" w:themeTint="BF"/>
          <w:szCs w:val="18"/>
        </w:rPr>
        <w:t>“</w:t>
      </w:r>
      <w:r>
        <w:rPr>
          <w:color w:val="404040" w:themeColor="text1" w:themeTint="BF"/>
          <w:szCs w:val="18"/>
        </w:rPr>
        <w:t>The</w:t>
      </w:r>
      <w:r w:rsidRPr="005946E2">
        <w:rPr>
          <w:color w:val="404040" w:themeColor="text1" w:themeTint="BF"/>
          <w:szCs w:val="18"/>
        </w:rPr>
        <w:t xml:space="preserve"> Estimated Value of the Notes</w:t>
      </w:r>
      <w:r w:rsidR="00593BC3">
        <w:rPr>
          <w:color w:val="404040" w:themeColor="text1" w:themeTint="BF"/>
          <w:szCs w:val="18"/>
        </w:rPr>
        <w:t>”</w:t>
      </w:r>
      <w:r w:rsidRPr="005946E2">
        <w:rPr>
          <w:color w:val="404040" w:themeColor="text1" w:themeTint="BF"/>
          <w:szCs w:val="18"/>
        </w:rPr>
        <w:t xml:space="preserve"> in </w:t>
      </w:r>
      <w:r>
        <w:rPr>
          <w:color w:val="404040" w:themeColor="text1" w:themeTint="BF"/>
          <w:szCs w:val="18"/>
        </w:rPr>
        <w:t>this pricing supplement</w:t>
      </w:r>
      <w:r w:rsidRPr="005946E2">
        <w:rPr>
          <w:color w:val="404040" w:themeColor="text1" w:themeTint="BF"/>
          <w:szCs w:val="18"/>
        </w:rPr>
        <w:t>.</w:t>
      </w:r>
    </w:p>
    <w:p w:rsidR="00F50DB4" w:rsidRPr="00723013" w:rsidRDefault="00F50DB4" w:rsidP="00723013">
      <w:pPr>
        <w:pStyle w:val="Heading2"/>
        <w:numPr>
          <w:ilvl w:val="0"/>
          <w:numId w:val="16"/>
        </w:numPr>
        <w:spacing w:line="288" w:lineRule="auto"/>
        <w:ind w:left="360"/>
        <w:rPr>
          <w:b/>
          <w:bCs/>
          <w:szCs w:val="18"/>
        </w:rPr>
      </w:pPr>
      <w:r w:rsidRPr="00723013">
        <w:rPr>
          <w:b/>
          <w:bCs/>
          <w:szCs w:val="18"/>
        </w:rPr>
        <w:t xml:space="preserve">THE ESTIMATED VALUE OF THE NOTES IS DERIVED BY REFERENCE TO AN INTERNAL FUNDING RATE — </w:t>
      </w:r>
    </w:p>
    <w:p w:rsidR="00F50DB4" w:rsidRPr="0068485E" w:rsidRDefault="00491AB4" w:rsidP="00F50DB4">
      <w:pPr>
        <w:pStyle w:val="ListParagraph"/>
        <w:ind w:left="360"/>
        <w:rPr>
          <w:color w:val="404040"/>
          <w:szCs w:val="18"/>
        </w:rPr>
      </w:pPr>
      <w:r w:rsidRPr="005946E2">
        <w:rPr>
          <w:color w:val="404040" w:themeColor="text1" w:themeTint="BF"/>
          <w:szCs w:val="18"/>
        </w:rPr>
        <w:t xml:space="preserve">The internal funding rate used in the determination of </w:t>
      </w:r>
      <w:r>
        <w:rPr>
          <w:color w:val="404040" w:themeColor="text1" w:themeTint="BF"/>
          <w:szCs w:val="18"/>
        </w:rPr>
        <w:t>the</w:t>
      </w:r>
      <w:r w:rsidRPr="005946E2">
        <w:rPr>
          <w:color w:val="404040" w:themeColor="text1" w:themeTint="BF"/>
          <w:szCs w:val="18"/>
        </w:rPr>
        <w:t xml:space="preserve"> estimated value</w:t>
      </w:r>
      <w:r>
        <w:rPr>
          <w:color w:val="404040" w:themeColor="text1" w:themeTint="BF"/>
          <w:szCs w:val="18"/>
        </w:rPr>
        <w:t xml:space="preserve"> of the notes </w:t>
      </w:r>
      <w:bookmarkStart w:id="1" w:name="_cp_text_1_114"/>
      <w:r w:rsidRPr="009B22ED">
        <w:rPr>
          <w:color w:val="404040" w:themeColor="text1" w:themeTint="BF"/>
          <w:szCs w:val="18"/>
        </w:rPr>
        <w:t>may differ from the market-implied funding rate for vanilla fixed income instruments of a similar maturity issued by JPMorgan Chase &amp; Co. or its affiliates.  Any difference may be</w:t>
      </w:r>
      <w:bookmarkEnd w:id="1"/>
      <w:r w:rsidRPr="009B22ED">
        <w:rPr>
          <w:color w:val="404040" w:themeColor="text1" w:themeTint="BF"/>
          <w:szCs w:val="18"/>
        </w:rPr>
        <w:t xml:space="preserve"> </w:t>
      </w:r>
      <w:r w:rsidRPr="005946E2">
        <w:rPr>
          <w:color w:val="404040" w:themeColor="text1" w:themeTint="BF"/>
          <w:szCs w:val="18"/>
        </w:rPr>
        <w:t xml:space="preserve">based on, among other things, </w:t>
      </w:r>
      <w:r>
        <w:rPr>
          <w:color w:val="404040" w:themeColor="text1" w:themeTint="BF"/>
          <w:szCs w:val="18"/>
        </w:rPr>
        <w:t>our and our affiliates’</w:t>
      </w:r>
      <w:r w:rsidRPr="005946E2">
        <w:rPr>
          <w:color w:val="404040" w:themeColor="text1" w:themeTint="BF"/>
          <w:szCs w:val="18"/>
        </w:rPr>
        <w:t xml:space="preserve"> view of the funding value of the notes as well as the</w:t>
      </w:r>
      <w:r>
        <w:rPr>
          <w:color w:val="404040" w:themeColor="text1" w:themeTint="BF"/>
          <w:szCs w:val="18"/>
        </w:rPr>
        <w:t xml:space="preserve"> higher</w:t>
      </w:r>
      <w:r w:rsidRPr="005946E2">
        <w:rPr>
          <w:color w:val="404040" w:themeColor="text1" w:themeTint="BF"/>
          <w:szCs w:val="18"/>
        </w:rPr>
        <w:t xml:space="preserve"> issuance, operational and ongoing liabilit</w:t>
      </w:r>
      <w:r>
        <w:rPr>
          <w:color w:val="404040" w:themeColor="text1" w:themeTint="BF"/>
          <w:szCs w:val="18"/>
        </w:rPr>
        <w:t>y management costs of the notes</w:t>
      </w:r>
      <w:r w:rsidRPr="00AA518A">
        <w:rPr>
          <w:color w:val="404040" w:themeColor="text1" w:themeTint="BF"/>
          <w:szCs w:val="18"/>
        </w:rPr>
        <w:t xml:space="preserve"> in comparison to those costs for the conventional fixed</w:t>
      </w:r>
      <w:r>
        <w:rPr>
          <w:color w:val="404040" w:themeColor="text1" w:themeTint="BF"/>
          <w:szCs w:val="18"/>
        </w:rPr>
        <w:t xml:space="preserve"> income instruments</w:t>
      </w:r>
      <w:r w:rsidRPr="00AA518A">
        <w:rPr>
          <w:color w:val="404040" w:themeColor="text1" w:themeTint="BF"/>
          <w:szCs w:val="18"/>
        </w:rPr>
        <w:t xml:space="preserve"> of JPMorgan Chase &amp; Co</w:t>
      </w:r>
      <w:r>
        <w:rPr>
          <w:color w:val="404040" w:themeColor="text1" w:themeTint="BF"/>
          <w:szCs w:val="18"/>
        </w:rPr>
        <w:t xml:space="preserve">.  </w:t>
      </w:r>
      <w:r w:rsidRPr="00D20806">
        <w:rPr>
          <w:color w:val="404040" w:themeColor="text1" w:themeTint="BF"/>
          <w:szCs w:val="18"/>
        </w:rPr>
        <w:t xml:space="preserve">This internal funding rate is based on certain market inputs and assumptions, which may prove to be incorrect, and is intended to approximate the prevailing market replacement funding rate for the notes.  </w:t>
      </w:r>
      <w:r>
        <w:rPr>
          <w:color w:val="404040" w:themeColor="text1" w:themeTint="BF"/>
          <w:szCs w:val="18"/>
        </w:rPr>
        <w:t>The</w:t>
      </w:r>
      <w:r w:rsidRPr="005946E2">
        <w:rPr>
          <w:color w:val="404040" w:themeColor="text1" w:themeTint="BF"/>
          <w:szCs w:val="18"/>
        </w:rPr>
        <w:t xml:space="preserve"> use of an internal funding rate </w:t>
      </w:r>
      <w:r w:rsidRPr="00B77543">
        <w:rPr>
          <w:color w:val="404040" w:themeColor="text1" w:themeTint="BF"/>
          <w:szCs w:val="18"/>
        </w:rPr>
        <w:t>and any potential changes to th</w:t>
      </w:r>
      <w:r>
        <w:rPr>
          <w:color w:val="404040" w:themeColor="text1" w:themeTint="BF"/>
          <w:szCs w:val="18"/>
        </w:rPr>
        <w:t>at</w:t>
      </w:r>
      <w:r w:rsidRPr="00B77543">
        <w:rPr>
          <w:color w:val="404040" w:themeColor="text1" w:themeTint="BF"/>
          <w:szCs w:val="18"/>
        </w:rPr>
        <w:t xml:space="preserve"> rate may</w:t>
      </w:r>
      <w:r>
        <w:rPr>
          <w:color w:val="404040" w:themeColor="text1" w:themeTint="BF"/>
          <w:szCs w:val="18"/>
        </w:rPr>
        <w:t xml:space="preserve"> </w:t>
      </w:r>
      <w:r w:rsidRPr="005946E2">
        <w:rPr>
          <w:color w:val="404040" w:themeColor="text1" w:themeTint="BF"/>
          <w:szCs w:val="18"/>
        </w:rPr>
        <w:t xml:space="preserve">have an adverse effect on the terms of the notes and any secondary market prices of the notes.  See </w:t>
      </w:r>
      <w:r>
        <w:rPr>
          <w:color w:val="404040" w:themeColor="text1" w:themeTint="BF"/>
          <w:szCs w:val="18"/>
        </w:rPr>
        <w:t>“The</w:t>
      </w:r>
      <w:r w:rsidRPr="005946E2">
        <w:rPr>
          <w:color w:val="404040" w:themeColor="text1" w:themeTint="BF"/>
          <w:szCs w:val="18"/>
        </w:rPr>
        <w:t xml:space="preserve"> Estimated Value of the Notes</w:t>
      </w:r>
      <w:r>
        <w:rPr>
          <w:color w:val="404040" w:themeColor="text1" w:themeTint="BF"/>
          <w:szCs w:val="18"/>
        </w:rPr>
        <w:t>”</w:t>
      </w:r>
      <w:r w:rsidRPr="005946E2">
        <w:rPr>
          <w:color w:val="404040" w:themeColor="text1" w:themeTint="BF"/>
          <w:szCs w:val="18"/>
        </w:rPr>
        <w:t xml:space="preserve"> in </w:t>
      </w:r>
      <w:r>
        <w:rPr>
          <w:color w:val="404040" w:themeColor="text1" w:themeTint="BF"/>
          <w:szCs w:val="18"/>
        </w:rPr>
        <w:t>this pricing supplement</w:t>
      </w:r>
      <w:r w:rsidR="00F50DB4" w:rsidRPr="0068485E">
        <w:rPr>
          <w:color w:val="404040"/>
          <w:szCs w:val="18"/>
        </w:rPr>
        <w:t>.</w:t>
      </w:r>
    </w:p>
    <w:p w:rsidR="00F50DB4" w:rsidRPr="00723013" w:rsidRDefault="00F50DB4" w:rsidP="00723013">
      <w:pPr>
        <w:pStyle w:val="Heading2"/>
        <w:numPr>
          <w:ilvl w:val="0"/>
          <w:numId w:val="16"/>
        </w:numPr>
        <w:spacing w:line="288" w:lineRule="auto"/>
        <w:ind w:left="360"/>
        <w:rPr>
          <w:b/>
          <w:bCs/>
          <w:szCs w:val="18"/>
        </w:rPr>
      </w:pPr>
      <w:r w:rsidRPr="00723013">
        <w:rPr>
          <w:b/>
          <w:bCs/>
          <w:szCs w:val="18"/>
        </w:rPr>
        <w:lastRenderedPageBreak/>
        <w:t xml:space="preserve">THE VALUE OF THE NOTES AS PUBLISHED BY JPMS (AND WHICH MAY BE REFLECTED ON CUSTOMER ACCOUNT STATEMENTS) MAY BE HIGHER THAN THE THEN-CURRENT ESTIMATED VALUE OF THE NOTES FOR A LIMITED TIME PERIOD — </w:t>
      </w:r>
    </w:p>
    <w:p w:rsidR="00F50DB4" w:rsidRPr="005946E2" w:rsidRDefault="00F50DB4" w:rsidP="00F50DB4">
      <w:pPr>
        <w:pStyle w:val="ListParagraph"/>
        <w:ind w:left="360"/>
        <w:rPr>
          <w:color w:val="404040" w:themeColor="text1" w:themeTint="BF"/>
          <w:szCs w:val="18"/>
        </w:rPr>
      </w:pPr>
      <w:r w:rsidRPr="005946E2">
        <w:rPr>
          <w:color w:val="404040" w:themeColor="text1" w:themeTint="BF"/>
          <w:szCs w:val="18"/>
        </w:rPr>
        <w:t>We generally expect that some of the costs included in the original issue price of the notes will be partially paid back to you in connection with any repurchases of your notes by JPMS in an amount that will decline to zero over an initial predetermined period</w:t>
      </w:r>
      <w:r w:rsidR="00422B5A" w:rsidRPr="005946E2">
        <w:rPr>
          <w:color w:val="404040" w:themeColor="text1" w:themeTint="BF"/>
          <w:szCs w:val="18"/>
        </w:rPr>
        <w:t>.</w:t>
      </w:r>
      <w:r w:rsidR="00422B5A">
        <w:rPr>
          <w:color w:val="404040" w:themeColor="text1" w:themeTint="BF"/>
          <w:szCs w:val="18"/>
        </w:rPr>
        <w:t xml:space="preserve">  </w:t>
      </w:r>
      <w:r w:rsidRPr="005946E2">
        <w:rPr>
          <w:color w:val="404040" w:themeColor="text1" w:themeTint="BF"/>
          <w:szCs w:val="18"/>
        </w:rPr>
        <w:t xml:space="preserve">See </w:t>
      </w:r>
      <w:r w:rsidR="00593BC3">
        <w:rPr>
          <w:color w:val="404040" w:themeColor="text1" w:themeTint="BF"/>
          <w:szCs w:val="18"/>
        </w:rPr>
        <w:t>“</w:t>
      </w:r>
      <w:r>
        <w:rPr>
          <w:color w:val="404040" w:themeColor="text1" w:themeTint="BF"/>
          <w:szCs w:val="18"/>
        </w:rPr>
        <w:t>Secondary Market P</w:t>
      </w:r>
      <w:r w:rsidRPr="005946E2">
        <w:rPr>
          <w:color w:val="404040" w:themeColor="text1" w:themeTint="BF"/>
          <w:szCs w:val="18"/>
        </w:rPr>
        <w:t>rices of the Notes</w:t>
      </w:r>
      <w:r w:rsidR="00593BC3">
        <w:rPr>
          <w:color w:val="404040" w:themeColor="text1" w:themeTint="BF"/>
          <w:szCs w:val="18"/>
        </w:rPr>
        <w:t>”</w:t>
      </w:r>
      <w:r w:rsidRPr="005946E2">
        <w:rPr>
          <w:color w:val="404040" w:themeColor="text1" w:themeTint="BF"/>
          <w:szCs w:val="18"/>
        </w:rPr>
        <w:t xml:space="preserve"> in </w:t>
      </w:r>
      <w:r>
        <w:rPr>
          <w:color w:val="404040" w:themeColor="text1" w:themeTint="BF"/>
          <w:szCs w:val="18"/>
        </w:rPr>
        <w:t>this pricing supplement</w:t>
      </w:r>
      <w:r w:rsidRPr="005946E2">
        <w:rPr>
          <w:color w:val="404040" w:themeColor="text1" w:themeTint="BF"/>
          <w:szCs w:val="18"/>
        </w:rPr>
        <w:t xml:space="preserve"> for additional information relating to this initial period</w:t>
      </w:r>
      <w:r w:rsidR="00422B5A" w:rsidRPr="005946E2">
        <w:rPr>
          <w:color w:val="404040" w:themeColor="text1" w:themeTint="BF"/>
          <w:szCs w:val="18"/>
        </w:rPr>
        <w:t>.</w:t>
      </w:r>
      <w:r w:rsidR="00422B5A">
        <w:rPr>
          <w:color w:val="404040" w:themeColor="text1" w:themeTint="BF"/>
          <w:szCs w:val="18"/>
        </w:rPr>
        <w:t xml:space="preserve">  </w:t>
      </w:r>
      <w:r w:rsidRPr="005946E2">
        <w:rPr>
          <w:color w:val="404040" w:themeColor="text1" w:themeTint="BF"/>
          <w:szCs w:val="18"/>
        </w:rPr>
        <w:t>Accordingly, the estimated value of your notes during this initial period may be lower than the value of the notes as published by JPMS (and which may be shown on your customer account statements).</w:t>
      </w:r>
    </w:p>
    <w:p w:rsidR="00F50DB4" w:rsidRPr="00723013" w:rsidRDefault="00F50DB4" w:rsidP="00723013">
      <w:pPr>
        <w:pStyle w:val="Heading2"/>
        <w:numPr>
          <w:ilvl w:val="0"/>
          <w:numId w:val="16"/>
        </w:numPr>
        <w:spacing w:line="288" w:lineRule="auto"/>
        <w:ind w:left="360"/>
        <w:rPr>
          <w:b/>
          <w:bCs/>
          <w:szCs w:val="18"/>
        </w:rPr>
      </w:pPr>
      <w:r w:rsidRPr="00723013">
        <w:rPr>
          <w:b/>
          <w:bCs/>
          <w:szCs w:val="18"/>
        </w:rPr>
        <w:t xml:space="preserve">SECONDARY MARKET PRICES OF THE NOTES WILL LIKELY BE LOWER THAN THE ORIGINAL ISSUE PRICE OF THE NOTES — </w:t>
      </w:r>
    </w:p>
    <w:p w:rsidR="00F50DB4" w:rsidRPr="00474AD9" w:rsidRDefault="00491AB4" w:rsidP="001F74E3">
      <w:pPr>
        <w:pStyle w:val="ListParagraph"/>
        <w:ind w:left="360"/>
        <w:rPr>
          <w:color w:val="404040" w:themeColor="text1" w:themeTint="BF"/>
          <w:szCs w:val="18"/>
        </w:rPr>
      </w:pPr>
      <w:r w:rsidRPr="005946E2">
        <w:rPr>
          <w:color w:val="404040" w:themeColor="text1" w:themeTint="BF"/>
          <w:szCs w:val="18"/>
        </w:rPr>
        <w:t xml:space="preserve">Any secondary market prices of the notes will likely be lower than the original issue price of the notes because, among other things, secondary market prices take into account our </w:t>
      </w:r>
      <w:r>
        <w:rPr>
          <w:color w:val="404040" w:themeColor="text1" w:themeTint="BF"/>
          <w:szCs w:val="18"/>
        </w:rPr>
        <w:t xml:space="preserve">internal </w:t>
      </w:r>
      <w:r w:rsidRPr="005946E2">
        <w:rPr>
          <w:color w:val="404040" w:themeColor="text1" w:themeTint="BF"/>
          <w:szCs w:val="18"/>
        </w:rPr>
        <w:t xml:space="preserve">secondary market </w:t>
      </w:r>
      <w:r>
        <w:rPr>
          <w:color w:val="404040" w:themeColor="text1" w:themeTint="BF"/>
          <w:szCs w:val="18"/>
        </w:rPr>
        <w:t xml:space="preserve">funding rates </w:t>
      </w:r>
      <w:r w:rsidRPr="005946E2">
        <w:rPr>
          <w:color w:val="404040" w:themeColor="text1" w:themeTint="BF"/>
          <w:szCs w:val="18"/>
        </w:rPr>
        <w:t>for structured debt issuances and, also, because secondary market prices</w:t>
      </w:r>
      <w:r>
        <w:rPr>
          <w:color w:val="404040" w:themeColor="text1" w:themeTint="BF"/>
          <w:szCs w:val="18"/>
        </w:rPr>
        <w:t xml:space="preserve"> may exclude</w:t>
      </w:r>
      <w:r w:rsidRPr="005C7295">
        <w:rPr>
          <w:color w:val="404040" w:themeColor="text1" w:themeTint="BF"/>
          <w:szCs w:val="18"/>
        </w:rPr>
        <w:t xml:space="preserve"> </w:t>
      </w:r>
      <w:r w:rsidR="000A2EF6" w:rsidRPr="000A2EF6">
        <w:rPr>
          <w:color w:val="404040" w:themeColor="text1" w:themeTint="BF"/>
          <w:szCs w:val="18"/>
        </w:rPr>
        <w:t xml:space="preserve">selling commissions, </w:t>
      </w:r>
      <w:r w:rsidRPr="005946E2">
        <w:rPr>
          <w:color w:val="404040" w:themeColor="text1" w:themeTint="BF"/>
          <w:szCs w:val="18"/>
        </w:rPr>
        <w:t>projected hedging profits, if any, and estimated hedging costs that are included in the original issue price of the notes.  As a result, the price</w:t>
      </w:r>
      <w:r>
        <w:rPr>
          <w:color w:val="404040" w:themeColor="text1" w:themeTint="BF"/>
          <w:szCs w:val="18"/>
        </w:rPr>
        <w:t>,</w:t>
      </w:r>
      <w:r w:rsidRPr="005946E2">
        <w:rPr>
          <w:color w:val="404040" w:themeColor="text1" w:themeTint="BF"/>
          <w:szCs w:val="18"/>
        </w:rPr>
        <w:t xml:space="preserve"> if any, at which JPMS will be willing to buy the notes from you in secondary market transactions, if at all, is likely to be lower than the original issue price.  Any sale by you prior to the Maturity Date could result in a substantial loss to you</w:t>
      </w:r>
      <w:r w:rsidR="00F50DB4" w:rsidRPr="005946E2">
        <w:rPr>
          <w:color w:val="404040" w:themeColor="text1" w:themeTint="BF"/>
          <w:szCs w:val="18"/>
        </w:rPr>
        <w:t>.</w:t>
      </w:r>
    </w:p>
    <w:p w:rsidR="00B176BE" w:rsidRDefault="00B176BE" w:rsidP="00B176BE">
      <w:pPr>
        <w:pStyle w:val="RFindent"/>
        <w:numPr>
          <w:ilvl w:val="0"/>
          <w:numId w:val="0"/>
        </w:numPr>
        <w:ind w:left="360"/>
        <w:rPr>
          <w:b/>
          <w:color w:val="404040"/>
        </w:rPr>
      </w:pPr>
    </w:p>
    <w:p w:rsidR="00935E0C" w:rsidRPr="00935E0C" w:rsidRDefault="00935E0C" w:rsidP="00935E0C">
      <w:pPr>
        <w:pStyle w:val="RFindent"/>
        <w:ind w:left="360"/>
        <w:rPr>
          <w:b/>
          <w:color w:val="404040"/>
        </w:rPr>
      </w:pPr>
      <w:r w:rsidRPr="00935E0C">
        <w:rPr>
          <w:b/>
          <w:color w:val="404040"/>
        </w:rPr>
        <w:t xml:space="preserve">SECONDARY MARKET PRICES OF THE NOTES WILL BE IMPACTED BY MANY ECONOMIC AND MARKET FACTORS — </w:t>
      </w:r>
    </w:p>
    <w:p w:rsidR="00A12541" w:rsidRDefault="00491AB4" w:rsidP="001F74E3">
      <w:pPr>
        <w:pStyle w:val="RFbody"/>
      </w:pPr>
      <w:r w:rsidRPr="005946E2">
        <w:t>The secondary market price of the notes during their term will be impacted by a number of economic and market factors, which may either offset or magnify each other, aside from the</w:t>
      </w:r>
      <w:r w:rsidR="001F74E3">
        <w:t xml:space="preserve"> </w:t>
      </w:r>
      <w:r w:rsidR="000A2EF6" w:rsidRPr="000A2EF6">
        <w:t xml:space="preserve">selling commissions, </w:t>
      </w:r>
      <w:r w:rsidRPr="005946E2">
        <w:t xml:space="preserve">projected hedging profits, if any, estimated hedging costs and the </w:t>
      </w:r>
      <w:r>
        <w:t>level of the Index</w:t>
      </w:r>
      <w:r w:rsidRPr="005946E2">
        <w:t xml:space="preserve">.  Additionally, independent pricing vendors and/or third party broker-dealers may publish a price for the notes, which may also be reflected on customer account statements.  This price may be different (higher or lower) than the price of the notes, if any, at which JPMS may be willing to purchase your notes in the secondary market.  See </w:t>
      </w:r>
      <w:r>
        <w:t>“</w:t>
      </w:r>
      <w:r w:rsidRPr="005946E2">
        <w:t xml:space="preserve">Risk Factors — Risks Relating to the Estimated Value </w:t>
      </w:r>
      <w:r>
        <w:t>and</w:t>
      </w:r>
      <w:r w:rsidRPr="005946E2">
        <w:t xml:space="preserve"> Secondary Market Prices of the Notes — Secondary market prices of the notes will be impacted by many economic and market factors</w:t>
      </w:r>
      <w:r>
        <w:t>”</w:t>
      </w:r>
      <w:r w:rsidRPr="005946E2">
        <w:t xml:space="preserve"> in the accompanying product supplement</w:t>
      </w:r>
      <w:r w:rsidR="004B7E3E" w:rsidRPr="00474AD9">
        <w:t>.</w:t>
      </w:r>
    </w:p>
    <w:p w:rsidR="00507292" w:rsidRDefault="00507292" w:rsidP="00507292">
      <w:pPr>
        <w:keepNext/>
        <w:keepLines/>
        <w:spacing w:after="80"/>
        <w:outlineLvl w:val="1"/>
        <w:rPr>
          <w:rFonts w:eastAsiaTheme="majorEastAsia" w:cstheme="majorBidi"/>
          <w:b/>
          <w:bCs w:val="0"/>
          <w:color w:val="54301A"/>
          <w:szCs w:val="18"/>
        </w:rPr>
      </w:pPr>
      <w:r w:rsidRPr="00C110DF">
        <w:rPr>
          <w:rFonts w:eastAsiaTheme="majorEastAsia" w:cstheme="majorBidi"/>
          <w:b/>
          <w:bCs w:val="0"/>
          <w:color w:val="54301A"/>
          <w:szCs w:val="18"/>
        </w:rPr>
        <w:t xml:space="preserve">Risks Relating to the </w:t>
      </w:r>
      <w:r>
        <w:rPr>
          <w:rFonts w:eastAsiaTheme="majorEastAsia" w:cstheme="majorBidi"/>
          <w:b/>
          <w:bCs w:val="0"/>
          <w:color w:val="54301A"/>
          <w:szCs w:val="18"/>
        </w:rPr>
        <w:t>Index</w:t>
      </w:r>
    </w:p>
    <w:p w:rsidR="009809FB" w:rsidRDefault="009809FB" w:rsidP="009809FB">
      <w:pPr>
        <w:pStyle w:val="Heading2"/>
        <w:numPr>
          <w:ilvl w:val="0"/>
          <w:numId w:val="31"/>
        </w:numPr>
        <w:spacing w:line="288" w:lineRule="auto"/>
        <w:ind w:left="360"/>
        <w:rPr>
          <w:b/>
          <w:bCs/>
          <w:szCs w:val="18"/>
        </w:rPr>
      </w:pPr>
      <w:r>
        <w:rPr>
          <w:b/>
          <w:bCs/>
          <w:szCs w:val="18"/>
        </w:rPr>
        <w:t xml:space="preserve">JPMORGAN CHASE &amp; CO. IS CURRENTLY ONE OF THE COMPANIES THAT MAKE UP THE INDEX, </w:t>
      </w:r>
    </w:p>
    <w:p w:rsidR="00507292" w:rsidRPr="00CD056F" w:rsidRDefault="009809FB" w:rsidP="00864642">
      <w:pPr>
        <w:keepNext/>
        <w:keepLines/>
        <w:ind w:left="360"/>
        <w:outlineLvl w:val="1"/>
        <w:rPr>
          <w:rFonts w:eastAsia="PMingLiU" w:cs="Times New Roman"/>
          <w:b/>
          <w:color w:val="404040"/>
          <w:szCs w:val="18"/>
        </w:rPr>
      </w:pPr>
      <w:r>
        <w:rPr>
          <w:color w:val="404040" w:themeColor="text1" w:themeTint="BF"/>
          <w:szCs w:val="18"/>
        </w:rPr>
        <w:t>but JPMorgan Chase &amp; Co. will not have any obligation to consider your interests in taking any corporate action that might affect the level of the Index</w:t>
      </w:r>
      <w:r>
        <w:rPr>
          <w:color w:val="404040"/>
          <w:szCs w:val="18"/>
        </w:rPr>
        <w:t>.</w:t>
      </w:r>
    </w:p>
    <w:p w:rsidR="00483CAB" w:rsidRDefault="00483CAB">
      <w:pPr>
        <w:spacing w:before="0" w:line="240" w:lineRule="auto"/>
        <w:rPr>
          <w:color w:val="404040" w:themeColor="text1" w:themeTint="BF"/>
          <w:szCs w:val="18"/>
        </w:rPr>
      </w:pPr>
      <w:r>
        <w:rPr>
          <w:color w:val="404040" w:themeColor="text1" w:themeTint="BF"/>
          <w:szCs w:val="18"/>
        </w:rPr>
        <w:br w:type="page"/>
      </w:r>
    </w:p>
    <w:p w:rsidR="007E15C2" w:rsidRPr="006968AD" w:rsidRDefault="005B1011" w:rsidP="00483CAB">
      <w:pPr>
        <w:pStyle w:val="Heading1"/>
        <w:keepNext/>
        <w:rPr>
          <w:color w:val="4E8ABE"/>
        </w:rPr>
      </w:pPr>
      <w:r w:rsidRPr="005B1011">
        <w:rPr>
          <w:color w:val="4E8ABE"/>
        </w:rPr>
        <w:lastRenderedPageBreak/>
        <w:t xml:space="preserve">The </w:t>
      </w:r>
      <w:r w:rsidR="00593BC3" w:rsidRPr="00593BC3">
        <w:rPr>
          <w:color w:val="4E8ABE"/>
        </w:rPr>
        <w:t>Index</w:t>
      </w:r>
    </w:p>
    <w:p w:rsidR="00593BC3" w:rsidRPr="00593BC3" w:rsidRDefault="009809FB" w:rsidP="0024771A">
      <w:pPr>
        <w:keepNext/>
        <w:rPr>
          <w:bCs w:val="0"/>
          <w:color w:val="404040" w:themeColor="text1" w:themeTint="BF"/>
        </w:rPr>
      </w:pPr>
      <w:r>
        <w:rPr>
          <w:color w:val="404040" w:themeColor="text1" w:themeTint="BF"/>
        </w:rPr>
        <w:t>The Index consists of stocks of 500 companies selected to provide a performance benchmark for the U.S. equity markets.  For additional information about the Index, see “Equity Index Descriptions — The S&amp;P U.S. Indices” in the accompanying underlying supplement</w:t>
      </w:r>
      <w:r w:rsidR="00593BC3" w:rsidRPr="00593BC3">
        <w:rPr>
          <w:bCs w:val="0"/>
          <w:color w:val="404040" w:themeColor="text1" w:themeTint="BF"/>
        </w:rPr>
        <w:t>.</w:t>
      </w:r>
    </w:p>
    <w:p w:rsidR="003946B2" w:rsidRPr="00AE37BB" w:rsidRDefault="003946B2" w:rsidP="00AE37BB">
      <w:pPr>
        <w:keepNext/>
        <w:spacing w:before="0"/>
        <w:rPr>
          <w:rStyle w:val="Heading5Char"/>
          <w:color w:val="404040" w:themeColor="text1" w:themeTint="BF"/>
          <w:sz w:val="2"/>
          <w:szCs w:val="8"/>
        </w:rPr>
      </w:pPr>
    </w:p>
    <w:p w:rsidR="00D95459" w:rsidRPr="00EC77B3" w:rsidRDefault="00D95459" w:rsidP="00050929">
      <w:pPr>
        <w:pStyle w:val="Heading5"/>
        <w:spacing w:before="120"/>
      </w:pPr>
      <w:r w:rsidRPr="00EC77B3">
        <w:t>Historical Information</w:t>
      </w:r>
    </w:p>
    <w:p w:rsidR="00D95459" w:rsidRPr="00872D9E" w:rsidRDefault="00D95459" w:rsidP="00441690">
      <w:pPr>
        <w:rPr>
          <w:color w:val="404040" w:themeColor="text1" w:themeTint="BF"/>
        </w:rPr>
      </w:pPr>
      <w:r w:rsidRPr="00872D9E">
        <w:rPr>
          <w:color w:val="404040" w:themeColor="text1" w:themeTint="BF"/>
        </w:rPr>
        <w:t xml:space="preserve">The following graph sets forth the historical performance of the </w:t>
      </w:r>
      <w:r w:rsidR="00593BC3" w:rsidRPr="00593BC3">
        <w:rPr>
          <w:color w:val="404040" w:themeColor="text1" w:themeTint="BF"/>
        </w:rPr>
        <w:t>Index</w:t>
      </w:r>
      <w:r w:rsidRPr="00872D9E">
        <w:rPr>
          <w:color w:val="404040" w:themeColor="text1" w:themeTint="BF"/>
        </w:rPr>
        <w:t xml:space="preserve"> based on the weekly historical </w:t>
      </w:r>
      <w:r w:rsidR="00593BC3" w:rsidRPr="00593BC3">
        <w:rPr>
          <w:color w:val="404040" w:themeColor="text1" w:themeTint="BF"/>
        </w:rPr>
        <w:t>closing levels of the Index</w:t>
      </w:r>
      <w:r w:rsidRPr="00872D9E">
        <w:rPr>
          <w:color w:val="404040" w:themeColor="text1" w:themeTint="BF"/>
        </w:rPr>
        <w:t xml:space="preserve"> from</w:t>
      </w:r>
      <w:r w:rsidRPr="00767BC9">
        <w:rPr>
          <w:color w:val="404040" w:themeColor="text1" w:themeTint="BF"/>
        </w:rPr>
        <w:t xml:space="preserve"> </w:t>
      </w:r>
      <w:r w:rsidR="00B16C33">
        <w:rPr>
          <w:color w:val="404040" w:themeColor="text1" w:themeTint="BF"/>
        </w:rPr>
        <w:t>January</w:t>
      </w:r>
      <w:r w:rsidR="0024771A">
        <w:rPr>
          <w:color w:val="404040" w:themeColor="text1" w:themeTint="BF"/>
        </w:rPr>
        <w:t xml:space="preserve"> 6, 2017</w:t>
      </w:r>
      <w:r w:rsidR="006E4015">
        <w:rPr>
          <w:color w:val="404040" w:themeColor="text1" w:themeTint="BF"/>
        </w:rPr>
        <w:t xml:space="preserve"> through </w:t>
      </w:r>
      <w:r w:rsidR="00441690">
        <w:rPr>
          <w:color w:val="404040" w:themeColor="text1" w:themeTint="BF"/>
        </w:rPr>
        <w:t>June 10</w:t>
      </w:r>
      <w:r w:rsidR="0024771A">
        <w:rPr>
          <w:color w:val="404040" w:themeColor="text1" w:themeTint="BF"/>
        </w:rPr>
        <w:t>, 2022.</w:t>
      </w:r>
      <w:r w:rsidRPr="00872D9E">
        <w:rPr>
          <w:color w:val="404040" w:themeColor="text1" w:themeTint="BF"/>
        </w:rPr>
        <w:t xml:space="preserve">  The </w:t>
      </w:r>
      <w:r w:rsidR="00593BC3" w:rsidRPr="00593BC3">
        <w:rPr>
          <w:bCs w:val="0"/>
          <w:color w:val="404040" w:themeColor="text1" w:themeTint="BF"/>
        </w:rPr>
        <w:t>closing level of the Index</w:t>
      </w:r>
      <w:r w:rsidRPr="00872D9E">
        <w:rPr>
          <w:color w:val="404040" w:themeColor="text1" w:themeTint="BF"/>
        </w:rPr>
        <w:t xml:space="preserve"> on</w:t>
      </w:r>
      <w:r w:rsidR="00662C10">
        <w:rPr>
          <w:color w:val="404040" w:themeColor="text1" w:themeTint="BF"/>
        </w:rPr>
        <w:t xml:space="preserve"> </w:t>
      </w:r>
      <w:r w:rsidR="00DE7C64">
        <w:rPr>
          <w:color w:val="404040" w:themeColor="text1" w:themeTint="BF"/>
        </w:rPr>
        <w:t>June 16</w:t>
      </w:r>
      <w:r w:rsidR="0024771A">
        <w:rPr>
          <w:color w:val="404040" w:themeColor="text1" w:themeTint="BF"/>
        </w:rPr>
        <w:t>, 2022</w:t>
      </w:r>
      <w:r w:rsidR="00855ED0">
        <w:rPr>
          <w:color w:val="404040" w:themeColor="text1" w:themeTint="BF"/>
        </w:rPr>
        <w:t xml:space="preserve"> </w:t>
      </w:r>
      <w:r w:rsidRPr="00872D9E">
        <w:rPr>
          <w:color w:val="404040" w:themeColor="text1" w:themeTint="BF"/>
        </w:rPr>
        <w:t>was</w:t>
      </w:r>
      <w:r w:rsidR="00234C42">
        <w:rPr>
          <w:color w:val="404040" w:themeColor="text1" w:themeTint="BF"/>
        </w:rPr>
        <w:t xml:space="preserve"> </w:t>
      </w:r>
      <w:r w:rsidR="00441690" w:rsidRPr="00441690">
        <w:rPr>
          <w:color w:val="404040" w:themeColor="text1" w:themeTint="BF"/>
        </w:rPr>
        <w:t>3,666.77</w:t>
      </w:r>
      <w:r w:rsidR="00422B5A" w:rsidRPr="00872D9E">
        <w:rPr>
          <w:color w:val="404040" w:themeColor="text1" w:themeTint="BF"/>
        </w:rPr>
        <w:t>.</w:t>
      </w:r>
      <w:r w:rsidR="00422B5A">
        <w:rPr>
          <w:color w:val="404040" w:themeColor="text1" w:themeTint="BF"/>
        </w:rPr>
        <w:t xml:space="preserve">  </w:t>
      </w:r>
      <w:r w:rsidRPr="00872D9E">
        <w:rPr>
          <w:color w:val="404040" w:themeColor="text1" w:themeTint="BF"/>
        </w:rPr>
        <w:t xml:space="preserve">We obtained the </w:t>
      </w:r>
      <w:r w:rsidR="00593BC3" w:rsidRPr="00593BC3">
        <w:rPr>
          <w:color w:val="404040" w:themeColor="text1" w:themeTint="BF"/>
        </w:rPr>
        <w:t>closing levels</w:t>
      </w:r>
      <w:r w:rsidRPr="00872D9E">
        <w:rPr>
          <w:color w:val="404040" w:themeColor="text1" w:themeTint="BF"/>
        </w:rPr>
        <w:t xml:space="preserve"> above and below from the Bloomberg Professional</w:t>
      </w:r>
      <w:r w:rsidR="00593BC3" w:rsidRPr="00593BC3">
        <w:rPr>
          <w:color w:val="404040" w:themeColor="text1" w:themeTint="BF"/>
          <w:vertAlign w:val="superscript"/>
        </w:rPr>
        <w:t>®</w:t>
      </w:r>
      <w:r w:rsidRPr="00872D9E">
        <w:rPr>
          <w:color w:val="404040" w:themeColor="text1" w:themeTint="BF"/>
        </w:rPr>
        <w:t xml:space="preserve"> service (</w:t>
      </w:r>
      <w:r w:rsidR="00593BC3">
        <w:rPr>
          <w:color w:val="404040" w:themeColor="text1" w:themeTint="BF"/>
        </w:rPr>
        <w:t>“</w:t>
      </w:r>
      <w:r w:rsidRPr="00872D9E">
        <w:rPr>
          <w:color w:val="404040" w:themeColor="text1" w:themeTint="BF"/>
        </w:rPr>
        <w:t>Bloomberg</w:t>
      </w:r>
      <w:r w:rsidR="00593BC3">
        <w:rPr>
          <w:color w:val="404040" w:themeColor="text1" w:themeTint="BF"/>
        </w:rPr>
        <w:t>”</w:t>
      </w:r>
      <w:r w:rsidRPr="00872D9E">
        <w:rPr>
          <w:color w:val="404040" w:themeColor="text1" w:themeTint="BF"/>
        </w:rPr>
        <w:t xml:space="preserve">), without independent </w:t>
      </w:r>
      <w:r w:rsidR="00593BC3" w:rsidRPr="00593BC3">
        <w:rPr>
          <w:bCs w:val="0"/>
          <w:color w:val="404040" w:themeColor="text1" w:themeTint="BF"/>
        </w:rPr>
        <w:t>verification.</w:t>
      </w:r>
    </w:p>
    <w:p w:rsidR="00D95459" w:rsidRPr="00872D9E" w:rsidRDefault="00D95459" w:rsidP="00441690">
      <w:pPr>
        <w:keepNext/>
        <w:spacing w:after="240"/>
        <w:rPr>
          <w:color w:val="404040" w:themeColor="text1" w:themeTint="BF"/>
        </w:rPr>
      </w:pPr>
      <w:r w:rsidRPr="00872D9E">
        <w:rPr>
          <w:color w:val="404040" w:themeColor="text1" w:themeTint="BF"/>
        </w:rPr>
        <w:t xml:space="preserve">The </w:t>
      </w:r>
      <w:r w:rsidR="00A342FB" w:rsidRPr="00872D9E">
        <w:rPr>
          <w:color w:val="404040" w:themeColor="text1" w:themeTint="BF"/>
        </w:rPr>
        <w:t xml:space="preserve">historical </w:t>
      </w:r>
      <w:r w:rsidR="00593BC3" w:rsidRPr="00593BC3">
        <w:rPr>
          <w:bCs w:val="0"/>
          <w:color w:val="404040" w:themeColor="text1" w:themeTint="BF"/>
        </w:rPr>
        <w:t>closing levels of the Index</w:t>
      </w:r>
      <w:r w:rsidRPr="00872D9E">
        <w:rPr>
          <w:color w:val="404040" w:themeColor="text1" w:themeTint="BF"/>
        </w:rPr>
        <w:t xml:space="preserve"> should not be taken as an indication of future performance, and no assurance can be given as to the </w:t>
      </w:r>
      <w:r w:rsidR="00593BC3" w:rsidRPr="00593BC3">
        <w:rPr>
          <w:bCs w:val="0"/>
          <w:color w:val="404040" w:themeColor="text1" w:themeTint="BF"/>
        </w:rPr>
        <w:t>closing level of the Index</w:t>
      </w:r>
      <w:r w:rsidRPr="00872D9E">
        <w:rPr>
          <w:color w:val="404040" w:themeColor="text1" w:themeTint="BF"/>
        </w:rPr>
        <w:t xml:space="preserve"> </w:t>
      </w:r>
      <w:r w:rsidR="00593BC3" w:rsidRPr="00593BC3">
        <w:rPr>
          <w:bCs w:val="0"/>
          <w:color w:val="404040" w:themeColor="text1" w:themeTint="BF"/>
        </w:rPr>
        <w:t>on the Pricing Date or</w:t>
      </w:r>
      <w:r w:rsidRPr="00872D9E">
        <w:rPr>
          <w:color w:val="404040" w:themeColor="text1" w:themeTint="BF"/>
        </w:rPr>
        <w:t xml:space="preserve"> any Review Date</w:t>
      </w:r>
      <w:r w:rsidR="00422B5A" w:rsidRPr="00872D9E">
        <w:rPr>
          <w:color w:val="404040" w:themeColor="text1" w:themeTint="BF"/>
        </w:rPr>
        <w:t>.</w:t>
      </w:r>
      <w:r w:rsidR="00422B5A">
        <w:rPr>
          <w:color w:val="404040" w:themeColor="text1" w:themeTint="BF"/>
        </w:rPr>
        <w:t xml:space="preserve">  </w:t>
      </w:r>
      <w:r w:rsidRPr="00872D9E">
        <w:rPr>
          <w:color w:val="404040" w:themeColor="text1" w:themeTint="BF"/>
        </w:rPr>
        <w:t xml:space="preserve">There can be no assurance that the performance of the </w:t>
      </w:r>
      <w:r w:rsidR="00593BC3" w:rsidRPr="00593BC3">
        <w:rPr>
          <w:color w:val="404040" w:themeColor="text1" w:themeTint="BF"/>
        </w:rPr>
        <w:t>Index</w:t>
      </w:r>
      <w:r w:rsidRPr="00872D9E">
        <w:rPr>
          <w:color w:val="404040" w:themeColor="text1" w:themeTint="BF"/>
        </w:rPr>
        <w:t xml:space="preserve"> will result in the return of any of your </w:t>
      </w:r>
      <w:r w:rsidR="00593BC3" w:rsidRPr="00593BC3">
        <w:rPr>
          <w:bCs w:val="0"/>
          <w:color w:val="404040" w:themeColor="text1" w:themeTint="BF"/>
        </w:rPr>
        <w:t>principal amount</w:t>
      </w:r>
      <w:r w:rsidRPr="00872D9E">
        <w:rPr>
          <w:color w:val="404040" w:themeColor="text1" w:themeTint="BF"/>
        </w:rPr>
        <w:t xml:space="preserve"> </w:t>
      </w:r>
      <w:r w:rsidR="00B80686" w:rsidRPr="00B80686">
        <w:rPr>
          <w:color w:val="404040" w:themeColor="text1" w:themeTint="BF"/>
        </w:rPr>
        <w:t>in excess of $</w:t>
      </w:r>
      <w:r w:rsidR="00441690">
        <w:rPr>
          <w:color w:val="404040" w:themeColor="text1" w:themeTint="BF"/>
        </w:rPr>
        <w:t>200.00</w:t>
      </w:r>
      <w:r w:rsidR="00B80686" w:rsidRPr="00B80686">
        <w:rPr>
          <w:color w:val="404040" w:themeColor="text1" w:themeTint="BF"/>
        </w:rPr>
        <w:t xml:space="preserve"> p</w:t>
      </w:r>
      <w:bookmarkStart w:id="2" w:name="_GoBack"/>
      <w:bookmarkEnd w:id="2"/>
      <w:r w:rsidR="00B80686" w:rsidRPr="00B80686">
        <w:rPr>
          <w:color w:val="404040" w:themeColor="text1" w:themeTint="BF"/>
        </w:rPr>
        <w:t xml:space="preserve">er $1,000 principal amount note, subject to the credit risks of JPMorgan Financial and JPMorgan Chase &amp; Co., </w:t>
      </w:r>
      <w:r w:rsidRPr="00872D9E">
        <w:rPr>
          <w:color w:val="404040" w:themeColor="text1" w:themeTint="BF"/>
        </w:rPr>
        <w:t>or the payment of any interest</w:t>
      </w:r>
      <w:r w:rsidR="00422B5A" w:rsidRPr="00872D9E">
        <w:rPr>
          <w:color w:val="404040" w:themeColor="text1" w:themeTint="BF"/>
        </w:rPr>
        <w:t>.</w:t>
      </w:r>
      <w:r w:rsidR="001C3CF9">
        <w:rPr>
          <w:color w:val="404040" w:themeColor="text1" w:themeTint="BF"/>
        </w:rPr>
        <w:t xml:space="preserve"> </w:t>
      </w:r>
    </w:p>
    <w:p w:rsidR="00293E91" w:rsidRDefault="00441690" w:rsidP="00524289">
      <w:pPr>
        <w:keepNext/>
        <w:spacing w:before="120" w:after="240"/>
        <w:jc w:val="center"/>
        <w:rPr>
          <w:noProof/>
          <w:color w:val="404040" w:themeColor="text1" w:themeTint="BF"/>
          <w:lang w:eastAsia="zh-TW" w:bidi="he-IL"/>
        </w:rPr>
      </w:pPr>
      <w:r>
        <w:rPr>
          <w:noProof/>
          <w:color w:val="404040" w:themeColor="text1" w:themeTint="BF"/>
          <w:lang w:eastAsia="zh-CN" w:bidi="he-IL"/>
        </w:rPr>
        <w:drawing>
          <wp:inline distT="0" distB="0" distL="0" distR="0" wp14:anchorId="6A4ED251">
            <wp:extent cx="4651375" cy="2700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1375" cy="2700655"/>
                    </a:xfrm>
                    <a:prstGeom prst="rect">
                      <a:avLst/>
                    </a:prstGeom>
                    <a:noFill/>
                  </pic:spPr>
                </pic:pic>
              </a:graphicData>
            </a:graphic>
          </wp:inline>
        </w:drawing>
      </w:r>
    </w:p>
    <w:p w:rsidR="00EA0A70" w:rsidRPr="006968AD" w:rsidRDefault="00EA0A70" w:rsidP="004B70AE">
      <w:pPr>
        <w:pStyle w:val="Heading1"/>
        <w:keepNext/>
        <w:spacing w:before="240"/>
        <w:rPr>
          <w:color w:val="4E8ABE"/>
        </w:rPr>
      </w:pPr>
      <w:r w:rsidRPr="006968AD">
        <w:rPr>
          <w:color w:val="4E8ABE"/>
        </w:rPr>
        <w:t>Tax Treatmen</w:t>
      </w:r>
      <w:r w:rsidR="00827D3D">
        <w:rPr>
          <w:color w:val="4E8ABE"/>
        </w:rPr>
        <w:t>t</w:t>
      </w:r>
      <w:r w:rsidR="00382A6A">
        <w:rPr>
          <w:color w:val="4E8ABE"/>
        </w:rPr>
        <w:t xml:space="preserve"> </w:t>
      </w:r>
    </w:p>
    <w:p w:rsidR="00F54EB9" w:rsidRDefault="00F54EB9" w:rsidP="009A6934">
      <w:pPr>
        <w:spacing w:after="120"/>
        <w:rPr>
          <w:color w:val="404040" w:themeColor="text1" w:themeTint="BF"/>
        </w:rPr>
      </w:pPr>
      <w:r w:rsidRPr="00EF4DC3">
        <w:rPr>
          <w:color w:val="404040" w:themeColor="text1" w:themeTint="BF"/>
        </w:rPr>
        <w:t xml:space="preserve">You should review carefully the section entitled </w:t>
      </w:r>
      <w:r w:rsidR="00593BC3">
        <w:rPr>
          <w:color w:val="404040" w:themeColor="text1" w:themeTint="BF"/>
        </w:rPr>
        <w:t>“</w:t>
      </w:r>
      <w:r w:rsidRPr="00EF4DC3">
        <w:rPr>
          <w:color w:val="404040" w:themeColor="text1" w:themeTint="BF"/>
        </w:rPr>
        <w:t xml:space="preserve">Material </w:t>
      </w:r>
      <w:r w:rsidR="00422B5A">
        <w:rPr>
          <w:color w:val="404040" w:themeColor="text1" w:themeTint="BF"/>
        </w:rPr>
        <w:t xml:space="preserve">U.S. </w:t>
      </w:r>
      <w:r w:rsidRPr="00EF4DC3">
        <w:rPr>
          <w:color w:val="404040" w:themeColor="text1" w:themeTint="BF"/>
        </w:rPr>
        <w:t>Federal Income Tax Consequences</w:t>
      </w:r>
      <w:r w:rsidR="00593BC3">
        <w:rPr>
          <w:color w:val="404040" w:themeColor="text1" w:themeTint="BF"/>
        </w:rPr>
        <w:t>”</w:t>
      </w:r>
      <w:r w:rsidRPr="00EF4DC3">
        <w:rPr>
          <w:color w:val="404040" w:themeColor="text1" w:themeTint="BF"/>
        </w:rPr>
        <w:t xml:space="preserve"> in the accompanying product supplement </w:t>
      </w:r>
      <w:r w:rsidR="00422B5A">
        <w:rPr>
          <w:color w:val="404040" w:themeColor="text1" w:themeTint="BF"/>
        </w:rPr>
        <w:t xml:space="preserve">no. </w:t>
      </w:r>
      <w:r w:rsidRPr="00EF4DC3">
        <w:rPr>
          <w:color w:val="404040" w:themeColor="text1" w:themeTint="BF"/>
        </w:rPr>
        <w:t>4-I</w:t>
      </w:r>
      <w:r w:rsidR="00491AB4">
        <w:rPr>
          <w:color w:val="404040" w:themeColor="text1" w:themeTint="BF"/>
        </w:rPr>
        <w:t>I</w:t>
      </w:r>
      <w:r w:rsidR="00422B5A" w:rsidRPr="00EF4DC3">
        <w:rPr>
          <w:color w:val="404040" w:themeColor="text1" w:themeTint="BF"/>
        </w:rPr>
        <w:t>.</w:t>
      </w:r>
      <w:r w:rsidR="00422B5A">
        <w:rPr>
          <w:color w:val="404040" w:themeColor="text1" w:themeTint="BF"/>
        </w:rPr>
        <w:t xml:space="preserve">  </w:t>
      </w:r>
      <w:r w:rsidRPr="00EF4DC3">
        <w:rPr>
          <w:color w:val="404040" w:themeColor="text1" w:themeTint="BF"/>
        </w:rPr>
        <w:t xml:space="preserve">In determining our reporting responsibilities we intend to treat (i) the notes for </w:t>
      </w:r>
      <w:r w:rsidR="00422B5A">
        <w:rPr>
          <w:color w:val="404040" w:themeColor="text1" w:themeTint="BF"/>
        </w:rPr>
        <w:t xml:space="preserve">U.S. </w:t>
      </w:r>
      <w:r w:rsidRPr="00EF4DC3">
        <w:rPr>
          <w:color w:val="404040" w:themeColor="text1" w:themeTint="BF"/>
        </w:rPr>
        <w:t xml:space="preserve">federal income tax purposes as prepaid forward contracts with associated contingent coupons and (ii) any Contingent Interest Payments as ordinary income, as described in the section entitled </w:t>
      </w:r>
      <w:r w:rsidR="00593BC3">
        <w:rPr>
          <w:color w:val="404040" w:themeColor="text1" w:themeTint="BF"/>
        </w:rPr>
        <w:t>“</w:t>
      </w:r>
      <w:r w:rsidRPr="00EF4DC3">
        <w:rPr>
          <w:color w:val="404040" w:themeColor="text1" w:themeTint="BF"/>
        </w:rPr>
        <w:t xml:space="preserve">Material </w:t>
      </w:r>
      <w:r w:rsidR="00422B5A">
        <w:rPr>
          <w:color w:val="404040" w:themeColor="text1" w:themeTint="BF"/>
        </w:rPr>
        <w:t xml:space="preserve">U.S. </w:t>
      </w:r>
      <w:r w:rsidRPr="00EF4DC3">
        <w:rPr>
          <w:color w:val="404040" w:themeColor="text1" w:themeTint="BF"/>
        </w:rPr>
        <w:t xml:space="preserve">Federal Income Tax Consequences — Tax Consequences to </w:t>
      </w:r>
      <w:r w:rsidR="00422B5A">
        <w:rPr>
          <w:color w:val="404040" w:themeColor="text1" w:themeTint="BF"/>
        </w:rPr>
        <w:t xml:space="preserve">U.S. </w:t>
      </w:r>
      <w:r w:rsidRPr="00EF4DC3">
        <w:rPr>
          <w:color w:val="404040" w:themeColor="text1" w:themeTint="BF"/>
        </w:rPr>
        <w:t>Holders — Notes Treated as Prepaid Forward Contracts with Associated Contingent Coupons</w:t>
      </w:r>
      <w:r w:rsidR="00593BC3">
        <w:rPr>
          <w:color w:val="404040" w:themeColor="text1" w:themeTint="BF"/>
        </w:rPr>
        <w:t>”</w:t>
      </w:r>
      <w:r w:rsidRPr="00EF4DC3">
        <w:rPr>
          <w:color w:val="404040" w:themeColor="text1" w:themeTint="BF"/>
        </w:rPr>
        <w:t xml:space="preserve"> in the accompanying product supplement</w:t>
      </w:r>
      <w:r w:rsidR="00422B5A" w:rsidRPr="00EF4DC3">
        <w:rPr>
          <w:color w:val="404040" w:themeColor="text1" w:themeTint="BF"/>
        </w:rPr>
        <w:t>.</w:t>
      </w:r>
      <w:r w:rsidR="00422B5A">
        <w:rPr>
          <w:color w:val="404040" w:themeColor="text1" w:themeTint="BF"/>
        </w:rPr>
        <w:t xml:space="preserve">  </w:t>
      </w:r>
      <w:r w:rsidRPr="00EF4DC3">
        <w:rPr>
          <w:color w:val="404040" w:themeColor="text1" w:themeTint="BF"/>
        </w:rPr>
        <w:t>Based on the advice of Davis Polk &amp; Wardwell LLP, our special tax counsel, we believe that this is a reasonable treatment, but that there are other reasonable treatments that the IRS or a court may adopt, in which case the timing and character of any income or loss on the notes could be materially affected</w:t>
      </w:r>
      <w:r w:rsidR="00422B5A" w:rsidRPr="00EF4DC3">
        <w:rPr>
          <w:color w:val="404040" w:themeColor="text1" w:themeTint="BF"/>
        </w:rPr>
        <w:t>.</w:t>
      </w:r>
      <w:r w:rsidR="00422B5A">
        <w:rPr>
          <w:color w:val="404040" w:themeColor="text1" w:themeTint="BF"/>
        </w:rPr>
        <w:t xml:space="preserve">  </w:t>
      </w:r>
      <w:r w:rsidRPr="00EF4DC3">
        <w:rPr>
          <w:color w:val="404040" w:themeColor="text1" w:themeTint="BF"/>
        </w:rPr>
        <w:t xml:space="preserve">In addition, in 2007 Treasury and the IRS released a notice requesting comments on the </w:t>
      </w:r>
      <w:r w:rsidR="00422B5A">
        <w:rPr>
          <w:color w:val="404040" w:themeColor="text1" w:themeTint="BF"/>
        </w:rPr>
        <w:t xml:space="preserve">U.S. </w:t>
      </w:r>
      <w:r w:rsidRPr="00EF4DC3">
        <w:rPr>
          <w:color w:val="404040" w:themeColor="text1" w:themeTint="BF"/>
        </w:rPr>
        <w:t xml:space="preserve">federal income tax treatment of </w:t>
      </w:r>
      <w:r w:rsidR="00593BC3">
        <w:rPr>
          <w:color w:val="404040" w:themeColor="text1" w:themeTint="BF"/>
        </w:rPr>
        <w:t>“</w:t>
      </w:r>
      <w:r w:rsidRPr="00EF4DC3">
        <w:rPr>
          <w:color w:val="404040" w:themeColor="text1" w:themeTint="BF"/>
        </w:rPr>
        <w:t>prepaid forward contracts</w:t>
      </w:r>
      <w:r w:rsidR="00593BC3">
        <w:rPr>
          <w:color w:val="404040" w:themeColor="text1" w:themeTint="BF"/>
        </w:rPr>
        <w:t>”</w:t>
      </w:r>
      <w:r w:rsidRPr="00EF4DC3">
        <w:rPr>
          <w:color w:val="404040" w:themeColor="text1" w:themeTint="BF"/>
        </w:rPr>
        <w:t xml:space="preserve"> and similar instruments</w:t>
      </w:r>
      <w:r w:rsidR="00422B5A" w:rsidRPr="00EF4DC3">
        <w:rPr>
          <w:color w:val="404040" w:themeColor="text1" w:themeTint="BF"/>
        </w:rPr>
        <w:t>.</w:t>
      </w:r>
      <w:r w:rsidR="00422B5A">
        <w:rPr>
          <w:color w:val="404040" w:themeColor="text1" w:themeTint="BF"/>
        </w:rPr>
        <w:t xml:space="preserve">  </w:t>
      </w:r>
      <w:r w:rsidRPr="00EF4DC3">
        <w:rPr>
          <w:color w:val="404040" w:themeColor="text1" w:themeTint="BF"/>
        </w:rPr>
        <w:t>The notice focuses in particular on whether to require investors in these instruments to accrue income over the term of their investment</w:t>
      </w:r>
      <w:r w:rsidR="00422B5A" w:rsidRPr="00EF4DC3">
        <w:rPr>
          <w:color w:val="404040" w:themeColor="text1" w:themeTint="BF"/>
        </w:rPr>
        <w:t>.</w:t>
      </w:r>
      <w:r w:rsidR="00422B5A">
        <w:rPr>
          <w:color w:val="404040" w:themeColor="text1" w:themeTint="BF"/>
        </w:rPr>
        <w:t xml:space="preserve">  </w:t>
      </w:r>
      <w:r w:rsidRPr="00EF4DC3">
        <w:rPr>
          <w:color w:val="404040" w:themeColor="text1" w:themeTint="BF"/>
        </w:rPr>
        <w:t>It also asks for comments on a number of related topics, including the character of income or loss with respect to these instruments and the relevance of factors such as the nature of the underlying property to which the instruments are linked</w:t>
      </w:r>
      <w:r w:rsidR="00422B5A" w:rsidRPr="00EF4DC3">
        <w:rPr>
          <w:color w:val="404040" w:themeColor="text1" w:themeTint="BF"/>
        </w:rPr>
        <w:t>.</w:t>
      </w:r>
      <w:r w:rsidR="00422B5A">
        <w:rPr>
          <w:color w:val="404040" w:themeColor="text1" w:themeTint="BF"/>
        </w:rPr>
        <w:t xml:space="preserve">  </w:t>
      </w:r>
      <w:r w:rsidRPr="00EF4DC3">
        <w:rPr>
          <w:color w:val="404040" w:themeColor="text1" w:themeTint="BF"/>
        </w:rPr>
        <w:t>While the notice requests comments on appropriate transition rules and effective dates, any Treasury regulations or other guidance promulgated after consideration of these issues could materially affect the tax consequences of an investment in the notes, possibly with retroactive effect</w:t>
      </w:r>
      <w:r w:rsidR="00422B5A" w:rsidRPr="00EF4DC3">
        <w:rPr>
          <w:color w:val="404040" w:themeColor="text1" w:themeTint="BF"/>
        </w:rPr>
        <w:t>.</w:t>
      </w:r>
      <w:r w:rsidR="00422B5A">
        <w:rPr>
          <w:color w:val="404040" w:themeColor="text1" w:themeTint="BF"/>
        </w:rPr>
        <w:t xml:space="preserve">  </w:t>
      </w:r>
      <w:r w:rsidR="009A6934" w:rsidRPr="009A6934">
        <w:rPr>
          <w:color w:val="404040" w:themeColor="text1" w:themeTint="BF"/>
        </w:rPr>
        <w:t>The discussions above and in the accompanying product supplement do not address the consequences to taxpayers subject to special tax accounting rules under Section 451(b) of the Code.</w:t>
      </w:r>
      <w:r w:rsidR="009A6934">
        <w:rPr>
          <w:color w:val="404040" w:themeColor="text1" w:themeTint="BF"/>
        </w:rPr>
        <w:t xml:space="preserve">  </w:t>
      </w:r>
      <w:r w:rsidRPr="00EF4DC3">
        <w:rPr>
          <w:color w:val="404040" w:themeColor="text1" w:themeTint="BF"/>
        </w:rPr>
        <w:t xml:space="preserve">You should consult your tax adviser regarding the </w:t>
      </w:r>
      <w:r w:rsidR="00422B5A">
        <w:rPr>
          <w:color w:val="404040" w:themeColor="text1" w:themeTint="BF"/>
        </w:rPr>
        <w:t xml:space="preserve">U.S. </w:t>
      </w:r>
      <w:r w:rsidRPr="00EF4DC3">
        <w:rPr>
          <w:color w:val="404040" w:themeColor="text1" w:themeTint="BF"/>
        </w:rPr>
        <w:t xml:space="preserve">federal income tax consequences of an investment in the notes, including possible alternative treatments and the issues presented by </w:t>
      </w:r>
      <w:r w:rsidR="009A6934">
        <w:rPr>
          <w:color w:val="404040" w:themeColor="text1" w:themeTint="BF"/>
        </w:rPr>
        <w:t>the</w:t>
      </w:r>
      <w:r w:rsidRPr="00EF4DC3">
        <w:rPr>
          <w:color w:val="404040" w:themeColor="text1" w:themeTint="BF"/>
        </w:rPr>
        <w:t xml:space="preserve"> notice</w:t>
      </w:r>
      <w:r w:rsidR="009A6934">
        <w:rPr>
          <w:color w:val="404040" w:themeColor="text1" w:themeTint="BF"/>
        </w:rPr>
        <w:t xml:space="preserve"> described above</w:t>
      </w:r>
      <w:r w:rsidRPr="00EF4DC3">
        <w:rPr>
          <w:color w:val="404040" w:themeColor="text1" w:themeTint="BF"/>
        </w:rPr>
        <w:t>.</w:t>
      </w:r>
    </w:p>
    <w:p w:rsidR="00103B71" w:rsidRDefault="00103B71" w:rsidP="00103B71">
      <w:pPr>
        <w:spacing w:after="120"/>
        <w:rPr>
          <w:color w:val="404040" w:themeColor="text1" w:themeTint="BF"/>
        </w:rPr>
      </w:pPr>
      <w:r w:rsidRPr="00EF4DC3">
        <w:rPr>
          <w:i/>
          <w:iCs/>
          <w:color w:val="404040" w:themeColor="text1" w:themeTint="BF"/>
        </w:rPr>
        <w:t>Non-</w:t>
      </w:r>
      <w:r>
        <w:rPr>
          <w:i/>
          <w:iCs/>
          <w:color w:val="404040" w:themeColor="text1" w:themeTint="BF"/>
        </w:rPr>
        <w:t xml:space="preserve">U.S. </w:t>
      </w:r>
      <w:r w:rsidRPr="00EF4DC3">
        <w:rPr>
          <w:i/>
          <w:iCs/>
          <w:color w:val="404040" w:themeColor="text1" w:themeTint="BF"/>
        </w:rPr>
        <w:t>Holders — Tax Considerations</w:t>
      </w:r>
      <w:r w:rsidRPr="00EF4DC3">
        <w:rPr>
          <w:color w:val="404040" w:themeColor="text1" w:themeTint="BF"/>
        </w:rPr>
        <w:t>.</w:t>
      </w:r>
      <w:r>
        <w:rPr>
          <w:color w:val="404040" w:themeColor="text1" w:themeTint="BF"/>
        </w:rPr>
        <w:t xml:space="preserve">  </w:t>
      </w:r>
      <w:r w:rsidRPr="00EF4DC3">
        <w:rPr>
          <w:color w:val="404040" w:themeColor="text1" w:themeTint="BF"/>
        </w:rPr>
        <w:t xml:space="preserve">The </w:t>
      </w:r>
      <w:r>
        <w:rPr>
          <w:color w:val="404040" w:themeColor="text1" w:themeTint="BF"/>
        </w:rPr>
        <w:t xml:space="preserve">U.S. </w:t>
      </w:r>
      <w:r w:rsidRPr="00EF4DC3">
        <w:rPr>
          <w:color w:val="404040" w:themeColor="text1" w:themeTint="BF"/>
        </w:rPr>
        <w:t xml:space="preserve">federal income tax treatment of Contingent Interest Payments is uncertain, and although we believe it is reasonable to take a position that Contingent Interest Payments are not subject to </w:t>
      </w:r>
      <w:r>
        <w:rPr>
          <w:color w:val="404040" w:themeColor="text1" w:themeTint="BF"/>
        </w:rPr>
        <w:t xml:space="preserve">U.S. </w:t>
      </w:r>
      <w:r w:rsidRPr="00EF4DC3">
        <w:rPr>
          <w:color w:val="404040" w:themeColor="text1" w:themeTint="BF"/>
        </w:rPr>
        <w:t xml:space="preserve">withholding tax (at least if an applicable Form W-8 is provided), a withholding agent may nonetheless withhold on these payments (generally at a rate of 30%, subject to the possible reduction of that rate under an applicable income tax treaty), unless income from your notes is effectively </w:t>
      </w:r>
      <w:r w:rsidRPr="00EF4DC3">
        <w:rPr>
          <w:color w:val="404040" w:themeColor="text1" w:themeTint="BF"/>
        </w:rPr>
        <w:lastRenderedPageBreak/>
        <w:t>connected with your conduct of a trade or business in the United States (and, if an applicable treaty so requires, attributable to a permanent establishment in the United States).</w:t>
      </w:r>
      <w:r>
        <w:rPr>
          <w:color w:val="404040" w:themeColor="text1" w:themeTint="BF"/>
        </w:rPr>
        <w:t xml:space="preserve">  </w:t>
      </w:r>
      <w:r w:rsidRPr="00EF4DC3">
        <w:rPr>
          <w:color w:val="404040" w:themeColor="text1" w:themeTint="BF"/>
        </w:rPr>
        <w:t xml:space="preserve">If you are not a United States person, you are urged to consult your tax adviser regarding the </w:t>
      </w:r>
      <w:r>
        <w:rPr>
          <w:color w:val="404040" w:themeColor="text1" w:themeTint="BF"/>
        </w:rPr>
        <w:t xml:space="preserve">U.S. </w:t>
      </w:r>
      <w:r w:rsidRPr="00EF4DC3">
        <w:rPr>
          <w:color w:val="404040" w:themeColor="text1" w:themeTint="BF"/>
        </w:rPr>
        <w:t>federal income tax consequences of an investment in the notes in light of your particular circumstances.</w:t>
      </w:r>
    </w:p>
    <w:p w:rsidR="008C6458" w:rsidRPr="00EF4DC3" w:rsidRDefault="008C6458" w:rsidP="008C6458">
      <w:pPr>
        <w:spacing w:after="120"/>
        <w:rPr>
          <w:color w:val="404040" w:themeColor="text1" w:themeTint="BF"/>
        </w:rPr>
      </w:pPr>
      <w:r w:rsidRPr="00135011">
        <w:rPr>
          <w:color w:val="404040" w:themeColor="text1" w:themeTint="BF"/>
        </w:rPr>
        <w:t>Section 871(m) of the Code and Treasury regulations promulgated thereunder (</w:t>
      </w:r>
      <w:r>
        <w:rPr>
          <w:color w:val="404040" w:themeColor="text1" w:themeTint="BF"/>
        </w:rPr>
        <w:t>“</w:t>
      </w:r>
      <w:r w:rsidRPr="00135011">
        <w:rPr>
          <w:color w:val="404040" w:themeColor="text1" w:themeTint="BF"/>
        </w:rPr>
        <w:t>Section 871(m)</w:t>
      </w:r>
      <w:r>
        <w:rPr>
          <w:color w:val="404040" w:themeColor="text1" w:themeTint="BF"/>
        </w:rPr>
        <w:t>”</w:t>
      </w:r>
      <w:r w:rsidRPr="00135011">
        <w:rPr>
          <w:color w:val="404040" w:themeColor="text1" w:themeTint="BF"/>
        </w:rPr>
        <w:t xml:space="preserve">) generally impose a 30% withholding tax (unless an income tax treaty applies) on dividend equivalents paid or deemed paid to Non-U.S. Holders with respect to certain financial instruments linked to U.S. equities or indices that include U.S. equities.  Section 871(m) provides certain exceptions to this withholding regime, including for instruments linked to certain broad-based indices that meet requirements set forth in the applicable Treasury regulations.  Additionally, </w:t>
      </w:r>
      <w:r>
        <w:rPr>
          <w:color w:val="404040" w:themeColor="text1" w:themeTint="BF"/>
        </w:rPr>
        <w:t>a recent IRS notice excludes</w:t>
      </w:r>
      <w:r w:rsidRPr="00135011">
        <w:rPr>
          <w:color w:val="404040" w:themeColor="text1" w:themeTint="BF"/>
        </w:rPr>
        <w:t xml:space="preserve"> from the scope of Section 871(m) instruments issued </w:t>
      </w:r>
      <w:r>
        <w:rPr>
          <w:color w:val="404040" w:themeColor="text1" w:themeTint="BF"/>
        </w:rPr>
        <w:t>prior to January 1, 2023</w:t>
      </w:r>
      <w:r w:rsidRPr="00135011">
        <w:rPr>
          <w:color w:val="404040" w:themeColor="text1" w:themeTint="BF"/>
        </w:rPr>
        <w:t xml:space="preserve"> that do not have a delta of one with respect to underlying securities that could pay U.S.-source dividends for U.S. federal income tax purposes (each an </w:t>
      </w:r>
      <w:r>
        <w:rPr>
          <w:color w:val="404040" w:themeColor="text1" w:themeTint="BF"/>
        </w:rPr>
        <w:t>“</w:t>
      </w:r>
      <w:r w:rsidRPr="00135011">
        <w:rPr>
          <w:color w:val="404040" w:themeColor="text1" w:themeTint="BF"/>
        </w:rPr>
        <w:t>Underlying Security</w:t>
      </w:r>
      <w:r>
        <w:rPr>
          <w:color w:val="404040" w:themeColor="text1" w:themeTint="BF"/>
        </w:rPr>
        <w:t>”</w:t>
      </w:r>
      <w:r w:rsidRPr="00135011">
        <w:rPr>
          <w:color w:val="404040" w:themeColor="text1" w:themeTint="BF"/>
        </w:rPr>
        <w:t>).  Based on certain determinations made by us, we expect that Section 871(m) will not apply to the notes with regard to Non-U.S. Holders.  Our determination is not binding on the IRS, and the IRS may disagree with this determination.  Section 871(m) is complex and its application may depend on your particular circumstances, including whether you enter into other transactions with respect to an Underlying Security.  If necessary, further information regarding the potential application of Section 871(m) will be provided in the pricing supplement for the notes.  You should consult your tax adviser regarding the potential application of Section 871(m) to the notes.</w:t>
      </w:r>
    </w:p>
    <w:p w:rsidR="00F54EB9" w:rsidRPr="00AB6808" w:rsidRDefault="00F54EB9" w:rsidP="00AB6808">
      <w:pPr>
        <w:pStyle w:val="Heading1"/>
        <w:keepNext/>
        <w:rPr>
          <w:b w:val="0"/>
          <w:color w:val="404040" w:themeColor="text1" w:themeTint="BF"/>
          <w:sz w:val="18"/>
        </w:rPr>
      </w:pPr>
      <w:r w:rsidRPr="00AB6808">
        <w:rPr>
          <w:b w:val="0"/>
          <w:color w:val="404040" w:themeColor="text1" w:themeTint="BF"/>
          <w:sz w:val="18"/>
        </w:rPr>
        <w:t>In the event of any withholding on the notes, we will not be required to pay any additional amounts with respect to amounts so withheld.</w:t>
      </w:r>
    </w:p>
    <w:p w:rsidR="00F50DB4" w:rsidRPr="006968AD" w:rsidRDefault="00F50DB4" w:rsidP="00F50DB4">
      <w:pPr>
        <w:pStyle w:val="Heading1"/>
        <w:keepNext/>
        <w:rPr>
          <w:color w:val="4E8ABE"/>
        </w:rPr>
      </w:pPr>
      <w:r>
        <w:rPr>
          <w:color w:val="4E8ABE"/>
        </w:rPr>
        <w:t>The</w:t>
      </w:r>
      <w:r w:rsidRPr="006968AD">
        <w:rPr>
          <w:color w:val="4E8ABE"/>
        </w:rPr>
        <w:t xml:space="preserve"> Estimated Value of the Notes</w:t>
      </w:r>
    </w:p>
    <w:p w:rsidR="00F50DB4" w:rsidRPr="00966ED2" w:rsidRDefault="004A4A66" w:rsidP="00F50DB4">
      <w:pPr>
        <w:spacing w:after="120"/>
        <w:rPr>
          <w:color w:val="404040" w:themeColor="text1" w:themeTint="BF"/>
        </w:rPr>
      </w:pPr>
      <w:r>
        <w:rPr>
          <w:color w:val="404040" w:themeColor="text1" w:themeTint="BF"/>
        </w:rPr>
        <w:t>The</w:t>
      </w:r>
      <w:r w:rsidRPr="00966ED2">
        <w:rPr>
          <w:color w:val="404040" w:themeColor="text1" w:themeTint="BF"/>
        </w:rPr>
        <w:t xml:space="preserve"> estimated value of the notes set forth on the cover of </w:t>
      </w:r>
      <w:r>
        <w:rPr>
          <w:color w:val="404040" w:themeColor="text1" w:themeTint="BF"/>
        </w:rPr>
        <w:t>this pricing supplement</w:t>
      </w:r>
      <w:r w:rsidRPr="00966ED2">
        <w:rPr>
          <w:color w:val="404040" w:themeColor="text1" w:themeTint="BF"/>
        </w:rPr>
        <w:t xml:space="preserve"> is equal to the sum of the values of the following hypothetical components: (1) a fixed-income debt component with the same maturity as the notes, valued using </w:t>
      </w:r>
      <w:r>
        <w:rPr>
          <w:color w:val="404040" w:themeColor="text1" w:themeTint="BF"/>
        </w:rPr>
        <w:t>the</w:t>
      </w:r>
      <w:r w:rsidRPr="00966ED2">
        <w:rPr>
          <w:color w:val="404040" w:themeColor="text1" w:themeTint="BF"/>
        </w:rPr>
        <w:t xml:space="preserve"> internal funding rate</w:t>
      </w:r>
      <w:r>
        <w:rPr>
          <w:color w:val="404040" w:themeColor="text1" w:themeTint="BF"/>
        </w:rPr>
        <w:t xml:space="preserve"> described below</w:t>
      </w:r>
      <w:r w:rsidRPr="00966ED2">
        <w:rPr>
          <w:color w:val="404040" w:themeColor="text1" w:themeTint="BF"/>
        </w:rPr>
        <w:t>, and (2) the derivative or derivatives underlying the economic terms of the notes.</w:t>
      </w:r>
      <w:r>
        <w:rPr>
          <w:color w:val="404040" w:themeColor="text1" w:themeTint="BF"/>
        </w:rPr>
        <w:t xml:space="preserve">  The</w:t>
      </w:r>
      <w:r w:rsidRPr="00966ED2">
        <w:rPr>
          <w:color w:val="404040" w:themeColor="text1" w:themeTint="BF"/>
        </w:rPr>
        <w:t xml:space="preserve"> estimated value</w:t>
      </w:r>
      <w:r>
        <w:rPr>
          <w:color w:val="404040" w:themeColor="text1" w:themeTint="BF"/>
          <w:szCs w:val="18"/>
        </w:rPr>
        <w:t xml:space="preserve"> of the notes</w:t>
      </w:r>
      <w:r w:rsidRPr="00966ED2">
        <w:rPr>
          <w:color w:val="404040" w:themeColor="text1" w:themeTint="BF"/>
        </w:rPr>
        <w:t xml:space="preserve"> does not represent a minimum price at which JPMS would be willing to buy your notes in any secondary market (if any exists) at any time.</w:t>
      </w:r>
      <w:r>
        <w:rPr>
          <w:color w:val="404040" w:themeColor="text1" w:themeTint="BF"/>
        </w:rPr>
        <w:t xml:space="preserve">  </w:t>
      </w:r>
      <w:r w:rsidRPr="00966ED2">
        <w:rPr>
          <w:color w:val="404040" w:themeColor="text1" w:themeTint="BF"/>
        </w:rPr>
        <w:t xml:space="preserve">The internal funding rate used in the determination of </w:t>
      </w:r>
      <w:r>
        <w:rPr>
          <w:color w:val="404040" w:themeColor="text1" w:themeTint="BF"/>
        </w:rPr>
        <w:t>the</w:t>
      </w:r>
      <w:r w:rsidRPr="00966ED2">
        <w:rPr>
          <w:color w:val="404040" w:themeColor="text1" w:themeTint="BF"/>
        </w:rPr>
        <w:t xml:space="preserve"> estimated value</w:t>
      </w:r>
      <w:r w:rsidRPr="002B0284">
        <w:rPr>
          <w:color w:val="404040" w:themeColor="text1" w:themeTint="BF"/>
        </w:rPr>
        <w:t xml:space="preserve"> of the notes</w:t>
      </w:r>
      <w:r w:rsidRPr="00966ED2">
        <w:rPr>
          <w:color w:val="404040" w:themeColor="text1" w:themeTint="BF"/>
        </w:rPr>
        <w:t xml:space="preserve"> </w:t>
      </w:r>
      <w:r w:rsidRPr="00AE1376">
        <w:rPr>
          <w:color w:val="404040" w:themeColor="text1" w:themeTint="BF"/>
        </w:rPr>
        <w:t xml:space="preserve">may differ from the market-implied funding rate for vanilla fixed income instruments of a similar maturity issued by JPMorgan Chase &amp; Co. or its affiliates.  Any difference may be </w:t>
      </w:r>
      <w:r w:rsidRPr="00B77543">
        <w:rPr>
          <w:color w:val="404040" w:themeColor="text1" w:themeTint="BF"/>
        </w:rPr>
        <w:t>based on, among other things, our</w:t>
      </w:r>
      <w:r>
        <w:rPr>
          <w:color w:val="404040" w:themeColor="text1" w:themeTint="BF"/>
        </w:rPr>
        <w:t xml:space="preserve"> and our affiliates’</w:t>
      </w:r>
      <w:r w:rsidRPr="00B77543">
        <w:rPr>
          <w:color w:val="404040" w:themeColor="text1" w:themeTint="BF"/>
        </w:rPr>
        <w:t xml:space="preserve"> view of the funding value of the </w:t>
      </w:r>
      <w:r>
        <w:rPr>
          <w:color w:val="404040" w:themeColor="text1" w:themeTint="BF"/>
        </w:rPr>
        <w:t>notes</w:t>
      </w:r>
      <w:r w:rsidRPr="00B77543">
        <w:rPr>
          <w:color w:val="404040" w:themeColor="text1" w:themeTint="BF"/>
        </w:rPr>
        <w:t xml:space="preserve"> as well as the </w:t>
      </w:r>
      <w:r>
        <w:rPr>
          <w:color w:val="404040" w:themeColor="text1" w:themeTint="BF"/>
        </w:rPr>
        <w:t xml:space="preserve">higher </w:t>
      </w:r>
      <w:r w:rsidRPr="00B77543">
        <w:rPr>
          <w:color w:val="404040" w:themeColor="text1" w:themeTint="BF"/>
        </w:rPr>
        <w:t xml:space="preserve">issuance, operational and ongoing liability management costs of the </w:t>
      </w:r>
      <w:r>
        <w:rPr>
          <w:color w:val="404040" w:themeColor="text1" w:themeTint="BF"/>
        </w:rPr>
        <w:t>notes</w:t>
      </w:r>
      <w:r w:rsidRPr="002B0284">
        <w:rPr>
          <w:color w:val="404040" w:themeColor="text1" w:themeTint="BF"/>
        </w:rPr>
        <w:t xml:space="preserve"> in comparison to those costs for the conventional fixed</w:t>
      </w:r>
      <w:r>
        <w:rPr>
          <w:color w:val="404040" w:themeColor="text1" w:themeTint="BF"/>
        </w:rPr>
        <w:t xml:space="preserve"> income instruments</w:t>
      </w:r>
      <w:r w:rsidRPr="002B0284">
        <w:rPr>
          <w:color w:val="404040" w:themeColor="text1" w:themeTint="BF"/>
        </w:rPr>
        <w:t xml:space="preserve"> of JPMorgan Chase &amp; </w:t>
      </w:r>
      <w:r>
        <w:rPr>
          <w:color w:val="404040" w:themeColor="text1" w:themeTint="BF"/>
        </w:rPr>
        <w:t xml:space="preserve">Co.  </w:t>
      </w:r>
      <w:r w:rsidRPr="00AE1376">
        <w:rPr>
          <w:color w:val="404040" w:themeColor="text1" w:themeTint="BF"/>
        </w:rPr>
        <w:t xml:space="preserve">This internal funding rate is based on certain market inputs and assumptions, which may prove to be incorrect, and is intended to approximate the prevailing market replacement funding rate for the notes.  The use of an internal funding rate and any potential changes to that rate may have an adverse effect on the terms of the notes and any secondary market prices of the notes. </w:t>
      </w:r>
      <w:r>
        <w:rPr>
          <w:color w:val="404040" w:themeColor="text1" w:themeTint="BF"/>
        </w:rPr>
        <w:t xml:space="preserve"> </w:t>
      </w:r>
      <w:r w:rsidRPr="00966ED2">
        <w:rPr>
          <w:color w:val="404040" w:themeColor="text1" w:themeTint="BF"/>
        </w:rPr>
        <w:t xml:space="preserve">For additional information, see </w:t>
      </w:r>
      <w:r>
        <w:rPr>
          <w:color w:val="404040" w:themeColor="text1" w:themeTint="BF"/>
        </w:rPr>
        <w:t>“</w:t>
      </w:r>
      <w:r w:rsidRPr="00966ED2">
        <w:rPr>
          <w:color w:val="404040" w:themeColor="text1" w:themeTint="BF"/>
        </w:rPr>
        <w:t xml:space="preserve">Selected Risk Considerations — </w:t>
      </w:r>
      <w:r w:rsidR="00464049" w:rsidRPr="00464049">
        <w:rPr>
          <w:color w:val="404040" w:themeColor="text1" w:themeTint="BF"/>
        </w:rPr>
        <w:t>Risks Relating to the Estimated Value and Secondary Market Prices of the Notes —</w:t>
      </w:r>
      <w:r w:rsidR="00464049">
        <w:rPr>
          <w:color w:val="404040" w:themeColor="text1" w:themeTint="BF"/>
        </w:rPr>
        <w:t xml:space="preserve"> </w:t>
      </w:r>
      <w:r>
        <w:rPr>
          <w:color w:val="404040" w:themeColor="text1" w:themeTint="BF"/>
        </w:rPr>
        <w:t>The</w:t>
      </w:r>
      <w:r w:rsidRPr="00966ED2">
        <w:rPr>
          <w:color w:val="404040" w:themeColor="text1" w:themeTint="BF"/>
        </w:rPr>
        <w:t xml:space="preserve"> Estimated Value</w:t>
      </w:r>
      <w:r>
        <w:rPr>
          <w:color w:val="404040" w:themeColor="text1" w:themeTint="BF"/>
        </w:rPr>
        <w:t xml:space="preserve"> of the Notes</w:t>
      </w:r>
      <w:r w:rsidRPr="00966ED2">
        <w:rPr>
          <w:color w:val="404040" w:themeColor="text1" w:themeTint="BF"/>
        </w:rPr>
        <w:t xml:space="preserve"> Is </w:t>
      </w:r>
      <w:r>
        <w:rPr>
          <w:color w:val="404040" w:themeColor="text1" w:themeTint="BF"/>
        </w:rPr>
        <w:t xml:space="preserve">Derived </w:t>
      </w:r>
      <w:r w:rsidRPr="00966ED2">
        <w:rPr>
          <w:color w:val="404040" w:themeColor="text1" w:themeTint="BF"/>
        </w:rPr>
        <w:t xml:space="preserve">by Reference to </w:t>
      </w:r>
      <w:r>
        <w:rPr>
          <w:color w:val="404040" w:themeColor="text1" w:themeTint="BF"/>
        </w:rPr>
        <w:t>an Internal Funding Rate” in this pricing supplement</w:t>
      </w:r>
      <w:r w:rsidR="00F50DB4">
        <w:rPr>
          <w:color w:val="404040" w:themeColor="text1" w:themeTint="BF"/>
        </w:rPr>
        <w:t>.</w:t>
      </w:r>
    </w:p>
    <w:p w:rsidR="00F50DB4" w:rsidRPr="00966ED2" w:rsidRDefault="00F50DB4" w:rsidP="00F50DB4">
      <w:pPr>
        <w:spacing w:after="120"/>
        <w:rPr>
          <w:color w:val="404040" w:themeColor="text1" w:themeTint="BF"/>
        </w:rPr>
      </w:pPr>
      <w:r w:rsidRPr="00966ED2">
        <w:rPr>
          <w:color w:val="404040" w:themeColor="text1" w:themeTint="BF"/>
        </w:rPr>
        <w:t>The value of the derivative or derivatives underlying the economic terms of the notes is derived from internal pricing models</w:t>
      </w:r>
      <w:r>
        <w:rPr>
          <w:color w:val="404040" w:themeColor="text1" w:themeTint="BF"/>
        </w:rPr>
        <w:t xml:space="preserve"> of our affiliates</w:t>
      </w:r>
      <w:r w:rsidR="00422B5A" w:rsidRPr="00966ED2">
        <w:rPr>
          <w:color w:val="404040" w:themeColor="text1" w:themeTint="BF"/>
        </w:rPr>
        <w:t>.</w:t>
      </w:r>
      <w:r w:rsidR="00422B5A">
        <w:rPr>
          <w:color w:val="404040" w:themeColor="text1" w:themeTint="BF"/>
        </w:rPr>
        <w:t xml:space="preserve">  </w:t>
      </w:r>
      <w:r w:rsidRPr="00966ED2">
        <w:rPr>
          <w:color w:val="404040" w:themeColor="text1" w:themeTint="BF"/>
        </w:rPr>
        <w:t>These models are dependent on inputs such as the traded market prices of comparable derivative instruments and on various other inputs, some of which are market-observable, and which can include volatility, dividend rates, interest rates and other factors, as well as assumptions about future market events and/or environments</w:t>
      </w:r>
      <w:r w:rsidR="00422B5A" w:rsidRPr="00966ED2">
        <w:rPr>
          <w:color w:val="404040" w:themeColor="text1" w:themeTint="BF"/>
        </w:rPr>
        <w:t>.</w:t>
      </w:r>
      <w:r w:rsidR="00422B5A">
        <w:rPr>
          <w:color w:val="404040" w:themeColor="text1" w:themeTint="BF"/>
        </w:rPr>
        <w:t xml:space="preserve">  </w:t>
      </w:r>
      <w:r w:rsidRPr="00966ED2">
        <w:rPr>
          <w:color w:val="404040" w:themeColor="text1" w:themeTint="BF"/>
        </w:rPr>
        <w:t xml:space="preserve">Accordingly, </w:t>
      </w:r>
      <w:r>
        <w:rPr>
          <w:color w:val="404040" w:themeColor="text1" w:themeTint="BF"/>
        </w:rPr>
        <w:t>the</w:t>
      </w:r>
      <w:r w:rsidRPr="00966ED2">
        <w:rPr>
          <w:color w:val="404040" w:themeColor="text1" w:themeTint="BF"/>
        </w:rPr>
        <w:t xml:space="preserve"> estimated value of the notes is determined when the terms of the notes are set based on market conditions and other relevant factors and assu</w:t>
      </w:r>
      <w:r>
        <w:rPr>
          <w:color w:val="404040" w:themeColor="text1" w:themeTint="BF"/>
        </w:rPr>
        <w:t>mptions existing at that time.</w:t>
      </w:r>
    </w:p>
    <w:p w:rsidR="00F50DB4" w:rsidRPr="00966ED2" w:rsidRDefault="00F50DB4" w:rsidP="00F50DB4">
      <w:pPr>
        <w:spacing w:after="120"/>
        <w:rPr>
          <w:color w:val="404040" w:themeColor="text1" w:themeTint="BF"/>
        </w:rPr>
      </w:pPr>
      <w:r>
        <w:rPr>
          <w:color w:val="404040" w:themeColor="text1" w:themeTint="BF"/>
        </w:rPr>
        <w:t>The</w:t>
      </w:r>
      <w:r w:rsidRPr="00966ED2">
        <w:rPr>
          <w:color w:val="404040" w:themeColor="text1" w:themeTint="BF"/>
        </w:rPr>
        <w:t xml:space="preserve"> estimated value</w:t>
      </w:r>
      <w:r>
        <w:rPr>
          <w:color w:val="404040" w:themeColor="text1" w:themeTint="BF"/>
          <w:szCs w:val="18"/>
        </w:rPr>
        <w:t xml:space="preserve"> of the notes</w:t>
      </w:r>
      <w:r w:rsidRPr="00966ED2">
        <w:rPr>
          <w:color w:val="404040" w:themeColor="text1" w:themeTint="BF"/>
        </w:rPr>
        <w:t xml:space="preserve"> does not represent future values of the notes and may differ from others</w:t>
      </w:r>
      <w:r w:rsidR="00593BC3">
        <w:rPr>
          <w:color w:val="404040" w:themeColor="text1" w:themeTint="BF"/>
        </w:rPr>
        <w:t>’</w:t>
      </w:r>
      <w:r w:rsidRPr="00966ED2">
        <w:rPr>
          <w:color w:val="404040" w:themeColor="text1" w:themeTint="BF"/>
        </w:rPr>
        <w:t xml:space="preserve"> estimates</w:t>
      </w:r>
      <w:r w:rsidR="00422B5A">
        <w:rPr>
          <w:color w:val="404040" w:themeColor="text1" w:themeTint="BF"/>
        </w:rPr>
        <w:t xml:space="preserve">.  </w:t>
      </w:r>
      <w:r w:rsidRPr="00966ED2">
        <w:rPr>
          <w:color w:val="404040" w:themeColor="text1" w:themeTint="BF"/>
        </w:rPr>
        <w:t xml:space="preserve">Different pricing models and assumptions could provide valuations for </w:t>
      </w:r>
      <w:r>
        <w:rPr>
          <w:color w:val="404040" w:themeColor="text1" w:themeTint="BF"/>
        </w:rPr>
        <w:t xml:space="preserve">the </w:t>
      </w:r>
      <w:r w:rsidRPr="00966ED2">
        <w:rPr>
          <w:color w:val="404040" w:themeColor="text1" w:themeTint="BF"/>
        </w:rPr>
        <w:t xml:space="preserve">notes that are greater than or less than </w:t>
      </w:r>
      <w:r>
        <w:rPr>
          <w:color w:val="404040" w:themeColor="text1" w:themeTint="BF"/>
        </w:rPr>
        <w:t>the</w:t>
      </w:r>
      <w:r w:rsidRPr="00966ED2">
        <w:rPr>
          <w:color w:val="404040" w:themeColor="text1" w:themeTint="BF"/>
        </w:rPr>
        <w:t xml:space="preserve"> estimated value</w:t>
      </w:r>
      <w:r>
        <w:rPr>
          <w:color w:val="404040" w:themeColor="text1" w:themeTint="BF"/>
          <w:szCs w:val="18"/>
        </w:rPr>
        <w:t xml:space="preserve"> of the notes</w:t>
      </w:r>
      <w:r w:rsidR="00422B5A" w:rsidRPr="00966ED2">
        <w:rPr>
          <w:color w:val="404040" w:themeColor="text1" w:themeTint="BF"/>
        </w:rPr>
        <w:t>.</w:t>
      </w:r>
      <w:r w:rsidR="00422B5A">
        <w:rPr>
          <w:color w:val="404040" w:themeColor="text1" w:themeTint="BF"/>
        </w:rPr>
        <w:t xml:space="preserve">  </w:t>
      </w:r>
      <w:r w:rsidRPr="00966ED2">
        <w:rPr>
          <w:color w:val="404040" w:themeColor="text1" w:themeTint="BF"/>
        </w:rPr>
        <w:t>In addition, market conditions and other relevant factors in the future may change, and any assumptions may prove to be incorrect</w:t>
      </w:r>
      <w:r w:rsidR="00422B5A" w:rsidRPr="00966ED2">
        <w:rPr>
          <w:color w:val="404040" w:themeColor="text1" w:themeTint="BF"/>
        </w:rPr>
        <w:t>.</w:t>
      </w:r>
      <w:r w:rsidR="00422B5A">
        <w:rPr>
          <w:color w:val="404040" w:themeColor="text1" w:themeTint="BF"/>
        </w:rPr>
        <w:t xml:space="preserve">  </w:t>
      </w:r>
      <w:r w:rsidRPr="00966ED2">
        <w:rPr>
          <w:color w:val="404040" w:themeColor="text1" w:themeTint="BF"/>
        </w:rPr>
        <w:t xml:space="preserve">On future dates, the value of the notes could change significantly based on, among other things, changes in market conditions, our </w:t>
      </w:r>
      <w:r w:rsidRPr="000956C7">
        <w:rPr>
          <w:color w:val="404040" w:themeColor="text1" w:themeTint="BF"/>
        </w:rPr>
        <w:t>or JPMorgan Chase &amp; Co.</w:t>
      </w:r>
      <w:r w:rsidR="00593BC3">
        <w:rPr>
          <w:color w:val="404040" w:themeColor="text1" w:themeTint="BF"/>
        </w:rPr>
        <w:t>’</w:t>
      </w:r>
      <w:r w:rsidRPr="000956C7">
        <w:rPr>
          <w:color w:val="404040" w:themeColor="text1" w:themeTint="BF"/>
        </w:rPr>
        <w:t xml:space="preserve">s </w:t>
      </w:r>
      <w:r w:rsidRPr="00966ED2">
        <w:rPr>
          <w:color w:val="404040" w:themeColor="text1" w:themeTint="BF"/>
        </w:rPr>
        <w:t>creditworthiness, interest rate movements and other relevant factors, which may impact the price, if any, at which JPMS would be willing to buy notes from you in second</w:t>
      </w:r>
      <w:r>
        <w:rPr>
          <w:color w:val="404040" w:themeColor="text1" w:themeTint="BF"/>
        </w:rPr>
        <w:t>ary market transactions.</w:t>
      </w:r>
    </w:p>
    <w:p w:rsidR="00F50DB4" w:rsidRPr="00966ED2" w:rsidRDefault="004A4A66" w:rsidP="0076078B">
      <w:pPr>
        <w:rPr>
          <w:color w:val="404040" w:themeColor="text1" w:themeTint="BF"/>
        </w:rPr>
      </w:pPr>
      <w:r>
        <w:rPr>
          <w:color w:val="404040" w:themeColor="text1" w:themeTint="BF"/>
        </w:rPr>
        <w:t>The estimated value of the notes will be</w:t>
      </w:r>
      <w:r w:rsidRPr="00966ED2">
        <w:rPr>
          <w:color w:val="404040" w:themeColor="text1" w:themeTint="BF"/>
        </w:rPr>
        <w:t xml:space="preserve"> lower than the original issue price of the notes because costs associated with </w:t>
      </w:r>
      <w:r w:rsidR="000A2EF6" w:rsidRPr="000A2EF6">
        <w:rPr>
          <w:color w:val="404040" w:themeColor="text1" w:themeTint="BF"/>
        </w:rPr>
        <w:t xml:space="preserve">selling, </w:t>
      </w:r>
      <w:r w:rsidRPr="00966ED2">
        <w:rPr>
          <w:color w:val="404040" w:themeColor="text1" w:themeTint="BF"/>
        </w:rPr>
        <w:t>structuring and hedging the notes are included in the original issue price of the notes.  These costs include</w:t>
      </w:r>
      <w:r>
        <w:rPr>
          <w:color w:val="404040" w:themeColor="text1" w:themeTint="BF"/>
        </w:rPr>
        <w:t xml:space="preserve"> </w:t>
      </w:r>
      <w:r w:rsidR="000A2EF6" w:rsidRPr="000A2EF6">
        <w:rPr>
          <w:color w:val="404040" w:themeColor="text1" w:themeTint="BF"/>
        </w:rPr>
        <w:t xml:space="preserve">the selling commissions paid to JPMS and other affiliated or unaffiliated dealers, </w:t>
      </w:r>
      <w:r w:rsidR="00532289" w:rsidRPr="00532289">
        <w:rPr>
          <w:color w:val="404040" w:themeColor="text1" w:themeTint="BF"/>
        </w:rPr>
        <w:t xml:space="preserve">the </w:t>
      </w:r>
      <w:r w:rsidRPr="00966ED2">
        <w:rPr>
          <w:color w:val="404040" w:themeColor="text1" w:themeTint="BF"/>
        </w:rPr>
        <w:t>projected profits, if any, that our affiliates expect to realize for assuming risks inherent in hedging our obligations under the notes and the estimated cost of hedging our obligations under the notes.  Because hedging our obligations entails risk and may be influenced by market forces beyond our control, this hedging may result in a profit that is more or less than expected, or it may result in a loss</w:t>
      </w:r>
      <w:r>
        <w:rPr>
          <w:color w:val="404040" w:themeColor="text1" w:themeTint="BF"/>
        </w:rPr>
        <w:t xml:space="preserve">.  </w:t>
      </w:r>
      <w:r w:rsidRPr="00055AC1">
        <w:rPr>
          <w:color w:val="404040" w:themeColor="text1" w:themeTint="BF"/>
        </w:rPr>
        <w:t>A</w:t>
      </w:r>
      <w:r>
        <w:rPr>
          <w:color w:val="404040" w:themeColor="text1" w:themeTint="BF"/>
        </w:rPr>
        <w:t xml:space="preserve"> portion of the profits, if any,</w:t>
      </w:r>
      <w:r w:rsidRPr="00055AC1">
        <w:rPr>
          <w:color w:val="404040" w:themeColor="text1" w:themeTint="BF"/>
        </w:rPr>
        <w:t xml:space="preserve"> realized in hedging our obligations under the notes may be allowed to other affiliated or unaffiliated dealers, and we or one or more of our affiliates will retain any r</w:t>
      </w:r>
      <w:r>
        <w:rPr>
          <w:color w:val="404040" w:themeColor="text1" w:themeTint="BF"/>
        </w:rPr>
        <w:t>emaining hedging profits</w:t>
      </w:r>
      <w:r w:rsidRPr="00055AC1">
        <w:rPr>
          <w:color w:val="404040" w:themeColor="text1" w:themeTint="BF"/>
        </w:rPr>
        <w:t>.</w:t>
      </w:r>
      <w:r w:rsidRPr="00966ED2">
        <w:rPr>
          <w:color w:val="404040" w:themeColor="text1" w:themeTint="BF"/>
        </w:rPr>
        <w:t xml:space="preserve">  See </w:t>
      </w:r>
      <w:r>
        <w:rPr>
          <w:color w:val="404040" w:themeColor="text1" w:themeTint="BF"/>
        </w:rPr>
        <w:t>“</w:t>
      </w:r>
      <w:r w:rsidRPr="00966ED2">
        <w:rPr>
          <w:color w:val="404040" w:themeColor="text1" w:themeTint="BF"/>
        </w:rPr>
        <w:t xml:space="preserve">Selected Risk Considerations — </w:t>
      </w:r>
      <w:r w:rsidR="00464049" w:rsidRPr="00464049">
        <w:rPr>
          <w:color w:val="404040" w:themeColor="text1" w:themeTint="BF"/>
        </w:rPr>
        <w:t>Risks Relating to the Estimated Value and Secondary Market Prices of the Notes —</w:t>
      </w:r>
      <w:r w:rsidR="00464049">
        <w:rPr>
          <w:color w:val="404040" w:themeColor="text1" w:themeTint="BF"/>
        </w:rPr>
        <w:t xml:space="preserve"> </w:t>
      </w:r>
      <w:r>
        <w:rPr>
          <w:color w:val="404040" w:themeColor="text1" w:themeTint="BF"/>
        </w:rPr>
        <w:t>The</w:t>
      </w:r>
      <w:r w:rsidRPr="00966ED2">
        <w:rPr>
          <w:color w:val="404040" w:themeColor="text1" w:themeTint="BF"/>
        </w:rPr>
        <w:t xml:space="preserve"> Estimated Value of the Notes </w:t>
      </w:r>
      <w:r>
        <w:rPr>
          <w:color w:val="404040" w:themeColor="text1" w:themeTint="BF"/>
        </w:rPr>
        <w:t>Will Be</w:t>
      </w:r>
      <w:r w:rsidRPr="00966ED2">
        <w:rPr>
          <w:color w:val="404040" w:themeColor="text1" w:themeTint="BF"/>
        </w:rPr>
        <w:t xml:space="preserve"> Lower Than the Original Issue Price (Price to Public) of the Notes</w:t>
      </w:r>
      <w:r>
        <w:rPr>
          <w:color w:val="404040" w:themeColor="text1" w:themeTint="BF"/>
        </w:rPr>
        <w:t>”</w:t>
      </w:r>
      <w:r w:rsidRPr="00966ED2">
        <w:rPr>
          <w:color w:val="404040" w:themeColor="text1" w:themeTint="BF"/>
        </w:rPr>
        <w:t xml:space="preserve"> in </w:t>
      </w:r>
      <w:r>
        <w:rPr>
          <w:color w:val="404040" w:themeColor="text1" w:themeTint="BF"/>
        </w:rPr>
        <w:t>this pricing supplement</w:t>
      </w:r>
      <w:r w:rsidR="00F50DB4" w:rsidRPr="00966ED2">
        <w:rPr>
          <w:color w:val="404040" w:themeColor="text1" w:themeTint="BF"/>
        </w:rPr>
        <w:t>.</w:t>
      </w:r>
    </w:p>
    <w:p w:rsidR="00F50DB4" w:rsidRPr="006968AD" w:rsidRDefault="00F50DB4" w:rsidP="0076078B">
      <w:pPr>
        <w:pStyle w:val="Heading1"/>
        <w:keepNext/>
        <w:spacing w:before="80"/>
        <w:rPr>
          <w:color w:val="4E8ABE"/>
        </w:rPr>
      </w:pPr>
      <w:r w:rsidRPr="006968AD">
        <w:rPr>
          <w:color w:val="4E8ABE"/>
        </w:rPr>
        <w:lastRenderedPageBreak/>
        <w:t>Secondary Market Prices of the Notes</w:t>
      </w:r>
    </w:p>
    <w:p w:rsidR="00F50DB4" w:rsidRPr="00966ED2" w:rsidRDefault="00F50DB4" w:rsidP="001F74E3">
      <w:pPr>
        <w:rPr>
          <w:color w:val="404040" w:themeColor="text1" w:themeTint="BF"/>
        </w:rPr>
      </w:pPr>
      <w:r w:rsidRPr="00966ED2">
        <w:rPr>
          <w:color w:val="404040" w:themeColor="text1" w:themeTint="BF"/>
        </w:rPr>
        <w:t xml:space="preserve">For information about factors that will impact any secondary market prices of the notes, </w:t>
      </w:r>
      <w:r>
        <w:rPr>
          <w:color w:val="404040" w:themeColor="text1" w:themeTint="BF"/>
        </w:rPr>
        <w:t>s</w:t>
      </w:r>
      <w:r w:rsidRPr="004B7E3E">
        <w:rPr>
          <w:color w:val="404040" w:themeColor="text1" w:themeTint="BF"/>
        </w:rPr>
        <w:t xml:space="preserve">ee </w:t>
      </w:r>
      <w:r w:rsidR="00593BC3">
        <w:rPr>
          <w:color w:val="404040" w:themeColor="text1" w:themeTint="BF"/>
        </w:rPr>
        <w:t>“</w:t>
      </w:r>
      <w:r w:rsidRPr="004B7E3E">
        <w:rPr>
          <w:color w:val="404040" w:themeColor="text1" w:themeTint="BF"/>
        </w:rPr>
        <w:t>Risk Factors — Risks Relating to the Estimated Value and Secondary Market Prices of the Notes — Secondary market prices of the notes will be impacted by many economic and market factors</w:t>
      </w:r>
      <w:r w:rsidR="00593BC3">
        <w:rPr>
          <w:color w:val="404040" w:themeColor="text1" w:themeTint="BF"/>
        </w:rPr>
        <w:t>”</w:t>
      </w:r>
      <w:r w:rsidRPr="004B7E3E">
        <w:rPr>
          <w:color w:val="404040" w:themeColor="text1" w:themeTint="BF"/>
        </w:rPr>
        <w:t xml:space="preserve"> in the accompanying product supplement</w:t>
      </w:r>
      <w:r w:rsidR="00422B5A" w:rsidRPr="00966ED2">
        <w:rPr>
          <w:color w:val="404040" w:themeColor="text1" w:themeTint="BF"/>
        </w:rPr>
        <w:t>.</w:t>
      </w:r>
      <w:r w:rsidR="00422B5A">
        <w:rPr>
          <w:color w:val="404040" w:themeColor="text1" w:themeTint="BF"/>
        </w:rPr>
        <w:t xml:space="preserve">  </w:t>
      </w:r>
      <w:r w:rsidRPr="00966ED2">
        <w:rPr>
          <w:color w:val="404040" w:themeColor="text1" w:themeTint="BF"/>
        </w:rPr>
        <w:t>In addition, we generally expect that some of the costs included in the original issue price of the notes will be partially paid back to you in connection with any repurchases of your notes by JPMS in an amount that will decline to zero over an initial predetermined period</w:t>
      </w:r>
      <w:r w:rsidR="00422B5A" w:rsidRPr="00966ED2">
        <w:rPr>
          <w:color w:val="404040" w:themeColor="text1" w:themeTint="BF"/>
        </w:rPr>
        <w:t>.</w:t>
      </w:r>
      <w:r w:rsidR="00422B5A">
        <w:rPr>
          <w:color w:val="404040" w:themeColor="text1" w:themeTint="BF"/>
        </w:rPr>
        <w:t xml:space="preserve">  </w:t>
      </w:r>
      <w:r w:rsidRPr="00966ED2">
        <w:rPr>
          <w:color w:val="404040" w:themeColor="text1" w:themeTint="BF"/>
        </w:rPr>
        <w:t xml:space="preserve">These costs </w:t>
      </w:r>
      <w:r w:rsidR="00D54D33">
        <w:rPr>
          <w:color w:val="404040" w:themeColor="text1" w:themeTint="BF"/>
        </w:rPr>
        <w:t xml:space="preserve">can </w:t>
      </w:r>
      <w:r w:rsidRPr="00966ED2">
        <w:rPr>
          <w:color w:val="404040" w:themeColor="text1" w:themeTint="BF"/>
        </w:rPr>
        <w:t>include</w:t>
      </w:r>
      <w:r w:rsidR="00532289">
        <w:rPr>
          <w:color w:val="404040" w:themeColor="text1" w:themeTint="BF"/>
        </w:rPr>
        <w:t xml:space="preserve"> </w:t>
      </w:r>
      <w:r w:rsidR="000A2EF6" w:rsidRPr="000A2EF6">
        <w:rPr>
          <w:color w:val="404040" w:themeColor="text1" w:themeTint="BF"/>
        </w:rPr>
        <w:t xml:space="preserve">selling commissions, </w:t>
      </w:r>
      <w:r w:rsidRPr="00966ED2">
        <w:rPr>
          <w:color w:val="404040" w:themeColor="text1" w:themeTint="BF"/>
        </w:rPr>
        <w:t xml:space="preserve">projected hedging profits, if any, and, in some circumstances, estimated hedging costs and our </w:t>
      </w:r>
      <w:r>
        <w:rPr>
          <w:color w:val="404040" w:themeColor="text1" w:themeTint="BF"/>
        </w:rPr>
        <w:t xml:space="preserve">internal </w:t>
      </w:r>
      <w:r w:rsidRPr="00966ED2">
        <w:rPr>
          <w:color w:val="404040" w:themeColor="text1" w:themeTint="BF"/>
        </w:rPr>
        <w:t xml:space="preserve">secondary market </w:t>
      </w:r>
      <w:r>
        <w:rPr>
          <w:color w:val="404040" w:themeColor="text1" w:themeTint="BF"/>
        </w:rPr>
        <w:t xml:space="preserve">funding rates </w:t>
      </w:r>
      <w:r w:rsidRPr="00966ED2">
        <w:rPr>
          <w:color w:val="404040" w:themeColor="text1" w:themeTint="BF"/>
        </w:rPr>
        <w:t>for structured debt issuances</w:t>
      </w:r>
      <w:r w:rsidR="00422B5A" w:rsidRPr="00966ED2">
        <w:rPr>
          <w:color w:val="404040" w:themeColor="text1" w:themeTint="BF"/>
        </w:rPr>
        <w:t>.</w:t>
      </w:r>
      <w:r w:rsidR="00422B5A">
        <w:rPr>
          <w:color w:val="404040" w:themeColor="text1" w:themeTint="BF"/>
        </w:rPr>
        <w:t xml:space="preserve">  </w:t>
      </w:r>
      <w:r w:rsidRPr="00966ED2">
        <w:rPr>
          <w:color w:val="404040" w:themeColor="text1" w:themeTint="BF"/>
        </w:rPr>
        <w:t>This initial predetermined time period is intended to be the shorter of six months and one-half of the stated term of the notes</w:t>
      </w:r>
      <w:r w:rsidR="00422B5A" w:rsidRPr="00966ED2">
        <w:rPr>
          <w:color w:val="404040" w:themeColor="text1" w:themeTint="BF"/>
        </w:rPr>
        <w:t>.</w:t>
      </w:r>
      <w:r w:rsidR="00422B5A">
        <w:rPr>
          <w:color w:val="404040" w:themeColor="text1" w:themeTint="BF"/>
        </w:rPr>
        <w:t xml:space="preserve">  </w:t>
      </w:r>
      <w:r w:rsidRPr="00966ED2">
        <w:rPr>
          <w:color w:val="404040" w:themeColor="text1" w:themeTint="BF"/>
        </w:rPr>
        <w:t xml:space="preserve">The length of any such initial period reflects the structure of the notes, whether our affiliates expect to earn a profit in connection with our hedging activities, the estimated costs of hedging the notes and when these costs are incurred, as determined by </w:t>
      </w:r>
      <w:r>
        <w:rPr>
          <w:color w:val="404040" w:themeColor="text1" w:themeTint="BF"/>
        </w:rPr>
        <w:t>our affiliates</w:t>
      </w:r>
      <w:r w:rsidR="00422B5A" w:rsidRPr="00966ED2">
        <w:rPr>
          <w:color w:val="404040" w:themeColor="text1" w:themeTint="BF"/>
        </w:rPr>
        <w:t>.</w:t>
      </w:r>
      <w:r w:rsidR="00422B5A">
        <w:rPr>
          <w:color w:val="404040" w:themeColor="text1" w:themeTint="BF"/>
        </w:rPr>
        <w:t xml:space="preserve">  </w:t>
      </w:r>
      <w:r w:rsidRPr="00966ED2">
        <w:rPr>
          <w:color w:val="404040" w:themeColor="text1" w:themeTint="BF"/>
        </w:rPr>
        <w:t xml:space="preserve">See </w:t>
      </w:r>
      <w:r w:rsidR="00593BC3">
        <w:rPr>
          <w:color w:val="404040" w:themeColor="text1" w:themeTint="BF"/>
        </w:rPr>
        <w:t>“</w:t>
      </w:r>
      <w:r w:rsidRPr="00966ED2">
        <w:rPr>
          <w:color w:val="404040" w:themeColor="text1" w:themeTint="BF"/>
        </w:rPr>
        <w:t xml:space="preserve">Selected Risk Considerations — </w:t>
      </w:r>
      <w:r w:rsidR="00464049" w:rsidRPr="00464049">
        <w:rPr>
          <w:color w:val="404040" w:themeColor="text1" w:themeTint="BF"/>
        </w:rPr>
        <w:t>Risks Relating to the Estimated Value and Secondary Market Prices of the Notes —</w:t>
      </w:r>
      <w:r w:rsidR="00464049">
        <w:rPr>
          <w:color w:val="404040" w:themeColor="text1" w:themeTint="BF"/>
        </w:rPr>
        <w:t xml:space="preserve"> </w:t>
      </w:r>
      <w:r w:rsidRPr="00966ED2">
        <w:rPr>
          <w:color w:val="404040" w:themeColor="text1" w:themeTint="BF"/>
        </w:rPr>
        <w:t xml:space="preserve">The Value of the Notes as Published by JPMS (and Which May Be Reflected on Customer Account Statements) May Be Higher Than </w:t>
      </w:r>
      <w:r>
        <w:rPr>
          <w:color w:val="404040" w:themeColor="text1" w:themeTint="BF"/>
        </w:rPr>
        <w:t>the</w:t>
      </w:r>
      <w:r w:rsidRPr="00966ED2">
        <w:rPr>
          <w:color w:val="404040" w:themeColor="text1" w:themeTint="BF"/>
        </w:rPr>
        <w:t xml:space="preserve"> Then-Current Estimated Value of the Notes for a Limited Time Perio</w:t>
      </w:r>
      <w:r>
        <w:rPr>
          <w:color w:val="404040" w:themeColor="text1" w:themeTint="BF"/>
        </w:rPr>
        <w:t>d</w:t>
      </w:r>
      <w:r w:rsidR="00593BC3">
        <w:rPr>
          <w:color w:val="404040" w:themeColor="text1" w:themeTint="BF"/>
        </w:rPr>
        <w:t>”</w:t>
      </w:r>
      <w:r>
        <w:rPr>
          <w:color w:val="404040" w:themeColor="text1" w:themeTint="BF"/>
        </w:rPr>
        <w:t xml:space="preserve"> in this pricing supplement.</w:t>
      </w:r>
    </w:p>
    <w:p w:rsidR="00F50DB4" w:rsidRPr="006968AD" w:rsidRDefault="00F50DB4" w:rsidP="0076078B">
      <w:pPr>
        <w:pStyle w:val="Heading1"/>
        <w:keepNext/>
        <w:spacing w:before="80"/>
        <w:rPr>
          <w:color w:val="4E8ABE"/>
        </w:rPr>
      </w:pPr>
      <w:r w:rsidRPr="006968AD">
        <w:rPr>
          <w:color w:val="4E8ABE"/>
        </w:rPr>
        <w:t>Supplemental Use of Proceeds</w:t>
      </w:r>
    </w:p>
    <w:p w:rsidR="00F50DB4" w:rsidRPr="00966ED2" w:rsidRDefault="00F50DB4" w:rsidP="008F58D0">
      <w:pPr>
        <w:rPr>
          <w:color w:val="404040" w:themeColor="text1" w:themeTint="BF"/>
        </w:rPr>
      </w:pPr>
      <w:r w:rsidRPr="00966ED2">
        <w:rPr>
          <w:color w:val="404040" w:themeColor="text1" w:themeTint="BF"/>
        </w:rPr>
        <w:t>The notes are offered to meet investor demand for products that reflect the risk-return profile and market exposure provided by the notes</w:t>
      </w:r>
      <w:r w:rsidR="00422B5A" w:rsidRPr="00966ED2">
        <w:rPr>
          <w:color w:val="404040" w:themeColor="text1" w:themeTint="BF"/>
        </w:rPr>
        <w:t>.</w:t>
      </w:r>
      <w:r w:rsidR="00422B5A">
        <w:rPr>
          <w:color w:val="404040" w:themeColor="text1" w:themeTint="BF"/>
        </w:rPr>
        <w:t xml:space="preserve">  </w:t>
      </w:r>
      <w:r w:rsidRPr="00966ED2">
        <w:rPr>
          <w:color w:val="404040" w:themeColor="text1" w:themeTint="BF"/>
        </w:rPr>
        <w:t xml:space="preserve">See </w:t>
      </w:r>
      <w:r w:rsidR="00593BC3">
        <w:rPr>
          <w:color w:val="404040" w:themeColor="text1" w:themeTint="BF"/>
        </w:rPr>
        <w:t>“</w:t>
      </w:r>
      <w:r w:rsidRPr="00E050EA">
        <w:rPr>
          <w:color w:val="404040" w:themeColor="text1" w:themeTint="BF"/>
        </w:rPr>
        <w:t>How the Notes Work</w:t>
      </w:r>
      <w:r w:rsidR="00593BC3">
        <w:rPr>
          <w:color w:val="404040" w:themeColor="text1" w:themeTint="BF"/>
        </w:rPr>
        <w:t>”</w:t>
      </w:r>
      <w:r w:rsidRPr="00B60EDF">
        <w:rPr>
          <w:color w:val="404040" w:themeColor="text1" w:themeTint="BF"/>
        </w:rPr>
        <w:t xml:space="preserve"> </w:t>
      </w:r>
      <w:r w:rsidR="008F58D0">
        <w:rPr>
          <w:color w:val="404040" w:themeColor="text1" w:themeTint="BF"/>
        </w:rPr>
        <w:t>and “</w:t>
      </w:r>
      <w:r w:rsidR="008F58D0" w:rsidRPr="00E050EA">
        <w:rPr>
          <w:color w:val="404040" w:themeColor="text1" w:themeTint="BF"/>
        </w:rPr>
        <w:t xml:space="preserve">Hypothetical Payout </w:t>
      </w:r>
      <w:r w:rsidR="008F58D0">
        <w:rPr>
          <w:color w:val="404040" w:themeColor="text1" w:themeTint="BF"/>
        </w:rPr>
        <w:t xml:space="preserve">Examples” </w:t>
      </w:r>
      <w:r w:rsidRPr="00B60EDF">
        <w:rPr>
          <w:color w:val="404040" w:themeColor="text1" w:themeTint="BF"/>
        </w:rPr>
        <w:t xml:space="preserve">in </w:t>
      </w:r>
      <w:r>
        <w:rPr>
          <w:color w:val="404040" w:themeColor="text1" w:themeTint="BF"/>
        </w:rPr>
        <w:t>this pricing supplement</w:t>
      </w:r>
      <w:r w:rsidRPr="00B60EDF">
        <w:rPr>
          <w:color w:val="404040" w:themeColor="text1" w:themeTint="BF"/>
        </w:rPr>
        <w:t xml:space="preserve"> for an illustration of the risk-return profile of the notes and </w:t>
      </w:r>
      <w:r w:rsidR="00593BC3">
        <w:rPr>
          <w:color w:val="404040" w:themeColor="text1" w:themeTint="BF"/>
        </w:rPr>
        <w:t>“</w:t>
      </w:r>
      <w:r w:rsidR="006F7B12">
        <w:rPr>
          <w:color w:val="404040" w:themeColor="text1" w:themeTint="BF"/>
        </w:rPr>
        <w:t>The</w:t>
      </w:r>
      <w:r w:rsidR="00441810">
        <w:rPr>
          <w:color w:val="404040" w:themeColor="text1" w:themeTint="BF"/>
        </w:rPr>
        <w:t xml:space="preserve"> </w:t>
      </w:r>
      <w:r w:rsidR="00593BC3" w:rsidRPr="00593BC3">
        <w:rPr>
          <w:color w:val="404040" w:themeColor="text1" w:themeTint="BF"/>
        </w:rPr>
        <w:t>Index</w:t>
      </w:r>
      <w:r w:rsidR="00593BC3">
        <w:rPr>
          <w:color w:val="404040" w:themeColor="text1" w:themeTint="BF"/>
        </w:rPr>
        <w:t>”</w:t>
      </w:r>
      <w:r w:rsidRPr="00966ED2">
        <w:rPr>
          <w:color w:val="404040" w:themeColor="text1" w:themeTint="BF"/>
        </w:rPr>
        <w:t xml:space="preserve"> in </w:t>
      </w:r>
      <w:r>
        <w:rPr>
          <w:color w:val="404040" w:themeColor="text1" w:themeTint="BF"/>
        </w:rPr>
        <w:t>this pricing supplement</w:t>
      </w:r>
      <w:r w:rsidRPr="00966ED2">
        <w:rPr>
          <w:color w:val="404040" w:themeColor="text1" w:themeTint="BF"/>
        </w:rPr>
        <w:t xml:space="preserve"> for a description of the market exposure provided by the notes.</w:t>
      </w:r>
    </w:p>
    <w:p w:rsidR="00F50DB4" w:rsidRDefault="004A4A66" w:rsidP="000A2924">
      <w:pPr>
        <w:spacing w:after="80"/>
        <w:rPr>
          <w:color w:val="404040" w:themeColor="text1" w:themeTint="BF"/>
        </w:rPr>
      </w:pPr>
      <w:r w:rsidRPr="00966ED2">
        <w:rPr>
          <w:color w:val="404040" w:themeColor="text1" w:themeTint="BF"/>
        </w:rPr>
        <w:t xml:space="preserve">The original issue price of the notes is equal to </w:t>
      </w:r>
      <w:r>
        <w:rPr>
          <w:color w:val="404040" w:themeColor="text1" w:themeTint="BF"/>
        </w:rPr>
        <w:t>the</w:t>
      </w:r>
      <w:r w:rsidRPr="00966ED2">
        <w:rPr>
          <w:color w:val="404040" w:themeColor="text1" w:themeTint="BF"/>
        </w:rPr>
        <w:t xml:space="preserve"> estimated value of the notes </w:t>
      </w:r>
      <w:r>
        <w:rPr>
          <w:color w:val="404040" w:themeColor="text1" w:themeTint="BF"/>
        </w:rPr>
        <w:t xml:space="preserve">plus </w:t>
      </w:r>
      <w:r w:rsidR="000A2EF6" w:rsidRPr="000A2EF6">
        <w:rPr>
          <w:color w:val="404040" w:themeColor="text1" w:themeTint="BF"/>
        </w:rPr>
        <w:t xml:space="preserve">the selling commissions paid to JPMS and other affiliated or unaffiliated dealers, plus </w:t>
      </w:r>
      <w:r w:rsidRPr="00966ED2">
        <w:rPr>
          <w:color w:val="404040" w:themeColor="text1" w:themeTint="BF"/>
        </w:rPr>
        <w:t>(minus) the projected profits (losses) that our affiliates expect to realize for assuming risks inherent in hedging our obligations under the notes, plus the estimated cost of hedging our obligations under the notes</w:t>
      </w:r>
      <w:r w:rsidR="00F50DB4" w:rsidRPr="00966ED2">
        <w:rPr>
          <w:color w:val="404040" w:themeColor="text1" w:themeTint="BF"/>
        </w:rPr>
        <w:t>.</w:t>
      </w:r>
    </w:p>
    <w:p w:rsidR="00AC56C3" w:rsidRPr="006968AD" w:rsidRDefault="00AC56C3" w:rsidP="0076078B">
      <w:pPr>
        <w:pStyle w:val="Heading1"/>
        <w:keepNext/>
        <w:spacing w:before="80"/>
        <w:rPr>
          <w:color w:val="4E8ABE"/>
        </w:rPr>
      </w:pPr>
      <w:r w:rsidRPr="003B3C8F">
        <w:rPr>
          <w:color w:val="4E8ABE"/>
        </w:rPr>
        <w:t>Supplemental Plan of Distribution</w:t>
      </w:r>
    </w:p>
    <w:p w:rsidR="00AC56C3" w:rsidRDefault="00AC56C3" w:rsidP="00864642">
      <w:pPr>
        <w:spacing w:after="80"/>
        <w:rPr>
          <w:color w:val="404040" w:themeColor="text1" w:themeTint="BF"/>
        </w:rPr>
      </w:pPr>
      <w:r w:rsidRPr="003B3C8F">
        <w:rPr>
          <w:color w:val="404040" w:themeColor="text1" w:themeTint="BF"/>
        </w:rPr>
        <w:t>We expect that delivery of the notes will be made against payment for the notes on or about the Original Issue Date set forth on the front cover of this pricing supplement, which will be the third business day following the Pricing Date of the notes (this settlement cycle being referred to as “T+3”).  Under Rule 15c6-1 of the Securities Exchange Act of 1934, as amended, trades in the secondary market generally are required to settle in two business days, unless the parties to that trade expressly agree otherwise.  Accordingly, purchasers who wish to trade notes on any date prior to two business days before delivery will be required to specify an alternate settlement cycle at the time of any such trade to prevent a failed settlement and should consult their own advisors.</w:t>
      </w:r>
    </w:p>
    <w:p w:rsidR="00382A6A" w:rsidRDefault="00382A6A" w:rsidP="00382A6A">
      <w:pPr>
        <w:keepNext/>
        <w:pBdr>
          <w:bottom w:val="single" w:sz="4" w:space="1" w:color="54301A"/>
        </w:pBdr>
        <w:spacing w:before="160"/>
        <w:outlineLvl w:val="0"/>
        <w:rPr>
          <w:b/>
          <w:bCs w:val="0"/>
          <w:color w:val="4E8ABE"/>
          <w:sz w:val="20"/>
        </w:rPr>
      </w:pPr>
      <w:r>
        <w:rPr>
          <w:b/>
          <w:color w:val="4E8ABE"/>
          <w:sz w:val="20"/>
        </w:rPr>
        <w:t>Supplemental Information About the Form of the Notes</w:t>
      </w:r>
    </w:p>
    <w:p w:rsidR="00382A6A" w:rsidRPr="00382A6A" w:rsidRDefault="00382A6A" w:rsidP="00382A6A">
      <w:pPr>
        <w:rPr>
          <w:rFonts w:eastAsiaTheme="minorEastAsia"/>
          <w:bCs w:val="0"/>
          <w:color w:val="404040"/>
          <w:szCs w:val="18"/>
        </w:rPr>
      </w:pPr>
      <w:r>
        <w:rPr>
          <w:color w:val="404040"/>
          <w:szCs w:val="18"/>
        </w:rPr>
        <w:t>The notes will initially be represented by a type of global security that we refer to as a master note.  A master note represents multiple securities that may be issued at different times and that may have different terms.  The trustee and/or paying agent will, in accordance with instructions from us, make appropriate entries or notations in its records relating to the master note representing the notes to indicate that the master note evidences the notes.</w:t>
      </w:r>
    </w:p>
    <w:p w:rsidR="00F50DB4" w:rsidRPr="006968AD" w:rsidRDefault="00F50DB4" w:rsidP="0076078B">
      <w:pPr>
        <w:pStyle w:val="Heading1"/>
        <w:keepNext/>
        <w:spacing w:before="80"/>
        <w:rPr>
          <w:color w:val="4E8ABE"/>
        </w:rPr>
      </w:pPr>
      <w:r w:rsidRPr="006968AD">
        <w:rPr>
          <w:color w:val="4E8ABE"/>
        </w:rPr>
        <w:t>Additional Terms Specific to the Notes</w:t>
      </w:r>
    </w:p>
    <w:p w:rsidR="00F50DB4" w:rsidRPr="00966ED2" w:rsidRDefault="00F50DB4" w:rsidP="00F50DB4">
      <w:pPr>
        <w:rPr>
          <w:color w:val="404040" w:themeColor="text1" w:themeTint="BF"/>
        </w:rPr>
      </w:pPr>
      <w:r w:rsidRPr="00966ED2">
        <w:rPr>
          <w:color w:val="404040" w:themeColor="text1" w:themeTint="BF"/>
        </w:rPr>
        <w:t>You may revoke your offer to purchase the notes at any time prior to the time at which we accept such offer by notifying the applicable agent</w:t>
      </w:r>
      <w:r w:rsidR="00422B5A" w:rsidRPr="00966ED2">
        <w:rPr>
          <w:color w:val="404040" w:themeColor="text1" w:themeTint="BF"/>
        </w:rPr>
        <w:t>.</w:t>
      </w:r>
      <w:r w:rsidR="00422B5A">
        <w:rPr>
          <w:color w:val="404040" w:themeColor="text1" w:themeTint="BF"/>
        </w:rPr>
        <w:t xml:space="preserve">  </w:t>
      </w:r>
      <w:r w:rsidRPr="00966ED2">
        <w:rPr>
          <w:color w:val="404040" w:themeColor="text1" w:themeTint="BF"/>
        </w:rPr>
        <w:t>We reserve the right to change the terms of, or reject any offer to purchase, the notes prior to their issuance</w:t>
      </w:r>
      <w:r w:rsidR="00422B5A" w:rsidRPr="00966ED2">
        <w:rPr>
          <w:color w:val="404040" w:themeColor="text1" w:themeTint="BF"/>
        </w:rPr>
        <w:t>.</w:t>
      </w:r>
      <w:r w:rsidR="00422B5A">
        <w:rPr>
          <w:color w:val="404040" w:themeColor="text1" w:themeTint="BF"/>
        </w:rPr>
        <w:t xml:space="preserve">  </w:t>
      </w:r>
      <w:r w:rsidRPr="00966ED2">
        <w:rPr>
          <w:color w:val="404040" w:themeColor="text1" w:themeTint="BF"/>
        </w:rPr>
        <w:t>In the event of any changes to the terms of the notes, we will notify you and you will be asked to accept such changes in connection with your purchase</w:t>
      </w:r>
      <w:r w:rsidR="00422B5A" w:rsidRPr="00966ED2">
        <w:rPr>
          <w:color w:val="404040" w:themeColor="text1" w:themeTint="BF"/>
        </w:rPr>
        <w:t>.</w:t>
      </w:r>
      <w:r w:rsidR="00422B5A">
        <w:rPr>
          <w:color w:val="404040" w:themeColor="text1" w:themeTint="BF"/>
        </w:rPr>
        <w:t xml:space="preserve">  </w:t>
      </w:r>
      <w:r w:rsidRPr="00966ED2">
        <w:rPr>
          <w:color w:val="404040" w:themeColor="text1" w:themeTint="BF"/>
        </w:rPr>
        <w:t>You may also choose to reject such changes, in which case we may reject your offer to purchase.</w:t>
      </w:r>
    </w:p>
    <w:p w:rsidR="00F50DB4" w:rsidRDefault="00F50DB4" w:rsidP="00D62B89">
      <w:pPr>
        <w:rPr>
          <w:color w:val="404040" w:themeColor="text1" w:themeTint="BF"/>
        </w:rPr>
      </w:pPr>
      <w:r w:rsidRPr="00966ED2">
        <w:rPr>
          <w:color w:val="404040" w:themeColor="text1" w:themeTint="BF"/>
        </w:rPr>
        <w:t xml:space="preserve">You should read </w:t>
      </w:r>
      <w:r>
        <w:rPr>
          <w:color w:val="404040" w:themeColor="text1" w:themeTint="BF"/>
        </w:rPr>
        <w:t>this pricing supplement</w:t>
      </w:r>
      <w:r w:rsidRPr="00966ED2">
        <w:rPr>
          <w:color w:val="404040" w:themeColor="text1" w:themeTint="BF"/>
        </w:rPr>
        <w:t xml:space="preserve"> together with the</w:t>
      </w:r>
      <w:r>
        <w:rPr>
          <w:color w:val="404040" w:themeColor="text1" w:themeTint="BF"/>
        </w:rPr>
        <w:t xml:space="preserve"> accompanying</w:t>
      </w:r>
      <w:r w:rsidRPr="00966ED2">
        <w:rPr>
          <w:color w:val="404040" w:themeColor="text1" w:themeTint="BF"/>
        </w:rPr>
        <w:t xml:space="preserve"> prospectus, as supplemented by the</w:t>
      </w:r>
      <w:r>
        <w:rPr>
          <w:color w:val="404040" w:themeColor="text1" w:themeTint="BF"/>
        </w:rPr>
        <w:t xml:space="preserve"> accompanying</w:t>
      </w:r>
      <w:r w:rsidRPr="00966ED2">
        <w:rPr>
          <w:color w:val="404040" w:themeColor="text1" w:themeTint="BF"/>
        </w:rPr>
        <w:t xml:space="preserve"> prospectus supplement</w:t>
      </w:r>
      <w:r>
        <w:rPr>
          <w:color w:val="404040" w:themeColor="text1" w:themeTint="BF"/>
        </w:rPr>
        <w:t xml:space="preserve"> </w:t>
      </w:r>
      <w:r w:rsidRPr="00966ED2">
        <w:rPr>
          <w:color w:val="404040" w:themeColor="text1" w:themeTint="BF"/>
        </w:rPr>
        <w:t xml:space="preserve">relating to our Series </w:t>
      </w:r>
      <w:r>
        <w:rPr>
          <w:color w:val="404040" w:themeColor="text1" w:themeTint="BF"/>
        </w:rPr>
        <w:t>A</w:t>
      </w:r>
      <w:r w:rsidRPr="00966ED2">
        <w:rPr>
          <w:color w:val="404040" w:themeColor="text1" w:themeTint="BF"/>
        </w:rPr>
        <w:t xml:space="preserve"> medium-term notes of which these notes are a part, and the more detailed information contained in </w:t>
      </w:r>
      <w:r>
        <w:rPr>
          <w:color w:val="404040" w:themeColor="text1" w:themeTint="BF"/>
        </w:rPr>
        <w:t xml:space="preserve">the accompanying </w:t>
      </w:r>
      <w:r w:rsidRPr="00966ED2">
        <w:rPr>
          <w:color w:val="404040" w:themeColor="text1" w:themeTint="BF"/>
        </w:rPr>
        <w:t xml:space="preserve">product </w:t>
      </w:r>
      <w:r w:rsidR="00593BC3" w:rsidRPr="00593BC3">
        <w:rPr>
          <w:color w:val="404040" w:themeColor="text1" w:themeTint="BF"/>
        </w:rPr>
        <w:t>supplement and the accompanying underlying supplement</w:t>
      </w:r>
      <w:r w:rsidR="00422B5A" w:rsidRPr="00966ED2">
        <w:rPr>
          <w:color w:val="404040" w:themeColor="text1" w:themeTint="BF"/>
        </w:rPr>
        <w:t>.</w:t>
      </w:r>
      <w:r w:rsidR="00422B5A">
        <w:rPr>
          <w:color w:val="404040" w:themeColor="text1" w:themeTint="BF"/>
        </w:rPr>
        <w:t xml:space="preserve">  </w:t>
      </w:r>
      <w:r>
        <w:rPr>
          <w:color w:val="404040" w:themeColor="text1" w:themeTint="BF"/>
        </w:rPr>
        <w:t>This pricing supplement</w:t>
      </w:r>
      <w:r w:rsidRPr="00966ED2">
        <w:rPr>
          <w:color w:val="404040" w:themeColor="text1" w:themeTint="BF"/>
        </w:rPr>
        <w:t>, together with the documents listed below, contains the terms of the notes and supersedes all other prior or contemporaneous oral statements as well as any other written materials including preliminary or indicative pricing terms, correspondence, trade ideas, structures for implementation, sample structures, fact sheets, brochures or other educational materials of ours</w:t>
      </w:r>
      <w:r w:rsidR="00422B5A" w:rsidRPr="00966ED2">
        <w:rPr>
          <w:color w:val="404040" w:themeColor="text1" w:themeTint="BF"/>
        </w:rPr>
        <w:t>.</w:t>
      </w:r>
      <w:r w:rsidR="00422B5A">
        <w:rPr>
          <w:color w:val="404040" w:themeColor="text1" w:themeTint="BF"/>
        </w:rPr>
        <w:t xml:space="preserve">  </w:t>
      </w:r>
      <w:r w:rsidRPr="00966ED2">
        <w:rPr>
          <w:color w:val="404040" w:themeColor="text1" w:themeTint="BF"/>
        </w:rPr>
        <w:t xml:space="preserve">You should carefully consider, among other things, the matters set forth in </w:t>
      </w:r>
      <w:r>
        <w:rPr>
          <w:color w:val="404040" w:themeColor="text1" w:themeTint="BF"/>
        </w:rPr>
        <w:t xml:space="preserve">the </w:t>
      </w:r>
      <w:r w:rsidR="00593BC3">
        <w:rPr>
          <w:color w:val="404040" w:themeColor="text1" w:themeTint="BF"/>
        </w:rPr>
        <w:t>“</w:t>
      </w:r>
      <w:r w:rsidR="006F7B12">
        <w:rPr>
          <w:color w:val="404040" w:themeColor="text1" w:themeTint="BF"/>
        </w:rPr>
        <w:t>Risk Factors</w:t>
      </w:r>
      <w:r w:rsidR="00593BC3">
        <w:rPr>
          <w:color w:val="404040" w:themeColor="text1" w:themeTint="BF"/>
        </w:rPr>
        <w:t>”</w:t>
      </w:r>
      <w:r w:rsidR="006F7B12">
        <w:rPr>
          <w:color w:val="404040" w:themeColor="text1" w:themeTint="BF"/>
        </w:rPr>
        <w:t xml:space="preserve"> </w:t>
      </w:r>
      <w:r w:rsidR="00593BC3" w:rsidRPr="00593BC3">
        <w:rPr>
          <w:color w:val="404040" w:themeColor="text1" w:themeTint="BF"/>
        </w:rPr>
        <w:t>sections</w:t>
      </w:r>
      <w:r w:rsidRPr="00C3495A">
        <w:rPr>
          <w:color w:val="404040" w:themeColor="text1" w:themeTint="BF"/>
        </w:rPr>
        <w:t xml:space="preserve"> of the accompanying </w:t>
      </w:r>
      <w:r w:rsidR="004A4A66" w:rsidRPr="004A4A66">
        <w:rPr>
          <w:color w:val="404040" w:themeColor="text1" w:themeTint="BF"/>
        </w:rPr>
        <w:t xml:space="preserve">prospectus supplement, the accompanying </w:t>
      </w:r>
      <w:r w:rsidRPr="00C3495A">
        <w:rPr>
          <w:color w:val="404040" w:themeColor="text1" w:themeTint="BF"/>
        </w:rPr>
        <w:t xml:space="preserve">product </w:t>
      </w:r>
      <w:r w:rsidR="00593BC3" w:rsidRPr="00593BC3">
        <w:rPr>
          <w:color w:val="404040" w:themeColor="text1" w:themeTint="BF"/>
        </w:rPr>
        <w:t>supplement and the accompanying underlying supplement</w:t>
      </w:r>
      <w:r w:rsidRPr="00966ED2">
        <w:rPr>
          <w:color w:val="404040" w:themeColor="text1" w:themeTint="BF"/>
        </w:rPr>
        <w:t>, as the notes involve risks not associated with conventional debt securities</w:t>
      </w:r>
      <w:r w:rsidR="00422B5A" w:rsidRPr="00966ED2">
        <w:rPr>
          <w:color w:val="404040" w:themeColor="text1" w:themeTint="BF"/>
        </w:rPr>
        <w:t>.</w:t>
      </w:r>
      <w:r w:rsidR="00422B5A">
        <w:rPr>
          <w:color w:val="404040" w:themeColor="text1" w:themeTint="BF"/>
        </w:rPr>
        <w:t xml:space="preserve">  </w:t>
      </w:r>
      <w:r w:rsidRPr="00966ED2">
        <w:rPr>
          <w:color w:val="404040" w:themeColor="text1" w:themeTint="BF"/>
        </w:rPr>
        <w:t>We urge you to consult your investment, legal, tax, accounting and other advisers before you invest in the notes.</w:t>
      </w:r>
    </w:p>
    <w:p w:rsidR="00AD623B" w:rsidRPr="00D3634B" w:rsidRDefault="00AD623B" w:rsidP="00AD623B">
      <w:pPr>
        <w:pStyle w:val="Heading2"/>
        <w:spacing w:before="80"/>
        <w:rPr>
          <w:szCs w:val="18"/>
        </w:rPr>
      </w:pPr>
      <w:r w:rsidRPr="00D3634B">
        <w:rPr>
          <w:szCs w:val="18"/>
        </w:rPr>
        <w:lastRenderedPageBreak/>
        <w:t>You may access these documents on the SEC website at www.sec.gov as follows (or if such address has changed, by reviewing our filings for the relevant date on the SEC website):</w:t>
      </w:r>
    </w:p>
    <w:p w:rsidR="00AD623B" w:rsidRPr="00D1618C" w:rsidRDefault="00AD623B" w:rsidP="0076078B">
      <w:pPr>
        <w:keepNext/>
        <w:numPr>
          <w:ilvl w:val="0"/>
          <w:numId w:val="16"/>
        </w:numPr>
        <w:spacing w:after="80" w:line="240" w:lineRule="auto"/>
        <w:ind w:left="360"/>
        <w:contextualSpacing/>
        <w:rPr>
          <w:b/>
          <w:bCs w:val="0"/>
          <w:color w:val="404040" w:themeColor="text1" w:themeTint="BF"/>
          <w:szCs w:val="18"/>
        </w:rPr>
      </w:pPr>
      <w:r w:rsidRPr="008302E3">
        <w:rPr>
          <w:color w:val="404040" w:themeColor="text1" w:themeTint="BF"/>
        </w:rPr>
        <w:t>Pro</w:t>
      </w:r>
      <w:r w:rsidRPr="008302E3">
        <w:rPr>
          <w:color w:val="404040" w:themeColor="text1" w:themeTint="BF"/>
          <w:szCs w:val="18"/>
        </w:rPr>
        <w:t>duct supplement no. 4-I</w:t>
      </w:r>
      <w:r>
        <w:rPr>
          <w:color w:val="404040" w:themeColor="text1" w:themeTint="BF"/>
          <w:szCs w:val="18"/>
        </w:rPr>
        <w:t>I dated November 4, 2020:</w:t>
      </w:r>
      <w:r w:rsidRPr="008302E3">
        <w:rPr>
          <w:color w:val="404040" w:themeColor="text1" w:themeTint="BF"/>
          <w:szCs w:val="18"/>
        </w:rPr>
        <w:br/>
      </w:r>
      <w:hyperlink r:id="rId21" w:history="1">
        <w:r>
          <w:rPr>
            <w:rStyle w:val="Hyperlink"/>
          </w:rPr>
          <w:t>http://www.sec.gov/Archives/edgar/data/19617/000095010320021467/crt_dp139322-424b2.pdf</w:t>
        </w:r>
      </w:hyperlink>
    </w:p>
    <w:p w:rsidR="00AD623B" w:rsidRPr="00E14E89" w:rsidRDefault="00AD623B" w:rsidP="0076078B">
      <w:pPr>
        <w:keepNext/>
        <w:keepLines/>
        <w:numPr>
          <w:ilvl w:val="0"/>
          <w:numId w:val="16"/>
        </w:numPr>
        <w:spacing w:before="120" w:after="80" w:line="240" w:lineRule="auto"/>
        <w:ind w:left="360"/>
        <w:outlineLvl w:val="1"/>
        <w:rPr>
          <w:rFonts w:ascii="Calibri" w:eastAsiaTheme="minorEastAsia" w:hAnsi="Calibri" w:cs="Calibri"/>
          <w:bCs w:val="0"/>
          <w:color w:val="0563C1"/>
          <w:szCs w:val="18"/>
          <w:u w:val="single"/>
        </w:rPr>
      </w:pPr>
      <w:r w:rsidRPr="00E14E89">
        <w:rPr>
          <w:color w:val="404040" w:themeColor="text1" w:themeTint="BF"/>
          <w:szCs w:val="18"/>
        </w:rPr>
        <w:t>Underlying supplement no. 1-II dated November 4, 2020:</w:t>
      </w:r>
      <w:r w:rsidRPr="00E14E89">
        <w:rPr>
          <w:rFonts w:eastAsiaTheme="majorEastAsia" w:cstheme="majorBidi"/>
          <w:color w:val="404040" w:themeColor="text1" w:themeTint="BF"/>
          <w:szCs w:val="18"/>
        </w:rPr>
        <w:br/>
      </w:r>
      <w:hyperlink r:id="rId22" w:history="1">
        <w:r w:rsidRPr="00E14E89">
          <w:rPr>
            <w:rStyle w:val="Hyperlink"/>
            <w:szCs w:val="18"/>
          </w:rPr>
          <w:t>http://www.sec.gov/Archives/edgar/data/19617/000095010320021471/crt_dp139381-424b2.pdf</w:t>
        </w:r>
      </w:hyperlink>
    </w:p>
    <w:p w:rsidR="00AD623B" w:rsidRPr="00524289" w:rsidRDefault="00AD623B" w:rsidP="0076078B">
      <w:pPr>
        <w:pStyle w:val="Heading2"/>
        <w:numPr>
          <w:ilvl w:val="0"/>
          <w:numId w:val="16"/>
        </w:numPr>
        <w:spacing w:before="80"/>
        <w:ind w:left="360"/>
        <w:rPr>
          <w:rStyle w:val="Hyperlink"/>
          <w:bCs/>
          <w:szCs w:val="18"/>
        </w:rPr>
      </w:pPr>
      <w:r w:rsidRPr="00260145">
        <w:rPr>
          <w:rFonts w:eastAsia="Arial" w:cs="Arial"/>
          <w:bCs/>
          <w:szCs w:val="20"/>
        </w:rPr>
        <w:t xml:space="preserve">Prospectus supplement and prospectus, each dated </w:t>
      </w:r>
      <w:r>
        <w:t>April 8, 2020</w:t>
      </w:r>
      <w:r w:rsidRPr="00260145">
        <w:rPr>
          <w:rFonts w:eastAsia="Arial" w:cs="Arial"/>
          <w:bCs/>
          <w:szCs w:val="20"/>
        </w:rPr>
        <w:t xml:space="preserve">: </w:t>
      </w:r>
      <w:r w:rsidRPr="00260145">
        <w:rPr>
          <w:rFonts w:eastAsia="Arial" w:cs="Arial"/>
          <w:bCs/>
          <w:szCs w:val="20"/>
        </w:rPr>
        <w:br/>
      </w:r>
      <w:hyperlink r:id="rId23" w:history="1">
        <w:r>
          <w:rPr>
            <w:rStyle w:val="Hyperlink"/>
            <w:rFonts w:eastAsia="Arial" w:cs="Arial"/>
            <w:bCs/>
            <w:szCs w:val="18"/>
          </w:rPr>
          <w:t>http://www.sec.gov/Archives/edgar/data/19617/000095010320007214/crt_dp124361-424b2.pdf</w:t>
        </w:r>
      </w:hyperlink>
    </w:p>
    <w:p w:rsidR="00CF3F8B" w:rsidRPr="00043DE4" w:rsidRDefault="00AD623B" w:rsidP="0076078B">
      <w:pPr>
        <w:spacing w:line="240" w:lineRule="auto"/>
        <w:rPr>
          <w:color w:val="404040" w:themeColor="text1" w:themeTint="BF"/>
        </w:rPr>
      </w:pPr>
      <w:r w:rsidRPr="007A1B6E">
        <w:rPr>
          <w:color w:val="404040" w:themeColor="text1" w:themeTint="BF"/>
        </w:rPr>
        <w:t>Our Central Index Key, or CIK, on the SEC website is 1665650, and JPMorgan Chase</w:t>
      </w:r>
      <w:r>
        <w:rPr>
          <w:color w:val="404040" w:themeColor="text1" w:themeTint="BF"/>
          <w:szCs w:val="18"/>
        </w:rPr>
        <w:t xml:space="preserve"> &amp; Co.</w:t>
      </w:r>
      <w:r>
        <w:rPr>
          <w:color w:val="404040" w:themeColor="text1" w:themeTint="BF"/>
        </w:rPr>
        <w:t>’</w:t>
      </w:r>
      <w:r w:rsidRPr="007A1B6E">
        <w:rPr>
          <w:color w:val="404040" w:themeColor="text1" w:themeTint="BF"/>
        </w:rPr>
        <w:t>s CIK is 19617.</w:t>
      </w:r>
      <w:r>
        <w:rPr>
          <w:color w:val="404040" w:themeColor="text1" w:themeTint="BF"/>
        </w:rPr>
        <w:t xml:space="preserve">  </w:t>
      </w:r>
      <w:r w:rsidRPr="007A1B6E">
        <w:rPr>
          <w:color w:val="404040" w:themeColor="text1" w:themeTint="BF"/>
        </w:rPr>
        <w:t xml:space="preserve">As used in this pricing supplement, </w:t>
      </w:r>
      <w:r>
        <w:rPr>
          <w:color w:val="404040" w:themeColor="text1" w:themeTint="BF"/>
        </w:rPr>
        <w:t>“</w:t>
      </w:r>
      <w:r w:rsidRPr="007A1B6E">
        <w:rPr>
          <w:color w:val="404040" w:themeColor="text1" w:themeTint="BF"/>
        </w:rPr>
        <w:t>we,</w:t>
      </w:r>
      <w:r>
        <w:rPr>
          <w:color w:val="404040" w:themeColor="text1" w:themeTint="BF"/>
        </w:rPr>
        <w:t>”</w:t>
      </w:r>
      <w:r w:rsidRPr="007A1B6E">
        <w:rPr>
          <w:color w:val="404040" w:themeColor="text1" w:themeTint="BF"/>
        </w:rPr>
        <w:t xml:space="preserve"> </w:t>
      </w:r>
      <w:r>
        <w:rPr>
          <w:color w:val="404040" w:themeColor="text1" w:themeTint="BF"/>
        </w:rPr>
        <w:t>“</w:t>
      </w:r>
      <w:r w:rsidRPr="007A1B6E">
        <w:rPr>
          <w:color w:val="404040" w:themeColor="text1" w:themeTint="BF"/>
        </w:rPr>
        <w:t>us</w:t>
      </w:r>
      <w:r>
        <w:rPr>
          <w:color w:val="404040" w:themeColor="text1" w:themeTint="BF"/>
        </w:rPr>
        <w:t>”</w:t>
      </w:r>
      <w:r w:rsidRPr="007A1B6E">
        <w:rPr>
          <w:color w:val="404040" w:themeColor="text1" w:themeTint="BF"/>
        </w:rPr>
        <w:t xml:space="preserve"> and </w:t>
      </w:r>
      <w:r>
        <w:rPr>
          <w:color w:val="404040" w:themeColor="text1" w:themeTint="BF"/>
        </w:rPr>
        <w:t>“</w:t>
      </w:r>
      <w:r w:rsidRPr="007A1B6E">
        <w:rPr>
          <w:color w:val="404040" w:themeColor="text1" w:themeTint="BF"/>
        </w:rPr>
        <w:t>our</w:t>
      </w:r>
      <w:r>
        <w:rPr>
          <w:color w:val="404040" w:themeColor="text1" w:themeTint="BF"/>
        </w:rPr>
        <w:t>”</w:t>
      </w:r>
      <w:r w:rsidRPr="007A1B6E">
        <w:rPr>
          <w:color w:val="404040" w:themeColor="text1" w:themeTint="BF"/>
        </w:rPr>
        <w:t xml:space="preserve"> refer to JPMorgan Financial.</w:t>
      </w:r>
    </w:p>
    <w:sectPr w:rsidR="00CF3F8B" w:rsidRPr="00043DE4" w:rsidSect="00302527">
      <w:type w:val="continuous"/>
      <w:pgSz w:w="12242" w:h="15842" w:code="1"/>
      <w:pgMar w:top="540" w:right="722" w:bottom="540" w:left="722" w:header="9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E01" w:rsidRDefault="00A17E01" w:rsidP="004E7E69">
      <w:r>
        <w:separator/>
      </w:r>
    </w:p>
    <w:p w:rsidR="00A17E01" w:rsidRDefault="00A17E01" w:rsidP="004E7E69"/>
    <w:p w:rsidR="00A17E01" w:rsidRDefault="00A17E01"/>
  </w:endnote>
  <w:endnote w:type="continuationSeparator" w:id="0">
    <w:p w:rsidR="00A17E01" w:rsidRDefault="00A17E01" w:rsidP="004E7E69">
      <w:r>
        <w:continuationSeparator/>
      </w:r>
    </w:p>
    <w:p w:rsidR="00A17E01" w:rsidRDefault="00A17E01" w:rsidP="004E7E69"/>
    <w:p w:rsidR="00A17E01" w:rsidRDefault="00A17E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default"/>
    <w:sig w:usb0="00000000" w:usb1="00000000" w:usb2="00000000" w:usb3="00000000" w:csb0="00020000" w:csb1="00000000"/>
  </w:font>
  <w:font w:name="MetaBook-Roman">
    <w:panose1 w:val="020B0502040000020004"/>
    <w:charset w:val="00"/>
    <w:family w:val="swiss"/>
    <w:pitch w:val="variable"/>
    <w:sig w:usb0="80000027" w:usb1="00000000" w:usb2="00000000" w:usb3="00000000" w:csb0="00000001" w:csb1="00000000"/>
  </w:font>
  <w:font w:name="Frutiger 45 Light">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01" w:rsidRPr="00ED2800" w:rsidRDefault="0019108A" w:rsidP="00507292">
    <w:pPr>
      <w:tabs>
        <w:tab w:val="left" w:pos="270"/>
      </w:tabs>
      <w:spacing w:line="240" w:lineRule="auto"/>
      <w:ind w:left="-270"/>
      <w:rPr>
        <w:color w:val="6D6E71"/>
        <w:sz w:val="16"/>
        <w:szCs w:val="16"/>
      </w:rPr>
    </w:pPr>
    <w:r>
      <w:rPr>
        <w:noProof/>
        <w:color w:val="595959" w:themeColor="text1" w:themeTint="A6"/>
        <w:sz w:val="16"/>
        <w:szCs w:val="16"/>
      </w:rPr>
      <w:pict>
        <v:rect id="CoverPageBar" o:spid="_x0000_s1031" style="position:absolute;left:0;text-align:left;margin-left:0;margin-top:438.55pt;width:621pt;height:3.25pt;flip:y;z-index:251659776;visibility:visible;mso-position-horizontal-relative:page;mso-position-vertical-relative:page;mso-width-relative:margin;mso-height-relative:margin;v-text-anchor:middle" fillcolor="#54301a" stroked="f">
          <w10:wrap anchorx="page" anchory="page"/>
        </v:rect>
      </w:pict>
    </w:r>
    <w:r w:rsidR="00A17E01">
      <w:rPr>
        <w:color w:val="6D6E71"/>
        <w:sz w:val="16"/>
        <w:szCs w:val="16"/>
      </w:rPr>
      <w:t xml:space="preserve">Pricing supplement </w:t>
    </w:r>
    <w:r w:rsidR="00A17E01" w:rsidRPr="00203494">
      <w:rPr>
        <w:color w:val="6D6E71"/>
        <w:sz w:val="16"/>
        <w:szCs w:val="16"/>
      </w:rPr>
      <w:t xml:space="preserve">to product supplement no. </w:t>
    </w:r>
    <w:r w:rsidR="00507292">
      <w:rPr>
        <w:color w:val="6D6E71"/>
        <w:sz w:val="16"/>
        <w:szCs w:val="16"/>
      </w:rPr>
      <w:t>4-II dated November 4, 2020</w:t>
    </w:r>
    <w:r w:rsidR="00507292" w:rsidRPr="008302E3">
      <w:rPr>
        <w:color w:val="6D6E71"/>
        <w:sz w:val="16"/>
        <w:szCs w:val="16"/>
      </w:rPr>
      <w:t>, underlying supplement no. 1-I</w:t>
    </w:r>
    <w:r w:rsidR="00507292">
      <w:rPr>
        <w:color w:val="6D6E71"/>
        <w:sz w:val="16"/>
        <w:szCs w:val="16"/>
      </w:rPr>
      <w:t>I</w:t>
    </w:r>
    <w:r w:rsidR="00507292" w:rsidRPr="008302E3">
      <w:rPr>
        <w:color w:val="6D6E71"/>
        <w:sz w:val="16"/>
        <w:szCs w:val="16"/>
      </w:rPr>
      <w:t xml:space="preserve"> dated </w:t>
    </w:r>
    <w:r w:rsidR="00507292">
      <w:rPr>
        <w:color w:val="6D6E71"/>
        <w:sz w:val="16"/>
        <w:szCs w:val="16"/>
      </w:rPr>
      <w:t>November 4, 2020</w:t>
    </w:r>
    <w:r w:rsidR="00507292" w:rsidRPr="008302E3">
      <w:rPr>
        <w:color w:val="6D6E71"/>
        <w:sz w:val="16"/>
        <w:szCs w:val="16"/>
      </w:rPr>
      <w:br/>
      <w:t>and</w:t>
    </w:r>
    <w:r w:rsidR="00A17E01" w:rsidRPr="00203494">
      <w:rPr>
        <w:color w:val="6D6E71"/>
        <w:sz w:val="16"/>
        <w:szCs w:val="16"/>
      </w:rPr>
      <w:t xml:space="preserve"> the prosp</w:t>
    </w:r>
    <w:r w:rsidR="00A17E01">
      <w:rPr>
        <w:color w:val="6D6E71"/>
        <w:sz w:val="16"/>
        <w:szCs w:val="16"/>
      </w:rPr>
      <w:t>ectus and prospectus supplement, each</w:t>
    </w:r>
    <w:r w:rsidR="00A17E01" w:rsidRPr="00203494">
      <w:rPr>
        <w:color w:val="6D6E71"/>
        <w:sz w:val="16"/>
        <w:szCs w:val="16"/>
      </w:rPr>
      <w:t xml:space="preserve"> dated </w:t>
    </w:r>
    <w:r w:rsidR="00E644F1">
      <w:rPr>
        <w:color w:val="6D6E71"/>
        <w:sz w:val="16"/>
        <w:szCs w:val="16"/>
      </w:rPr>
      <w:t>April 8, 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01" w:rsidRDefault="00A17E01" w:rsidP="004E7E6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0" w:type="dxa"/>
      <w:jc w:val="center"/>
      <w:tblCellMar>
        <w:left w:w="10" w:type="dxa"/>
        <w:right w:w="10" w:type="dxa"/>
      </w:tblCellMar>
      <w:tblLook w:val="01E0" w:firstRow="1" w:lastRow="1" w:firstColumn="1" w:lastColumn="1" w:noHBand="0" w:noVBand="0"/>
    </w:tblPr>
    <w:tblGrid>
      <w:gridCol w:w="5400"/>
      <w:gridCol w:w="5400"/>
    </w:tblGrid>
    <w:tr w:rsidR="00A17E01" w:rsidTr="00232A6A">
      <w:trPr>
        <w:trHeight w:val="749"/>
        <w:jc w:val="center"/>
      </w:trPr>
      <w:tc>
        <w:tcPr>
          <w:tcW w:w="2500" w:type="pct"/>
          <w:tcMar>
            <w:top w:w="60" w:type="dxa"/>
          </w:tcMar>
        </w:tcPr>
        <w:p w:rsidR="00C77506" w:rsidRDefault="00C77506" w:rsidP="00C77506">
          <w:pPr>
            <w:spacing w:line="240" w:lineRule="auto"/>
          </w:pPr>
          <w:r>
            <w:rPr>
              <w:color w:val="7F7F7F" w:themeColor="text1" w:themeTint="80"/>
            </w:rPr>
            <w:t>P</w:t>
          </w:r>
          <w:r w:rsidRPr="00BC2B50">
            <w:rPr>
              <w:color w:val="7F7F7F" w:themeColor="text1" w:themeTint="80"/>
            </w:rPr>
            <w:t>S</w:t>
          </w:r>
          <w:r>
            <w:rPr>
              <w:color w:val="7F7F7F" w:themeColor="text1" w:themeTint="80"/>
            </w:rPr>
            <w:t>-</w:t>
          </w:r>
          <w:r w:rsidRPr="00BC2B50">
            <w:rPr>
              <w:color w:val="7F7F7F" w:themeColor="text1" w:themeTint="80"/>
            </w:rPr>
            <w:fldChar w:fldCharType="begin"/>
          </w:r>
          <w:r w:rsidRPr="00BC2B50">
            <w:rPr>
              <w:color w:val="7F7F7F" w:themeColor="text1" w:themeTint="80"/>
            </w:rPr>
            <w:instrText xml:space="preserve"> PAGE \* Arabic </w:instrText>
          </w:r>
          <w:r w:rsidRPr="00BC2B50">
            <w:rPr>
              <w:color w:val="7F7F7F" w:themeColor="text1" w:themeTint="80"/>
            </w:rPr>
            <w:fldChar w:fldCharType="separate"/>
          </w:r>
          <w:r w:rsidR="0019108A">
            <w:rPr>
              <w:noProof/>
              <w:color w:val="7F7F7F" w:themeColor="text1" w:themeTint="80"/>
            </w:rPr>
            <w:t>7</w:t>
          </w:r>
          <w:r w:rsidRPr="00BC2B50">
            <w:rPr>
              <w:noProof/>
              <w:color w:val="7F7F7F" w:themeColor="text1" w:themeTint="80"/>
            </w:rPr>
            <w:fldChar w:fldCharType="end"/>
          </w:r>
          <w:r w:rsidRPr="00BC2B50">
            <w:rPr>
              <w:noProof/>
              <w:color w:val="7F7F7F" w:themeColor="text1" w:themeTint="80"/>
            </w:rPr>
            <w:t xml:space="preserve"> |  </w:t>
          </w:r>
          <w:r w:rsidRPr="00BC2B50">
            <w:rPr>
              <w:color w:val="7F7F7F" w:themeColor="text1" w:themeTint="80"/>
            </w:rPr>
            <w:t>Structured Investments</w:t>
          </w:r>
        </w:p>
        <w:p w:rsidR="00A17E01" w:rsidRDefault="0019108A" w:rsidP="00C77506">
          <w:pPr>
            <w:pStyle w:val="FooterBold"/>
          </w:pPr>
          <w:r>
            <w:rPr>
              <w:noProof/>
              <w:color w:val="7F7F7F" w:themeColor="text1" w:themeTint="80"/>
            </w:rPr>
            <w:pict>
              <v:shapetype id="_x0000_t32" coordsize="21600,21600" o:spt="32" o:oned="t" path="m,l21600,21600e" filled="f">
                <v:path arrowok="t" fillok="f" o:connecttype="none"/>
                <o:lock v:ext="edit" shapetype="t"/>
              </v:shapetype>
              <v:shape id="_x0000_s1033" type="#_x0000_t32" style="position:absolute;margin-left:2.65pt;margin-top:-12.65pt;width:533.15pt;height:0;z-index:251660800" o:connectortype="straight" strokecolor="#5a5a5a [2109]"/>
            </w:pict>
          </w:r>
          <w:r w:rsidR="00C77506">
            <w:t xml:space="preserve">Auto </w:t>
          </w:r>
          <w:r w:rsidR="00C77506" w:rsidRPr="00AD280E">
            <w:t>Callable Contingent Interest Notes</w:t>
          </w:r>
          <w:r w:rsidR="00C77506">
            <w:t xml:space="preserve"> Linked to the </w:t>
          </w:r>
          <w:r w:rsidR="009809FB">
            <w:t>S&amp;P 500</w:t>
          </w:r>
          <w:r w:rsidR="009809FB">
            <w:rPr>
              <w:vertAlign w:val="superscript"/>
            </w:rPr>
            <w:t>®</w:t>
          </w:r>
          <w:r w:rsidR="009809FB">
            <w:t xml:space="preserve"> Index</w:t>
          </w:r>
        </w:p>
      </w:tc>
      <w:tc>
        <w:tcPr>
          <w:tcW w:w="2500" w:type="pct"/>
        </w:tcPr>
        <w:p w:rsidR="00A17E01" w:rsidRDefault="00A17E01" w:rsidP="006B5A3D">
          <w:pPr>
            <w:pStyle w:val="FooterBold"/>
            <w:jc w:val="right"/>
          </w:pPr>
          <w:r>
            <w:rPr>
              <w:noProof/>
              <w:lang w:eastAsia="zh-CN" w:bidi="he-IL"/>
            </w:rPr>
            <w:drawing>
              <wp:anchor distT="0" distB="0" distL="114300" distR="114300" simplePos="0" relativeHeight="251655680" behindDoc="0" locked="0" layoutInCell="1" allowOverlap="1" wp14:anchorId="51A00C18" wp14:editId="03FCE172">
                <wp:simplePos x="0" y="0"/>
                <wp:positionH relativeFrom="column">
                  <wp:posOffset>1976869</wp:posOffset>
                </wp:positionH>
                <wp:positionV relativeFrom="paragraph">
                  <wp:posOffset>43158</wp:posOffset>
                </wp:positionV>
                <wp:extent cx="1628605" cy="488581"/>
                <wp:effectExtent l="0" t="0" r="0" b="0"/>
                <wp:wrapNone/>
                <wp:docPr id="7" name="Picture 7" descr="IB Marketing Data:Current Jobs: Client Marketing:2014_364_SIDM Term Sheet:art:Logo2008_JPM_B_RGB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B Marketing Data:Current Jobs: Client Marketing:2014_364_SIDM Term Sheet:art:Logo2008_JPM_B_RGB cop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605" cy="488581"/>
                        </a:xfrm>
                        <a:prstGeom prst="rect">
                          <a:avLst/>
                        </a:prstGeom>
                        <a:noFill/>
                        <a:ln>
                          <a:noFill/>
                        </a:ln>
                      </pic:spPr>
                    </pic:pic>
                  </a:graphicData>
                </a:graphic>
              </wp:anchor>
            </w:drawing>
          </w:r>
        </w:p>
      </w:tc>
    </w:tr>
  </w:tbl>
  <w:p w:rsidR="00A17E01" w:rsidRDefault="00A17E01" w:rsidP="006B5A3D">
    <w:pPr>
      <w:spacing w:line="240" w:lineRule="auto"/>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01" w:rsidRDefault="00A17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E01" w:rsidRDefault="00A17E01" w:rsidP="004E7E69">
      <w:r>
        <w:separator/>
      </w:r>
    </w:p>
    <w:p w:rsidR="00A17E01" w:rsidRDefault="00A17E01" w:rsidP="004E7E69"/>
    <w:p w:rsidR="00A17E01" w:rsidRDefault="00A17E01"/>
  </w:footnote>
  <w:footnote w:type="continuationSeparator" w:id="0">
    <w:p w:rsidR="00A17E01" w:rsidRDefault="00A17E01" w:rsidP="004E7E69">
      <w:r>
        <w:continuationSeparator/>
      </w:r>
    </w:p>
    <w:p w:rsidR="00A17E01" w:rsidRDefault="00A17E01" w:rsidP="004E7E69"/>
    <w:p w:rsidR="00A17E01" w:rsidRDefault="00A17E0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01" w:rsidRDefault="00A17E01">
    <w:pPr>
      <w:pStyle w:val="Header"/>
    </w:pPr>
    <w:r>
      <w:rPr>
        <w:noProof/>
        <w:lang w:eastAsia="zh-CN" w:bidi="he-IL"/>
      </w:rPr>
      <w:drawing>
        <wp:anchor distT="0" distB="0" distL="114300" distR="114300" simplePos="0" relativeHeight="251654656" behindDoc="1" locked="0" layoutInCell="1" allowOverlap="1" wp14:anchorId="4A08DE07" wp14:editId="513A7C7F">
          <wp:simplePos x="0" y="0"/>
          <wp:positionH relativeFrom="column">
            <wp:posOffset>7903210</wp:posOffset>
          </wp:positionH>
          <wp:positionV relativeFrom="paragraph">
            <wp:posOffset>530225</wp:posOffset>
          </wp:positionV>
          <wp:extent cx="1741805" cy="457200"/>
          <wp:effectExtent l="0" t="0" r="0" b="0"/>
          <wp:wrapNone/>
          <wp:docPr id="5" name="Picture 5" descr="Kwan's HD:Users:design:Documents:Kwan:JPM logos:J.P. Morgan Logos:Logo_2008_JPM_allSizes_RGB:PNG:Logo2008_JPM_C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wan's HD:Users:design:Documents:Kwan:JPM logos:J.P. Morgan Logos:Logo_2008_JPM_allSizes_RGB:PNG:Logo2008_JPM_C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1805" cy="4572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01" w:rsidRPr="005365C7" w:rsidRDefault="00A17E01" w:rsidP="00F95110">
    <w:pPr>
      <w:tabs>
        <w:tab w:val="right" w:pos="10350"/>
      </w:tabs>
      <w:spacing w:before="0"/>
      <w:jc w:val="center"/>
      <w:rPr>
        <w:b/>
        <w:bCs w:val="0"/>
        <w:color w:val="FF0000"/>
        <w:sz w:val="16"/>
        <w:szCs w:val="16"/>
      </w:rPr>
    </w:pPr>
    <w:r w:rsidRPr="005365C7">
      <w:rPr>
        <w:b/>
        <w:bCs w:val="0"/>
        <w:color w:val="FF0000"/>
        <w:sz w:val="16"/>
        <w:szCs w:val="16"/>
      </w:rPr>
      <w:t xml:space="preserve">The information in this preliminary pricing supplement is not complete and may be changed. </w:t>
    </w:r>
    <w:r>
      <w:rPr>
        <w:b/>
        <w:bCs w:val="0"/>
        <w:color w:val="FF0000"/>
        <w:sz w:val="16"/>
        <w:szCs w:val="16"/>
      </w:rPr>
      <w:t xml:space="preserve"> </w:t>
    </w:r>
    <w:r w:rsidRPr="005365C7">
      <w:rPr>
        <w:b/>
        <w:bCs w:val="0"/>
        <w:color w:val="FF0000"/>
        <w:sz w:val="16"/>
        <w:szCs w:val="16"/>
      </w:rPr>
      <w:t>This preliminary pricing supplement is not an offer to sell nor does it seek an offer to buy these securities in any jurisdiction where the offer or sale is not permitted.</w:t>
    </w:r>
  </w:p>
  <w:p w:rsidR="00A17E01" w:rsidRPr="00120EF6" w:rsidRDefault="00A17E01" w:rsidP="008E7C15">
    <w:pPr>
      <w:tabs>
        <w:tab w:val="right" w:pos="10350"/>
      </w:tabs>
      <w:spacing w:before="0"/>
      <w:jc w:val="center"/>
      <w:rPr>
        <w:color w:val="FF0000"/>
        <w:sz w:val="16"/>
        <w:szCs w:val="16"/>
      </w:rPr>
    </w:pPr>
    <w:r w:rsidRPr="00120EF6">
      <w:rPr>
        <w:b/>
        <w:color w:val="FF0000"/>
        <w:sz w:val="16"/>
        <w:szCs w:val="16"/>
      </w:rPr>
      <w:t xml:space="preserve">Subject to completion dated </w:t>
    </w:r>
    <w:r w:rsidR="0019108A">
      <w:rPr>
        <w:b/>
        <w:bCs w:val="0"/>
        <w:color w:val="FF0000"/>
        <w:sz w:val="16"/>
        <w:szCs w:val="16"/>
      </w:rPr>
      <w:t>June 22</w:t>
    </w:r>
    <w:r w:rsidR="00594EE7">
      <w:rPr>
        <w:b/>
        <w:bCs w:val="0"/>
        <w:color w:val="FF0000"/>
        <w:sz w:val="16"/>
        <w:szCs w:val="16"/>
      </w:rPr>
      <w:t>, 2022</w:t>
    </w:r>
  </w:p>
  <w:p w:rsidR="00A17E01" w:rsidRPr="00ED2800" w:rsidRDefault="0019108A" w:rsidP="00AB52B4">
    <w:pPr>
      <w:tabs>
        <w:tab w:val="right" w:pos="10350"/>
      </w:tabs>
      <w:spacing w:before="0"/>
      <w:jc w:val="center"/>
    </w:pPr>
    <w:r>
      <w:rPr>
        <w:noProof/>
        <w:sz w:val="16"/>
        <w:szCs w:val="18"/>
      </w:rPr>
      <w:pict>
        <v:rect id="CoverPageBG" o:spid="_x0000_s1030" style="position:absolute;left:0;text-align:left;margin-left:-4.9pt;margin-top:82.25pt;width:636.8pt;height:356.3pt;z-index:-251657728;visibility:visible;mso-position-horizontal-relative:page;mso-position-vertical-relative:page;mso-width-relative:margin;mso-height-relative:margin;v-text-anchor:middle" fillcolor="#bfbfbf [2412]" stroked="f">
          <v:fill color2="white [3212]" rotate="t" colors="0 #bfbfbf;44564f white" type="gradient">
            <o:fill v:ext="view" type="gradientUnscaled"/>
          </v:fill>
          <w10:wrap anchorx="page" anchory="page"/>
        </v:rect>
      </w:pict>
    </w:r>
    <w:r>
      <w:rPr>
        <w:noProof/>
        <w:color w:val="595959" w:themeColor="text1" w:themeTint="A6"/>
        <w:sz w:val="16"/>
        <w:szCs w:val="18"/>
      </w:rPr>
      <w:pict>
        <v:rect id="ActualBG" o:spid="_x0000_s1029" style="position:absolute;left:0;text-align:left;margin-left:0;margin-top:82.25pt;width:630pt;height:356.3pt;z-index:-251658752;visibility:visible;mso-position-horizontal:absolute;mso-position-horizontal-relative:page;mso-position-vertical-relative:page;mso-width-relative:margin;mso-height-relative:margin;v-text-anchor:middle" fillcolor="#bfbfbf [2412]" stroked="f">
          <v:fill color2="white [3212]" rotate="t" colors="0 #bfbfbf;44564f white" type="gradient">
            <o:fill v:ext="view" type="gradientUnscaled"/>
          </v:fill>
          <w10:wrap anchorx="page" anchory="page"/>
        </v:rect>
      </w:pict>
    </w:r>
    <w:r w:rsidR="00A17E01" w:rsidRPr="00594EE7">
      <w:rPr>
        <w:noProof/>
        <w:sz w:val="16"/>
        <w:szCs w:val="18"/>
        <w:lang w:eastAsia="zh-CN" w:bidi="he-IL"/>
      </w:rPr>
      <w:drawing>
        <wp:anchor distT="0" distB="0" distL="114300" distR="114300" simplePos="0" relativeHeight="251656704" behindDoc="0" locked="0" layoutInCell="1" allowOverlap="1" wp14:anchorId="05EA33C0" wp14:editId="04D0112A">
          <wp:simplePos x="0" y="0"/>
          <wp:positionH relativeFrom="column">
            <wp:posOffset>4777740</wp:posOffset>
          </wp:positionH>
          <wp:positionV relativeFrom="paragraph">
            <wp:posOffset>503555</wp:posOffset>
          </wp:positionV>
          <wp:extent cx="1741805" cy="457200"/>
          <wp:effectExtent l="0" t="0" r="0" b="0"/>
          <wp:wrapNone/>
          <wp:docPr id="6" name="Picture 6" descr="Kwan's HD:Users:design:Documents:Kwan:JPM logos:J.P. Morgan Logos:Logo_2008_JPM_allSizes_RGB:PNG:Logo2008_JPM_C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wan's HD:Users:design:Documents:Kwan:JPM logos:J.P. Morgan Logos:Logo_2008_JPM_allSizes_RGB:PNG:Logo2008_JPM_C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1805" cy="457200"/>
                  </a:xfrm>
                  <a:prstGeom prst="rect">
                    <a:avLst/>
                  </a:prstGeom>
                  <a:noFill/>
                  <a:ln>
                    <a:noFill/>
                  </a:ln>
                </pic:spPr>
              </pic:pic>
            </a:graphicData>
          </a:graphic>
        </wp:anchor>
      </w:drawing>
    </w:r>
    <w:r w:rsidR="00AB52B4">
      <w:rPr>
        <w:noProof/>
        <w:sz w:val="16"/>
        <w:szCs w:val="18"/>
      </w:rPr>
      <w:t>June</w:t>
    </w:r>
    <w:r w:rsidR="00684C55">
      <w:rPr>
        <w:noProof/>
        <w:sz w:val="16"/>
        <w:szCs w:val="18"/>
      </w:rPr>
      <w:t xml:space="preserve"> </w:t>
    </w:r>
    <w:r w:rsidR="00A17E01" w:rsidRPr="00594EE7">
      <w:rPr>
        <w:sz w:val="14"/>
        <w:szCs w:val="14"/>
      </w:rPr>
      <w:t xml:space="preserve">   </w:t>
    </w:r>
    <w:r w:rsidR="00A17E01">
      <w:rPr>
        <w:sz w:val="16"/>
        <w:szCs w:val="16"/>
      </w:rPr>
      <w:t>,</w:t>
    </w:r>
    <w:r w:rsidR="00A17E01" w:rsidRPr="002D0DB3">
      <w:t xml:space="preserve"> </w:t>
    </w:r>
    <w:r w:rsidR="00594EE7">
      <w:rPr>
        <w:sz w:val="16"/>
        <w:szCs w:val="16"/>
      </w:rPr>
      <w:t>2022</w:t>
    </w:r>
    <w:r w:rsidR="00A17E01">
      <w:rPr>
        <w:sz w:val="16"/>
        <w:szCs w:val="16"/>
      </w:rPr>
      <w:tab/>
      <w:t>Registration Statement Nos. 333-</w:t>
    </w:r>
    <w:r w:rsidR="00E644F1">
      <w:rPr>
        <w:sz w:val="16"/>
        <w:szCs w:val="16"/>
      </w:rPr>
      <w:t>236659</w:t>
    </w:r>
    <w:r w:rsidR="00A17E01">
      <w:rPr>
        <w:sz w:val="16"/>
        <w:szCs w:val="16"/>
      </w:rPr>
      <w:t xml:space="preserve"> and 333-</w:t>
    </w:r>
    <w:r w:rsidR="00E644F1">
      <w:rPr>
        <w:sz w:val="16"/>
        <w:szCs w:val="16"/>
      </w:rPr>
      <w:t>236659</w:t>
    </w:r>
    <w:r w:rsidR="00A17E01">
      <w:rPr>
        <w:sz w:val="16"/>
        <w:szCs w:val="16"/>
      </w:rPr>
      <w:t>-01; Rule 424(b)(2)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01" w:rsidRDefault="00A17E01"/>
  <w:p w:rsidR="00A17E01" w:rsidRDefault="00A17E01" w:rsidP="004E7E69"/>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01" w:rsidRDefault="00A17E01" w:rsidP="0003094D">
    <w:pPr>
      <w:spacing w:after="40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01" w:rsidRDefault="00A17E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6C071D2"/>
    <w:lvl w:ilvl="0">
      <w:start w:val="1"/>
      <w:numFmt w:val="bullet"/>
      <w:pStyle w:val="ListBullet"/>
      <w:lvlText w:val=""/>
      <w:lvlJc w:val="left"/>
      <w:pPr>
        <w:tabs>
          <w:tab w:val="num" w:pos="720"/>
        </w:tabs>
        <w:ind w:left="720" w:hanging="720"/>
      </w:pPr>
      <w:rPr>
        <w:rFonts w:ascii="Symbol" w:hAnsi="Symbol" w:hint="default"/>
      </w:rPr>
    </w:lvl>
  </w:abstractNum>
  <w:abstractNum w:abstractNumId="1" w15:restartNumberingAfterBreak="0">
    <w:nsid w:val="008820AD"/>
    <w:multiLevelType w:val="hybridMultilevel"/>
    <w:tmpl w:val="AB5441F0"/>
    <w:lvl w:ilvl="0" w:tplc="3EF6F2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A4112"/>
    <w:multiLevelType w:val="hybridMultilevel"/>
    <w:tmpl w:val="0EE0F140"/>
    <w:lvl w:ilvl="0" w:tplc="3EF6F2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C6E80"/>
    <w:multiLevelType w:val="hybridMultilevel"/>
    <w:tmpl w:val="44DE5144"/>
    <w:lvl w:ilvl="0" w:tplc="DABE5228">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A0475C"/>
    <w:multiLevelType w:val="hybridMultilevel"/>
    <w:tmpl w:val="AB324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B013F"/>
    <w:multiLevelType w:val="hybridMultilevel"/>
    <w:tmpl w:val="0EBE13DA"/>
    <w:lvl w:ilvl="0" w:tplc="0C5C801C">
      <w:start w:val="1"/>
      <w:numFmt w:val="bullet"/>
      <w:pStyle w:val="UBSBullet"/>
      <w:lvlText w:val=""/>
      <w:lvlJc w:val="left"/>
      <w:pPr>
        <w:tabs>
          <w:tab w:val="num" w:pos="994"/>
        </w:tabs>
        <w:ind w:left="99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43E07"/>
    <w:multiLevelType w:val="hybridMultilevel"/>
    <w:tmpl w:val="BD6E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47789"/>
    <w:multiLevelType w:val="hybridMultilevel"/>
    <w:tmpl w:val="34562EBE"/>
    <w:lvl w:ilvl="0" w:tplc="2E8CF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92234"/>
    <w:multiLevelType w:val="hybridMultilevel"/>
    <w:tmpl w:val="ADDC5AEC"/>
    <w:lvl w:ilvl="0" w:tplc="5DC47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92AD1"/>
    <w:multiLevelType w:val="hybridMultilevel"/>
    <w:tmpl w:val="8592A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25503159"/>
    <w:multiLevelType w:val="hybridMultilevel"/>
    <w:tmpl w:val="E32E1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66F6F"/>
    <w:multiLevelType w:val="hybridMultilevel"/>
    <w:tmpl w:val="9D1A57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3E2D5A"/>
    <w:multiLevelType w:val="singleLevel"/>
    <w:tmpl w:val="04090001"/>
    <w:lvl w:ilvl="0">
      <w:start w:val="1"/>
      <w:numFmt w:val="bullet"/>
      <w:lvlText w:val=""/>
      <w:lvlJc w:val="left"/>
      <w:pPr>
        <w:ind w:left="720" w:hanging="360"/>
      </w:pPr>
      <w:rPr>
        <w:rFonts w:ascii="Symbol" w:hAnsi="Symbol" w:hint="default"/>
      </w:rPr>
    </w:lvl>
  </w:abstractNum>
  <w:abstractNum w:abstractNumId="13" w15:restartNumberingAfterBreak="0">
    <w:nsid w:val="2EC628B2"/>
    <w:multiLevelType w:val="hybridMultilevel"/>
    <w:tmpl w:val="129682D0"/>
    <w:lvl w:ilvl="0" w:tplc="3EF6F224">
      <w:start w:val="1"/>
      <w:numFmt w:val="bullet"/>
      <w:lvlText w:val=""/>
      <w:lvlJc w:val="left"/>
      <w:pPr>
        <w:ind w:left="842" w:hanging="360"/>
      </w:pPr>
      <w:rPr>
        <w:rFonts w:ascii="Symbol" w:hAnsi="Symbol" w:hint="default"/>
      </w:rPr>
    </w:lvl>
    <w:lvl w:ilvl="1" w:tplc="04090003" w:tentative="1">
      <w:start w:val="1"/>
      <w:numFmt w:val="bullet"/>
      <w:lvlText w:val="o"/>
      <w:lvlJc w:val="left"/>
      <w:pPr>
        <w:ind w:left="1562" w:hanging="360"/>
      </w:pPr>
      <w:rPr>
        <w:rFonts w:ascii="Courier New" w:hAnsi="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4" w15:restartNumberingAfterBreak="0">
    <w:nsid w:val="3D7A2B28"/>
    <w:multiLevelType w:val="hybridMultilevel"/>
    <w:tmpl w:val="963E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6C3C7A"/>
    <w:multiLevelType w:val="hybridMultilevel"/>
    <w:tmpl w:val="3D6CCBC8"/>
    <w:lvl w:ilvl="0" w:tplc="2E8CF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131EF"/>
    <w:multiLevelType w:val="hybridMultilevel"/>
    <w:tmpl w:val="9EC20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F84866"/>
    <w:multiLevelType w:val="hybridMultilevel"/>
    <w:tmpl w:val="21F4F3F4"/>
    <w:lvl w:ilvl="0" w:tplc="43D0CF38">
      <w:start w:val="1"/>
      <w:numFmt w:val="bullet"/>
      <w:pStyle w:val="RFindent"/>
      <w:lvlText w:val=""/>
      <w:lvlJc w:val="left"/>
      <w:pPr>
        <w:ind w:left="540" w:hanging="360"/>
      </w:pPr>
      <w:rPr>
        <w:rFonts w:ascii="Symbol" w:hAnsi="Symbol" w:hint="default"/>
        <w:color w:val="40404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224BC1"/>
    <w:multiLevelType w:val="hybridMultilevel"/>
    <w:tmpl w:val="E6A2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83D03"/>
    <w:multiLevelType w:val="hybridMultilevel"/>
    <w:tmpl w:val="B794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D70828"/>
    <w:multiLevelType w:val="hybridMultilevel"/>
    <w:tmpl w:val="43E63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76446F"/>
    <w:multiLevelType w:val="hybridMultilevel"/>
    <w:tmpl w:val="320A1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324B5D"/>
    <w:multiLevelType w:val="hybridMultilevel"/>
    <w:tmpl w:val="CF5EC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F491467"/>
    <w:multiLevelType w:val="hybridMultilevel"/>
    <w:tmpl w:val="AAD08258"/>
    <w:lvl w:ilvl="0" w:tplc="3EF6F2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443B69"/>
    <w:multiLevelType w:val="hybridMultilevel"/>
    <w:tmpl w:val="B6E88A16"/>
    <w:lvl w:ilvl="0" w:tplc="2E8CF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1F16CF"/>
    <w:multiLevelType w:val="multilevel"/>
    <w:tmpl w:val="AB5441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CAA6BB9"/>
    <w:multiLevelType w:val="hybridMultilevel"/>
    <w:tmpl w:val="D93EC092"/>
    <w:lvl w:ilvl="0" w:tplc="3EF6F2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5"/>
  </w:num>
  <w:num w:numId="4">
    <w:abstractNumId w:val="7"/>
  </w:num>
  <w:num w:numId="5">
    <w:abstractNumId w:val="24"/>
  </w:num>
  <w:num w:numId="6">
    <w:abstractNumId w:val="26"/>
  </w:num>
  <w:num w:numId="7">
    <w:abstractNumId w:val="23"/>
  </w:num>
  <w:num w:numId="8">
    <w:abstractNumId w:val="1"/>
  </w:num>
  <w:num w:numId="9">
    <w:abstractNumId w:val="20"/>
  </w:num>
  <w:num w:numId="10">
    <w:abstractNumId w:val="8"/>
  </w:num>
  <w:num w:numId="11">
    <w:abstractNumId w:val="4"/>
  </w:num>
  <w:num w:numId="12">
    <w:abstractNumId w:val="14"/>
  </w:num>
  <w:num w:numId="13">
    <w:abstractNumId w:val="25"/>
  </w:num>
  <w:num w:numId="14">
    <w:abstractNumId w:val="13"/>
  </w:num>
  <w:num w:numId="15">
    <w:abstractNumId w:val="2"/>
  </w:num>
  <w:num w:numId="16">
    <w:abstractNumId w:val="17"/>
  </w:num>
  <w:num w:numId="17">
    <w:abstractNumId w:val="22"/>
  </w:num>
  <w:num w:numId="18">
    <w:abstractNumId w:val="6"/>
  </w:num>
  <w:num w:numId="19">
    <w:abstractNumId w:val="11"/>
  </w:num>
  <w:num w:numId="20">
    <w:abstractNumId w:val="21"/>
  </w:num>
  <w:num w:numId="21">
    <w:abstractNumId w:val="10"/>
  </w:num>
  <w:num w:numId="22">
    <w:abstractNumId w:val="18"/>
  </w:num>
  <w:num w:numId="23">
    <w:abstractNumId w:val="3"/>
  </w:num>
  <w:num w:numId="24">
    <w:abstractNumId w:val="5"/>
  </w:num>
  <w:num w:numId="25">
    <w:abstractNumId w:val="0"/>
  </w:num>
  <w:num w:numId="26">
    <w:abstractNumId w:val="12"/>
  </w:num>
  <w:num w:numId="27">
    <w:abstractNumId w:val="17"/>
  </w:num>
  <w:num w:numId="28">
    <w:abstractNumId w:val="17"/>
  </w:num>
  <w:num w:numId="29">
    <w:abstractNumId w:val="17"/>
  </w:num>
  <w:num w:numId="30">
    <w:abstractNumId w:val="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defaultTabStop w:val="720"/>
  <w:characterSpacingControl w:val="doNotCompress"/>
  <w:hdrShapeDefaults>
    <o:shapedefaults v:ext="edit" spidmax="2050"/>
    <o:shapelayout v:ext="edit">
      <o:idmap v:ext="edit" data="1"/>
      <o:rules v:ext="edit">
        <o:r id="V:Rule2" type="connector" idref="#_x0000_s1033"/>
      </o:rules>
    </o:shapelayout>
  </w:hdrShapeDefaults>
  <w:footnotePr>
    <w:footnote w:id="-1"/>
    <w:footnote w:id="0"/>
  </w:footnotePr>
  <w:endnotePr>
    <w:endnote w:id="-1"/>
    <w:endnote w:id="0"/>
  </w:endnotePr>
  <w:compat>
    <w:compatSetting w:name="compatibilityMode" w:uri="http://schemas.microsoft.com/office/word" w:val="12"/>
  </w:compat>
  <w:docVars>
    <w:docVar w:name="ShapeAltTextReset" w:val="True"/>
  </w:docVars>
  <w:rsids>
    <w:rsidRoot w:val="007E15C2"/>
    <w:rsid w:val="000004E6"/>
    <w:rsid w:val="00000635"/>
    <w:rsid w:val="000009A4"/>
    <w:rsid w:val="000016C9"/>
    <w:rsid w:val="000017BD"/>
    <w:rsid w:val="00001B09"/>
    <w:rsid w:val="00001E69"/>
    <w:rsid w:val="0000243F"/>
    <w:rsid w:val="00002AA7"/>
    <w:rsid w:val="00004874"/>
    <w:rsid w:val="00004AD2"/>
    <w:rsid w:val="00004B54"/>
    <w:rsid w:val="00005672"/>
    <w:rsid w:val="00005A32"/>
    <w:rsid w:val="00005F2D"/>
    <w:rsid w:val="00006050"/>
    <w:rsid w:val="00006C0C"/>
    <w:rsid w:val="00007251"/>
    <w:rsid w:val="000074DA"/>
    <w:rsid w:val="00007B75"/>
    <w:rsid w:val="00007FC2"/>
    <w:rsid w:val="00010D75"/>
    <w:rsid w:val="00010DAD"/>
    <w:rsid w:val="00011126"/>
    <w:rsid w:val="000112A8"/>
    <w:rsid w:val="000121AB"/>
    <w:rsid w:val="00012EB6"/>
    <w:rsid w:val="00013469"/>
    <w:rsid w:val="000145F9"/>
    <w:rsid w:val="00014C8C"/>
    <w:rsid w:val="000154DB"/>
    <w:rsid w:val="00015A3D"/>
    <w:rsid w:val="0001627E"/>
    <w:rsid w:val="00017633"/>
    <w:rsid w:val="00020AD4"/>
    <w:rsid w:val="00020FE3"/>
    <w:rsid w:val="00021381"/>
    <w:rsid w:val="000214E5"/>
    <w:rsid w:val="00022B94"/>
    <w:rsid w:val="00022E8B"/>
    <w:rsid w:val="000230B6"/>
    <w:rsid w:val="0002310B"/>
    <w:rsid w:val="0002388C"/>
    <w:rsid w:val="00024AD4"/>
    <w:rsid w:val="00024B76"/>
    <w:rsid w:val="00024D40"/>
    <w:rsid w:val="00024FA3"/>
    <w:rsid w:val="00025440"/>
    <w:rsid w:val="00025618"/>
    <w:rsid w:val="00025B04"/>
    <w:rsid w:val="00025CC6"/>
    <w:rsid w:val="00025CF1"/>
    <w:rsid w:val="00025FDC"/>
    <w:rsid w:val="00026395"/>
    <w:rsid w:val="00026CA3"/>
    <w:rsid w:val="0002756C"/>
    <w:rsid w:val="000302C0"/>
    <w:rsid w:val="0003094D"/>
    <w:rsid w:val="00030C8F"/>
    <w:rsid w:val="00030F18"/>
    <w:rsid w:val="00031EFF"/>
    <w:rsid w:val="000323A9"/>
    <w:rsid w:val="00032B1F"/>
    <w:rsid w:val="00032FB7"/>
    <w:rsid w:val="00033992"/>
    <w:rsid w:val="00033F67"/>
    <w:rsid w:val="00033FD4"/>
    <w:rsid w:val="00034400"/>
    <w:rsid w:val="00034A94"/>
    <w:rsid w:val="00034F99"/>
    <w:rsid w:val="00035670"/>
    <w:rsid w:val="00035D35"/>
    <w:rsid w:val="0003618C"/>
    <w:rsid w:val="00036792"/>
    <w:rsid w:val="00037A7D"/>
    <w:rsid w:val="00037EA3"/>
    <w:rsid w:val="00040207"/>
    <w:rsid w:val="000404C6"/>
    <w:rsid w:val="000405C6"/>
    <w:rsid w:val="000407AB"/>
    <w:rsid w:val="0004084E"/>
    <w:rsid w:val="00041651"/>
    <w:rsid w:val="000416DC"/>
    <w:rsid w:val="00042130"/>
    <w:rsid w:val="00042E83"/>
    <w:rsid w:val="000438B8"/>
    <w:rsid w:val="00043B6E"/>
    <w:rsid w:val="00043CEC"/>
    <w:rsid w:val="00043D59"/>
    <w:rsid w:val="00043DE4"/>
    <w:rsid w:val="0004402A"/>
    <w:rsid w:val="00044C11"/>
    <w:rsid w:val="000457E6"/>
    <w:rsid w:val="00046297"/>
    <w:rsid w:val="0004687B"/>
    <w:rsid w:val="00046C7A"/>
    <w:rsid w:val="000471E3"/>
    <w:rsid w:val="000476B4"/>
    <w:rsid w:val="00050869"/>
    <w:rsid w:val="00050929"/>
    <w:rsid w:val="00050A5B"/>
    <w:rsid w:val="00050ADB"/>
    <w:rsid w:val="00051BF7"/>
    <w:rsid w:val="0005220F"/>
    <w:rsid w:val="000525AD"/>
    <w:rsid w:val="000537DB"/>
    <w:rsid w:val="00053A71"/>
    <w:rsid w:val="00054AE3"/>
    <w:rsid w:val="00054C1B"/>
    <w:rsid w:val="000554D1"/>
    <w:rsid w:val="00056F34"/>
    <w:rsid w:val="000570D3"/>
    <w:rsid w:val="000572C9"/>
    <w:rsid w:val="00057357"/>
    <w:rsid w:val="000575B2"/>
    <w:rsid w:val="00057856"/>
    <w:rsid w:val="00057E44"/>
    <w:rsid w:val="00057EEB"/>
    <w:rsid w:val="00057F73"/>
    <w:rsid w:val="00060089"/>
    <w:rsid w:val="000601B1"/>
    <w:rsid w:val="00060701"/>
    <w:rsid w:val="000609BB"/>
    <w:rsid w:val="00060EB8"/>
    <w:rsid w:val="0006116E"/>
    <w:rsid w:val="000612E9"/>
    <w:rsid w:val="00061642"/>
    <w:rsid w:val="00061BB8"/>
    <w:rsid w:val="000629D2"/>
    <w:rsid w:val="00062AE8"/>
    <w:rsid w:val="00063094"/>
    <w:rsid w:val="00063953"/>
    <w:rsid w:val="00063C0A"/>
    <w:rsid w:val="0006432F"/>
    <w:rsid w:val="00064CDC"/>
    <w:rsid w:val="00064DD0"/>
    <w:rsid w:val="0006578F"/>
    <w:rsid w:val="0006650C"/>
    <w:rsid w:val="00066811"/>
    <w:rsid w:val="00066BD9"/>
    <w:rsid w:val="00066C02"/>
    <w:rsid w:val="0006760C"/>
    <w:rsid w:val="00067751"/>
    <w:rsid w:val="000677D1"/>
    <w:rsid w:val="00070D9E"/>
    <w:rsid w:val="00070E2A"/>
    <w:rsid w:val="00071660"/>
    <w:rsid w:val="00071D9B"/>
    <w:rsid w:val="00072D75"/>
    <w:rsid w:val="00074A7C"/>
    <w:rsid w:val="00074BF8"/>
    <w:rsid w:val="00074DC7"/>
    <w:rsid w:val="00074FA5"/>
    <w:rsid w:val="00076164"/>
    <w:rsid w:val="00076AE0"/>
    <w:rsid w:val="00076CD0"/>
    <w:rsid w:val="000775CF"/>
    <w:rsid w:val="00077755"/>
    <w:rsid w:val="00077972"/>
    <w:rsid w:val="00077F5F"/>
    <w:rsid w:val="000805F1"/>
    <w:rsid w:val="000807E8"/>
    <w:rsid w:val="00080C4E"/>
    <w:rsid w:val="000811B6"/>
    <w:rsid w:val="00081609"/>
    <w:rsid w:val="00081731"/>
    <w:rsid w:val="000822F1"/>
    <w:rsid w:val="000823CC"/>
    <w:rsid w:val="00082561"/>
    <w:rsid w:val="00082D29"/>
    <w:rsid w:val="00082D9C"/>
    <w:rsid w:val="00083621"/>
    <w:rsid w:val="00083BD9"/>
    <w:rsid w:val="00084F12"/>
    <w:rsid w:val="000855CF"/>
    <w:rsid w:val="000856C7"/>
    <w:rsid w:val="00085845"/>
    <w:rsid w:val="000861B9"/>
    <w:rsid w:val="00086F93"/>
    <w:rsid w:val="00087766"/>
    <w:rsid w:val="00090275"/>
    <w:rsid w:val="0009054D"/>
    <w:rsid w:val="0009137D"/>
    <w:rsid w:val="0009237A"/>
    <w:rsid w:val="000928C1"/>
    <w:rsid w:val="00093B1A"/>
    <w:rsid w:val="00093CE6"/>
    <w:rsid w:val="00094595"/>
    <w:rsid w:val="0009482F"/>
    <w:rsid w:val="00094D4C"/>
    <w:rsid w:val="00095233"/>
    <w:rsid w:val="000954D6"/>
    <w:rsid w:val="0009587B"/>
    <w:rsid w:val="000958EA"/>
    <w:rsid w:val="0009610A"/>
    <w:rsid w:val="00096918"/>
    <w:rsid w:val="00097FD6"/>
    <w:rsid w:val="000A06BF"/>
    <w:rsid w:val="000A0C26"/>
    <w:rsid w:val="000A1D4B"/>
    <w:rsid w:val="000A2762"/>
    <w:rsid w:val="000A2924"/>
    <w:rsid w:val="000A2EF6"/>
    <w:rsid w:val="000A3032"/>
    <w:rsid w:val="000A44D6"/>
    <w:rsid w:val="000A4509"/>
    <w:rsid w:val="000A477C"/>
    <w:rsid w:val="000A4789"/>
    <w:rsid w:val="000A4F14"/>
    <w:rsid w:val="000A5ACD"/>
    <w:rsid w:val="000A6433"/>
    <w:rsid w:val="000A7B01"/>
    <w:rsid w:val="000B044B"/>
    <w:rsid w:val="000B0768"/>
    <w:rsid w:val="000B0FD2"/>
    <w:rsid w:val="000B113C"/>
    <w:rsid w:val="000B1773"/>
    <w:rsid w:val="000B19AD"/>
    <w:rsid w:val="000B2244"/>
    <w:rsid w:val="000B27D9"/>
    <w:rsid w:val="000B3358"/>
    <w:rsid w:val="000B361A"/>
    <w:rsid w:val="000B4204"/>
    <w:rsid w:val="000B4297"/>
    <w:rsid w:val="000B43D3"/>
    <w:rsid w:val="000B4F3D"/>
    <w:rsid w:val="000B55E6"/>
    <w:rsid w:val="000B646C"/>
    <w:rsid w:val="000B649D"/>
    <w:rsid w:val="000B64D6"/>
    <w:rsid w:val="000B6ABA"/>
    <w:rsid w:val="000B7ECC"/>
    <w:rsid w:val="000C053B"/>
    <w:rsid w:val="000C1429"/>
    <w:rsid w:val="000C1586"/>
    <w:rsid w:val="000C1E72"/>
    <w:rsid w:val="000C27A8"/>
    <w:rsid w:val="000C29C6"/>
    <w:rsid w:val="000C2DA4"/>
    <w:rsid w:val="000C35C8"/>
    <w:rsid w:val="000C4486"/>
    <w:rsid w:val="000C45D6"/>
    <w:rsid w:val="000C485B"/>
    <w:rsid w:val="000C4C7A"/>
    <w:rsid w:val="000C4D14"/>
    <w:rsid w:val="000C4ED4"/>
    <w:rsid w:val="000C69DE"/>
    <w:rsid w:val="000C6BB3"/>
    <w:rsid w:val="000C7B7A"/>
    <w:rsid w:val="000D00C0"/>
    <w:rsid w:val="000D0656"/>
    <w:rsid w:val="000D09F7"/>
    <w:rsid w:val="000D10E0"/>
    <w:rsid w:val="000D13E2"/>
    <w:rsid w:val="000D189D"/>
    <w:rsid w:val="000D1A6C"/>
    <w:rsid w:val="000D1CB5"/>
    <w:rsid w:val="000D243C"/>
    <w:rsid w:val="000D2A75"/>
    <w:rsid w:val="000D2B67"/>
    <w:rsid w:val="000D2BF5"/>
    <w:rsid w:val="000D2F85"/>
    <w:rsid w:val="000D39B9"/>
    <w:rsid w:val="000D3A3F"/>
    <w:rsid w:val="000D43F4"/>
    <w:rsid w:val="000D469E"/>
    <w:rsid w:val="000D4AAC"/>
    <w:rsid w:val="000D4E57"/>
    <w:rsid w:val="000D5179"/>
    <w:rsid w:val="000D5542"/>
    <w:rsid w:val="000D5546"/>
    <w:rsid w:val="000D64BC"/>
    <w:rsid w:val="000D718C"/>
    <w:rsid w:val="000D7581"/>
    <w:rsid w:val="000D75A8"/>
    <w:rsid w:val="000D7849"/>
    <w:rsid w:val="000D794D"/>
    <w:rsid w:val="000E0593"/>
    <w:rsid w:val="000E062E"/>
    <w:rsid w:val="000E11BA"/>
    <w:rsid w:val="000E1A7A"/>
    <w:rsid w:val="000E1C14"/>
    <w:rsid w:val="000E2343"/>
    <w:rsid w:val="000E2792"/>
    <w:rsid w:val="000E2F5B"/>
    <w:rsid w:val="000E3A36"/>
    <w:rsid w:val="000E3F05"/>
    <w:rsid w:val="000E400A"/>
    <w:rsid w:val="000E61D7"/>
    <w:rsid w:val="000E636E"/>
    <w:rsid w:val="000E6464"/>
    <w:rsid w:val="000E6986"/>
    <w:rsid w:val="000E6E96"/>
    <w:rsid w:val="000E7437"/>
    <w:rsid w:val="000E76AB"/>
    <w:rsid w:val="000F0609"/>
    <w:rsid w:val="000F12B9"/>
    <w:rsid w:val="000F2AAD"/>
    <w:rsid w:val="000F2C89"/>
    <w:rsid w:val="000F344B"/>
    <w:rsid w:val="000F3E35"/>
    <w:rsid w:val="000F445D"/>
    <w:rsid w:val="000F45AE"/>
    <w:rsid w:val="000F4729"/>
    <w:rsid w:val="000F479D"/>
    <w:rsid w:val="000F485F"/>
    <w:rsid w:val="000F5523"/>
    <w:rsid w:val="000F579A"/>
    <w:rsid w:val="000F57A6"/>
    <w:rsid w:val="000F5A9D"/>
    <w:rsid w:val="000F6460"/>
    <w:rsid w:val="000F6BB5"/>
    <w:rsid w:val="000F7E44"/>
    <w:rsid w:val="00100747"/>
    <w:rsid w:val="0010083C"/>
    <w:rsid w:val="00100CE1"/>
    <w:rsid w:val="00101A2D"/>
    <w:rsid w:val="00101B7B"/>
    <w:rsid w:val="00102982"/>
    <w:rsid w:val="0010353C"/>
    <w:rsid w:val="00103B71"/>
    <w:rsid w:val="0010405A"/>
    <w:rsid w:val="001040ED"/>
    <w:rsid w:val="00104234"/>
    <w:rsid w:val="0010580D"/>
    <w:rsid w:val="00105A3D"/>
    <w:rsid w:val="00105AB3"/>
    <w:rsid w:val="001069F8"/>
    <w:rsid w:val="00107098"/>
    <w:rsid w:val="0010716C"/>
    <w:rsid w:val="0010753F"/>
    <w:rsid w:val="001077B6"/>
    <w:rsid w:val="00107FE1"/>
    <w:rsid w:val="0011106D"/>
    <w:rsid w:val="00111754"/>
    <w:rsid w:val="0011206C"/>
    <w:rsid w:val="001126A7"/>
    <w:rsid w:val="00112943"/>
    <w:rsid w:val="00112C62"/>
    <w:rsid w:val="001145A4"/>
    <w:rsid w:val="00114927"/>
    <w:rsid w:val="00114A11"/>
    <w:rsid w:val="00114B2C"/>
    <w:rsid w:val="00115C67"/>
    <w:rsid w:val="00115D60"/>
    <w:rsid w:val="0011608E"/>
    <w:rsid w:val="001164C9"/>
    <w:rsid w:val="0011723E"/>
    <w:rsid w:val="00117277"/>
    <w:rsid w:val="00117452"/>
    <w:rsid w:val="00117AD9"/>
    <w:rsid w:val="00117D48"/>
    <w:rsid w:val="00117E01"/>
    <w:rsid w:val="00120581"/>
    <w:rsid w:val="001215BC"/>
    <w:rsid w:val="00121A09"/>
    <w:rsid w:val="0012211E"/>
    <w:rsid w:val="001223CF"/>
    <w:rsid w:val="00122C1B"/>
    <w:rsid w:val="00123C20"/>
    <w:rsid w:val="00124536"/>
    <w:rsid w:val="00124D1F"/>
    <w:rsid w:val="001254E8"/>
    <w:rsid w:val="00127CB8"/>
    <w:rsid w:val="001301DE"/>
    <w:rsid w:val="00130300"/>
    <w:rsid w:val="001310CA"/>
    <w:rsid w:val="0013194B"/>
    <w:rsid w:val="00131E84"/>
    <w:rsid w:val="001320AF"/>
    <w:rsid w:val="00132F87"/>
    <w:rsid w:val="001330FD"/>
    <w:rsid w:val="00133A31"/>
    <w:rsid w:val="00135B78"/>
    <w:rsid w:val="0013600A"/>
    <w:rsid w:val="00136847"/>
    <w:rsid w:val="00136E39"/>
    <w:rsid w:val="00136E3D"/>
    <w:rsid w:val="001374CB"/>
    <w:rsid w:val="00140219"/>
    <w:rsid w:val="0014048A"/>
    <w:rsid w:val="00141900"/>
    <w:rsid w:val="00142E58"/>
    <w:rsid w:val="00143917"/>
    <w:rsid w:val="00143CDF"/>
    <w:rsid w:val="00144727"/>
    <w:rsid w:val="00144BB4"/>
    <w:rsid w:val="00145203"/>
    <w:rsid w:val="001453A1"/>
    <w:rsid w:val="00145707"/>
    <w:rsid w:val="00145DB4"/>
    <w:rsid w:val="0014641A"/>
    <w:rsid w:val="001465FD"/>
    <w:rsid w:val="00146627"/>
    <w:rsid w:val="00146C36"/>
    <w:rsid w:val="00147CE2"/>
    <w:rsid w:val="00147FBB"/>
    <w:rsid w:val="0015047D"/>
    <w:rsid w:val="00150ADC"/>
    <w:rsid w:val="00151A1C"/>
    <w:rsid w:val="00151B4A"/>
    <w:rsid w:val="00151D7A"/>
    <w:rsid w:val="00151F48"/>
    <w:rsid w:val="001527F1"/>
    <w:rsid w:val="00152DF3"/>
    <w:rsid w:val="0015339D"/>
    <w:rsid w:val="00153530"/>
    <w:rsid w:val="00153ABD"/>
    <w:rsid w:val="00154098"/>
    <w:rsid w:val="0015412E"/>
    <w:rsid w:val="00154FCC"/>
    <w:rsid w:val="00155146"/>
    <w:rsid w:val="0015643B"/>
    <w:rsid w:val="00156769"/>
    <w:rsid w:val="0015682C"/>
    <w:rsid w:val="00156F7F"/>
    <w:rsid w:val="00157396"/>
    <w:rsid w:val="001578FF"/>
    <w:rsid w:val="001603B9"/>
    <w:rsid w:val="0016112B"/>
    <w:rsid w:val="001611DB"/>
    <w:rsid w:val="00161210"/>
    <w:rsid w:val="0016123F"/>
    <w:rsid w:val="00161290"/>
    <w:rsid w:val="00161499"/>
    <w:rsid w:val="001625C9"/>
    <w:rsid w:val="00162853"/>
    <w:rsid w:val="00162D45"/>
    <w:rsid w:val="001634F2"/>
    <w:rsid w:val="001635B7"/>
    <w:rsid w:val="001637DA"/>
    <w:rsid w:val="00164120"/>
    <w:rsid w:val="0016494E"/>
    <w:rsid w:val="00164E02"/>
    <w:rsid w:val="00164FCC"/>
    <w:rsid w:val="0016517B"/>
    <w:rsid w:val="001658DD"/>
    <w:rsid w:val="00165B8E"/>
    <w:rsid w:val="00165C5D"/>
    <w:rsid w:val="00165E75"/>
    <w:rsid w:val="0016615D"/>
    <w:rsid w:val="0016699B"/>
    <w:rsid w:val="00166BAB"/>
    <w:rsid w:val="001673DF"/>
    <w:rsid w:val="00167BF9"/>
    <w:rsid w:val="001701D8"/>
    <w:rsid w:val="0017069E"/>
    <w:rsid w:val="00170A62"/>
    <w:rsid w:val="001716C5"/>
    <w:rsid w:val="00171D57"/>
    <w:rsid w:val="00171E26"/>
    <w:rsid w:val="0017272D"/>
    <w:rsid w:val="00172860"/>
    <w:rsid w:val="00172C21"/>
    <w:rsid w:val="00173057"/>
    <w:rsid w:val="001747D3"/>
    <w:rsid w:val="00174AB5"/>
    <w:rsid w:val="00174B38"/>
    <w:rsid w:val="0017560D"/>
    <w:rsid w:val="0017575F"/>
    <w:rsid w:val="00175AD1"/>
    <w:rsid w:val="00175FA2"/>
    <w:rsid w:val="00176CAC"/>
    <w:rsid w:val="00176F34"/>
    <w:rsid w:val="00177E4C"/>
    <w:rsid w:val="00180C4B"/>
    <w:rsid w:val="00181234"/>
    <w:rsid w:val="0018168D"/>
    <w:rsid w:val="00181B7F"/>
    <w:rsid w:val="00181DD7"/>
    <w:rsid w:val="00181E1E"/>
    <w:rsid w:val="001822FC"/>
    <w:rsid w:val="001827A5"/>
    <w:rsid w:val="00182CBB"/>
    <w:rsid w:val="00182F11"/>
    <w:rsid w:val="00183B15"/>
    <w:rsid w:val="00183F1E"/>
    <w:rsid w:val="0018556F"/>
    <w:rsid w:val="001862BB"/>
    <w:rsid w:val="001862D8"/>
    <w:rsid w:val="00186B75"/>
    <w:rsid w:val="00186D86"/>
    <w:rsid w:val="00186E69"/>
    <w:rsid w:val="00187926"/>
    <w:rsid w:val="00187CD3"/>
    <w:rsid w:val="00187D2A"/>
    <w:rsid w:val="001902E7"/>
    <w:rsid w:val="0019108A"/>
    <w:rsid w:val="00191788"/>
    <w:rsid w:val="00191E9D"/>
    <w:rsid w:val="0019254B"/>
    <w:rsid w:val="00192C2E"/>
    <w:rsid w:val="0019314F"/>
    <w:rsid w:val="001935E9"/>
    <w:rsid w:val="001936D4"/>
    <w:rsid w:val="001949F2"/>
    <w:rsid w:val="0019506B"/>
    <w:rsid w:val="00195218"/>
    <w:rsid w:val="001956AA"/>
    <w:rsid w:val="001965D0"/>
    <w:rsid w:val="001967BF"/>
    <w:rsid w:val="00196BD7"/>
    <w:rsid w:val="00197A03"/>
    <w:rsid w:val="00197B28"/>
    <w:rsid w:val="001A0442"/>
    <w:rsid w:val="001A0C1A"/>
    <w:rsid w:val="001A120C"/>
    <w:rsid w:val="001A192C"/>
    <w:rsid w:val="001A194A"/>
    <w:rsid w:val="001A1B19"/>
    <w:rsid w:val="001A23A5"/>
    <w:rsid w:val="001A3732"/>
    <w:rsid w:val="001A42DB"/>
    <w:rsid w:val="001A4731"/>
    <w:rsid w:val="001A525B"/>
    <w:rsid w:val="001A541C"/>
    <w:rsid w:val="001A61D7"/>
    <w:rsid w:val="001A679D"/>
    <w:rsid w:val="001A6A69"/>
    <w:rsid w:val="001A784F"/>
    <w:rsid w:val="001B0CB8"/>
    <w:rsid w:val="001B0D8C"/>
    <w:rsid w:val="001B100D"/>
    <w:rsid w:val="001B13DF"/>
    <w:rsid w:val="001B1698"/>
    <w:rsid w:val="001B17C2"/>
    <w:rsid w:val="001B1A15"/>
    <w:rsid w:val="001B1BB6"/>
    <w:rsid w:val="001B1D06"/>
    <w:rsid w:val="001B2EAB"/>
    <w:rsid w:val="001B366F"/>
    <w:rsid w:val="001B4070"/>
    <w:rsid w:val="001B46CB"/>
    <w:rsid w:val="001B4ED0"/>
    <w:rsid w:val="001B5751"/>
    <w:rsid w:val="001B5A4D"/>
    <w:rsid w:val="001B5F43"/>
    <w:rsid w:val="001B660F"/>
    <w:rsid w:val="001B6B00"/>
    <w:rsid w:val="001B78C4"/>
    <w:rsid w:val="001B7A46"/>
    <w:rsid w:val="001B7FDE"/>
    <w:rsid w:val="001C090F"/>
    <w:rsid w:val="001C0B1A"/>
    <w:rsid w:val="001C0B8D"/>
    <w:rsid w:val="001C0D5B"/>
    <w:rsid w:val="001C10BF"/>
    <w:rsid w:val="001C15FC"/>
    <w:rsid w:val="001C1800"/>
    <w:rsid w:val="001C1903"/>
    <w:rsid w:val="001C1A8B"/>
    <w:rsid w:val="001C1E00"/>
    <w:rsid w:val="001C22EB"/>
    <w:rsid w:val="001C2B93"/>
    <w:rsid w:val="001C2E60"/>
    <w:rsid w:val="001C31C2"/>
    <w:rsid w:val="001C3CF9"/>
    <w:rsid w:val="001C3E35"/>
    <w:rsid w:val="001C63D5"/>
    <w:rsid w:val="001C6C45"/>
    <w:rsid w:val="001C782D"/>
    <w:rsid w:val="001C795B"/>
    <w:rsid w:val="001C7B9C"/>
    <w:rsid w:val="001D027D"/>
    <w:rsid w:val="001D077F"/>
    <w:rsid w:val="001D0A5A"/>
    <w:rsid w:val="001D102C"/>
    <w:rsid w:val="001D127B"/>
    <w:rsid w:val="001D1DB2"/>
    <w:rsid w:val="001D1FE6"/>
    <w:rsid w:val="001D2285"/>
    <w:rsid w:val="001D2356"/>
    <w:rsid w:val="001D2725"/>
    <w:rsid w:val="001D2D1E"/>
    <w:rsid w:val="001D327F"/>
    <w:rsid w:val="001D363C"/>
    <w:rsid w:val="001D3642"/>
    <w:rsid w:val="001D4A71"/>
    <w:rsid w:val="001D5DE5"/>
    <w:rsid w:val="001D6147"/>
    <w:rsid w:val="001D66D2"/>
    <w:rsid w:val="001D67E6"/>
    <w:rsid w:val="001D6BF6"/>
    <w:rsid w:val="001D7179"/>
    <w:rsid w:val="001D7980"/>
    <w:rsid w:val="001D7CAD"/>
    <w:rsid w:val="001D7DFB"/>
    <w:rsid w:val="001E0171"/>
    <w:rsid w:val="001E0321"/>
    <w:rsid w:val="001E03EB"/>
    <w:rsid w:val="001E0BAC"/>
    <w:rsid w:val="001E1074"/>
    <w:rsid w:val="001E10CE"/>
    <w:rsid w:val="001E1C48"/>
    <w:rsid w:val="001E1C8F"/>
    <w:rsid w:val="001E1E4C"/>
    <w:rsid w:val="001E1E76"/>
    <w:rsid w:val="001E1FFF"/>
    <w:rsid w:val="001E2F98"/>
    <w:rsid w:val="001E37FA"/>
    <w:rsid w:val="001E4B32"/>
    <w:rsid w:val="001E4ECB"/>
    <w:rsid w:val="001E5120"/>
    <w:rsid w:val="001E5B11"/>
    <w:rsid w:val="001E6270"/>
    <w:rsid w:val="001E6582"/>
    <w:rsid w:val="001E6B5A"/>
    <w:rsid w:val="001E6BE2"/>
    <w:rsid w:val="001F1232"/>
    <w:rsid w:val="001F1D10"/>
    <w:rsid w:val="001F26EF"/>
    <w:rsid w:val="001F2896"/>
    <w:rsid w:val="001F28A5"/>
    <w:rsid w:val="001F32C9"/>
    <w:rsid w:val="001F37C8"/>
    <w:rsid w:val="001F38F8"/>
    <w:rsid w:val="001F4106"/>
    <w:rsid w:val="001F4282"/>
    <w:rsid w:val="001F449A"/>
    <w:rsid w:val="001F478B"/>
    <w:rsid w:val="001F4981"/>
    <w:rsid w:val="001F4B6E"/>
    <w:rsid w:val="001F5253"/>
    <w:rsid w:val="001F5DA0"/>
    <w:rsid w:val="001F6254"/>
    <w:rsid w:val="001F6913"/>
    <w:rsid w:val="001F6B4B"/>
    <w:rsid w:val="001F6BC5"/>
    <w:rsid w:val="001F6D8F"/>
    <w:rsid w:val="001F702C"/>
    <w:rsid w:val="001F7430"/>
    <w:rsid w:val="001F74E3"/>
    <w:rsid w:val="001F7595"/>
    <w:rsid w:val="001F77FC"/>
    <w:rsid w:val="001F7B09"/>
    <w:rsid w:val="001F7E21"/>
    <w:rsid w:val="00200063"/>
    <w:rsid w:val="002005FD"/>
    <w:rsid w:val="00200F38"/>
    <w:rsid w:val="00201C48"/>
    <w:rsid w:val="0020298B"/>
    <w:rsid w:val="00203494"/>
    <w:rsid w:val="00203610"/>
    <w:rsid w:val="00203809"/>
    <w:rsid w:val="00203876"/>
    <w:rsid w:val="00203CE0"/>
    <w:rsid w:val="00204290"/>
    <w:rsid w:val="00204F87"/>
    <w:rsid w:val="002054D2"/>
    <w:rsid w:val="00205835"/>
    <w:rsid w:val="00205E32"/>
    <w:rsid w:val="00205FA6"/>
    <w:rsid w:val="00206E11"/>
    <w:rsid w:val="0020768D"/>
    <w:rsid w:val="002079FC"/>
    <w:rsid w:val="00207D23"/>
    <w:rsid w:val="0021015B"/>
    <w:rsid w:val="002102C1"/>
    <w:rsid w:val="0021057E"/>
    <w:rsid w:val="0021104A"/>
    <w:rsid w:val="002112E0"/>
    <w:rsid w:val="002116BA"/>
    <w:rsid w:val="00212446"/>
    <w:rsid w:val="002125B1"/>
    <w:rsid w:val="00212892"/>
    <w:rsid w:val="00212912"/>
    <w:rsid w:val="00212BC1"/>
    <w:rsid w:val="00212D77"/>
    <w:rsid w:val="0021312D"/>
    <w:rsid w:val="002141D8"/>
    <w:rsid w:val="00214412"/>
    <w:rsid w:val="00215243"/>
    <w:rsid w:val="002155B3"/>
    <w:rsid w:val="00215AFE"/>
    <w:rsid w:val="00215E67"/>
    <w:rsid w:val="00216B3B"/>
    <w:rsid w:val="002177BF"/>
    <w:rsid w:val="00217E97"/>
    <w:rsid w:val="0022002A"/>
    <w:rsid w:val="00220454"/>
    <w:rsid w:val="002211C6"/>
    <w:rsid w:val="002213EB"/>
    <w:rsid w:val="00221703"/>
    <w:rsid w:val="00222146"/>
    <w:rsid w:val="00222564"/>
    <w:rsid w:val="00222719"/>
    <w:rsid w:val="00222FD9"/>
    <w:rsid w:val="0022359B"/>
    <w:rsid w:val="002247F4"/>
    <w:rsid w:val="0022566B"/>
    <w:rsid w:val="002258CD"/>
    <w:rsid w:val="00225E14"/>
    <w:rsid w:val="0022600F"/>
    <w:rsid w:val="00226BF7"/>
    <w:rsid w:val="00227B84"/>
    <w:rsid w:val="0023054B"/>
    <w:rsid w:val="002308AB"/>
    <w:rsid w:val="00230A28"/>
    <w:rsid w:val="00231B4E"/>
    <w:rsid w:val="00232A6A"/>
    <w:rsid w:val="00232E17"/>
    <w:rsid w:val="00232F37"/>
    <w:rsid w:val="0023324A"/>
    <w:rsid w:val="00233563"/>
    <w:rsid w:val="00234636"/>
    <w:rsid w:val="0023477F"/>
    <w:rsid w:val="00234C42"/>
    <w:rsid w:val="00234D72"/>
    <w:rsid w:val="00235262"/>
    <w:rsid w:val="00236541"/>
    <w:rsid w:val="00236C46"/>
    <w:rsid w:val="0024012D"/>
    <w:rsid w:val="0024093D"/>
    <w:rsid w:val="00241188"/>
    <w:rsid w:val="00241B74"/>
    <w:rsid w:val="00242970"/>
    <w:rsid w:val="002429E0"/>
    <w:rsid w:val="002429FB"/>
    <w:rsid w:val="00243C0A"/>
    <w:rsid w:val="00243EAF"/>
    <w:rsid w:val="00243F1D"/>
    <w:rsid w:val="002440BE"/>
    <w:rsid w:val="00244100"/>
    <w:rsid w:val="002443FF"/>
    <w:rsid w:val="0024444E"/>
    <w:rsid w:val="00244470"/>
    <w:rsid w:val="002447CE"/>
    <w:rsid w:val="00244A52"/>
    <w:rsid w:val="00244B9E"/>
    <w:rsid w:val="00244E46"/>
    <w:rsid w:val="00245BDD"/>
    <w:rsid w:val="00246B56"/>
    <w:rsid w:val="00246EDB"/>
    <w:rsid w:val="0024771A"/>
    <w:rsid w:val="00247960"/>
    <w:rsid w:val="0025029C"/>
    <w:rsid w:val="0025095F"/>
    <w:rsid w:val="00250EB7"/>
    <w:rsid w:val="002512F3"/>
    <w:rsid w:val="0025157A"/>
    <w:rsid w:val="002515D9"/>
    <w:rsid w:val="00252592"/>
    <w:rsid w:val="002525BE"/>
    <w:rsid w:val="002531A4"/>
    <w:rsid w:val="0025336E"/>
    <w:rsid w:val="0025373D"/>
    <w:rsid w:val="00253B39"/>
    <w:rsid w:val="00253E39"/>
    <w:rsid w:val="00254149"/>
    <w:rsid w:val="002544BA"/>
    <w:rsid w:val="00254A7E"/>
    <w:rsid w:val="00254EF3"/>
    <w:rsid w:val="00254F5A"/>
    <w:rsid w:val="002550AC"/>
    <w:rsid w:val="002551CF"/>
    <w:rsid w:val="0025587E"/>
    <w:rsid w:val="002565E4"/>
    <w:rsid w:val="00256B41"/>
    <w:rsid w:val="00256C70"/>
    <w:rsid w:val="00256ED0"/>
    <w:rsid w:val="00256F6F"/>
    <w:rsid w:val="00257B87"/>
    <w:rsid w:val="00260145"/>
    <w:rsid w:val="002609BC"/>
    <w:rsid w:val="00260C5F"/>
    <w:rsid w:val="00261137"/>
    <w:rsid w:val="00261A3B"/>
    <w:rsid w:val="00262393"/>
    <w:rsid w:val="00262B89"/>
    <w:rsid w:val="002650AD"/>
    <w:rsid w:val="0026538C"/>
    <w:rsid w:val="00265395"/>
    <w:rsid w:val="002664FD"/>
    <w:rsid w:val="002668D2"/>
    <w:rsid w:val="00266F3C"/>
    <w:rsid w:val="00267A61"/>
    <w:rsid w:val="00267B35"/>
    <w:rsid w:val="00267F40"/>
    <w:rsid w:val="00270305"/>
    <w:rsid w:val="002708C1"/>
    <w:rsid w:val="002709DE"/>
    <w:rsid w:val="00270A43"/>
    <w:rsid w:val="00270BDD"/>
    <w:rsid w:val="002713C0"/>
    <w:rsid w:val="0027168F"/>
    <w:rsid w:val="00271AEF"/>
    <w:rsid w:val="00272982"/>
    <w:rsid w:val="00272E18"/>
    <w:rsid w:val="0027301D"/>
    <w:rsid w:val="0027398F"/>
    <w:rsid w:val="00273D75"/>
    <w:rsid w:val="00273ED1"/>
    <w:rsid w:val="002741C5"/>
    <w:rsid w:val="002743FB"/>
    <w:rsid w:val="00275033"/>
    <w:rsid w:val="0027535E"/>
    <w:rsid w:val="0027562E"/>
    <w:rsid w:val="0027590B"/>
    <w:rsid w:val="00276102"/>
    <w:rsid w:val="002761D6"/>
    <w:rsid w:val="0027676F"/>
    <w:rsid w:val="0027727E"/>
    <w:rsid w:val="00277938"/>
    <w:rsid w:val="00277B14"/>
    <w:rsid w:val="00277C66"/>
    <w:rsid w:val="00280BFD"/>
    <w:rsid w:val="002818E4"/>
    <w:rsid w:val="00281966"/>
    <w:rsid w:val="00281EB4"/>
    <w:rsid w:val="00281F8F"/>
    <w:rsid w:val="0028237E"/>
    <w:rsid w:val="002828C6"/>
    <w:rsid w:val="00282F89"/>
    <w:rsid w:val="00282FBB"/>
    <w:rsid w:val="00282FD2"/>
    <w:rsid w:val="00284038"/>
    <w:rsid w:val="00284157"/>
    <w:rsid w:val="00284413"/>
    <w:rsid w:val="0028443D"/>
    <w:rsid w:val="00285121"/>
    <w:rsid w:val="00285602"/>
    <w:rsid w:val="00286861"/>
    <w:rsid w:val="00286B37"/>
    <w:rsid w:val="0028706A"/>
    <w:rsid w:val="00287369"/>
    <w:rsid w:val="00287D37"/>
    <w:rsid w:val="00287FD7"/>
    <w:rsid w:val="00290896"/>
    <w:rsid w:val="00291221"/>
    <w:rsid w:val="002914CC"/>
    <w:rsid w:val="00292135"/>
    <w:rsid w:val="002922EF"/>
    <w:rsid w:val="00292865"/>
    <w:rsid w:val="00292887"/>
    <w:rsid w:val="002929A3"/>
    <w:rsid w:val="002935A2"/>
    <w:rsid w:val="00293613"/>
    <w:rsid w:val="00293B19"/>
    <w:rsid w:val="00293C81"/>
    <w:rsid w:val="00293E1D"/>
    <w:rsid w:val="00293E91"/>
    <w:rsid w:val="00293F94"/>
    <w:rsid w:val="00294E3D"/>
    <w:rsid w:val="00295519"/>
    <w:rsid w:val="002961E4"/>
    <w:rsid w:val="00296786"/>
    <w:rsid w:val="00296BE6"/>
    <w:rsid w:val="00296D75"/>
    <w:rsid w:val="00297245"/>
    <w:rsid w:val="002974C4"/>
    <w:rsid w:val="0029785C"/>
    <w:rsid w:val="00297948"/>
    <w:rsid w:val="00297B33"/>
    <w:rsid w:val="00297D91"/>
    <w:rsid w:val="002A00BA"/>
    <w:rsid w:val="002A0764"/>
    <w:rsid w:val="002A0D89"/>
    <w:rsid w:val="002A147D"/>
    <w:rsid w:val="002A1E1F"/>
    <w:rsid w:val="002A2148"/>
    <w:rsid w:val="002A27E6"/>
    <w:rsid w:val="002A3D9F"/>
    <w:rsid w:val="002A3EC9"/>
    <w:rsid w:val="002A40A5"/>
    <w:rsid w:val="002A428C"/>
    <w:rsid w:val="002A4521"/>
    <w:rsid w:val="002A516B"/>
    <w:rsid w:val="002A53FC"/>
    <w:rsid w:val="002A55DD"/>
    <w:rsid w:val="002A597E"/>
    <w:rsid w:val="002A630A"/>
    <w:rsid w:val="002A65F5"/>
    <w:rsid w:val="002A6D01"/>
    <w:rsid w:val="002A7B0F"/>
    <w:rsid w:val="002B01DC"/>
    <w:rsid w:val="002B0284"/>
    <w:rsid w:val="002B0A8D"/>
    <w:rsid w:val="002B0C4B"/>
    <w:rsid w:val="002B13E7"/>
    <w:rsid w:val="002B1478"/>
    <w:rsid w:val="002B1863"/>
    <w:rsid w:val="002B218A"/>
    <w:rsid w:val="002B2434"/>
    <w:rsid w:val="002B316B"/>
    <w:rsid w:val="002B328F"/>
    <w:rsid w:val="002B3479"/>
    <w:rsid w:val="002B3654"/>
    <w:rsid w:val="002B3D2B"/>
    <w:rsid w:val="002B3E09"/>
    <w:rsid w:val="002B43A8"/>
    <w:rsid w:val="002B473B"/>
    <w:rsid w:val="002B4802"/>
    <w:rsid w:val="002B481D"/>
    <w:rsid w:val="002B49F4"/>
    <w:rsid w:val="002B4F7F"/>
    <w:rsid w:val="002B56C4"/>
    <w:rsid w:val="002B59F7"/>
    <w:rsid w:val="002B6245"/>
    <w:rsid w:val="002B6360"/>
    <w:rsid w:val="002B641C"/>
    <w:rsid w:val="002B6F48"/>
    <w:rsid w:val="002B73FA"/>
    <w:rsid w:val="002B785A"/>
    <w:rsid w:val="002B7E74"/>
    <w:rsid w:val="002C0634"/>
    <w:rsid w:val="002C0CC6"/>
    <w:rsid w:val="002C0E0C"/>
    <w:rsid w:val="002C14A1"/>
    <w:rsid w:val="002C22AB"/>
    <w:rsid w:val="002C22F8"/>
    <w:rsid w:val="002C29B4"/>
    <w:rsid w:val="002C2A94"/>
    <w:rsid w:val="002C2B5C"/>
    <w:rsid w:val="002C2BCD"/>
    <w:rsid w:val="002C2DB8"/>
    <w:rsid w:val="002C3858"/>
    <w:rsid w:val="002C3A8F"/>
    <w:rsid w:val="002C4561"/>
    <w:rsid w:val="002C490F"/>
    <w:rsid w:val="002C5632"/>
    <w:rsid w:val="002C5B4A"/>
    <w:rsid w:val="002C5DD5"/>
    <w:rsid w:val="002C61AE"/>
    <w:rsid w:val="002C6D49"/>
    <w:rsid w:val="002C7B2E"/>
    <w:rsid w:val="002C7CD5"/>
    <w:rsid w:val="002C7E0E"/>
    <w:rsid w:val="002D04D1"/>
    <w:rsid w:val="002D09D9"/>
    <w:rsid w:val="002D0C58"/>
    <w:rsid w:val="002D0D14"/>
    <w:rsid w:val="002D0EA4"/>
    <w:rsid w:val="002D10C8"/>
    <w:rsid w:val="002D1474"/>
    <w:rsid w:val="002D1530"/>
    <w:rsid w:val="002D15E6"/>
    <w:rsid w:val="002D176F"/>
    <w:rsid w:val="002D17D4"/>
    <w:rsid w:val="002D18FF"/>
    <w:rsid w:val="002D1CFE"/>
    <w:rsid w:val="002D2E6F"/>
    <w:rsid w:val="002D300F"/>
    <w:rsid w:val="002D382D"/>
    <w:rsid w:val="002D3F37"/>
    <w:rsid w:val="002D4CEA"/>
    <w:rsid w:val="002D4EDB"/>
    <w:rsid w:val="002D5C38"/>
    <w:rsid w:val="002D5D70"/>
    <w:rsid w:val="002D6139"/>
    <w:rsid w:val="002D6A7D"/>
    <w:rsid w:val="002D6FD6"/>
    <w:rsid w:val="002D75A9"/>
    <w:rsid w:val="002D797B"/>
    <w:rsid w:val="002D7B44"/>
    <w:rsid w:val="002D7C18"/>
    <w:rsid w:val="002D7C40"/>
    <w:rsid w:val="002E00B8"/>
    <w:rsid w:val="002E110E"/>
    <w:rsid w:val="002E139F"/>
    <w:rsid w:val="002E2933"/>
    <w:rsid w:val="002E2BF8"/>
    <w:rsid w:val="002E2FFC"/>
    <w:rsid w:val="002E358B"/>
    <w:rsid w:val="002E4909"/>
    <w:rsid w:val="002E4B73"/>
    <w:rsid w:val="002E4D4C"/>
    <w:rsid w:val="002E4F13"/>
    <w:rsid w:val="002E5195"/>
    <w:rsid w:val="002E5366"/>
    <w:rsid w:val="002E5631"/>
    <w:rsid w:val="002E5864"/>
    <w:rsid w:val="002E6077"/>
    <w:rsid w:val="002E632B"/>
    <w:rsid w:val="002E6708"/>
    <w:rsid w:val="002E6A72"/>
    <w:rsid w:val="002E7374"/>
    <w:rsid w:val="002E7DCD"/>
    <w:rsid w:val="002F06C5"/>
    <w:rsid w:val="002F0751"/>
    <w:rsid w:val="002F0B48"/>
    <w:rsid w:val="002F0E44"/>
    <w:rsid w:val="002F1688"/>
    <w:rsid w:val="002F22C8"/>
    <w:rsid w:val="002F29D4"/>
    <w:rsid w:val="002F2CA1"/>
    <w:rsid w:val="002F2F52"/>
    <w:rsid w:val="002F3B89"/>
    <w:rsid w:val="002F3E7C"/>
    <w:rsid w:val="002F4831"/>
    <w:rsid w:val="002F4A60"/>
    <w:rsid w:val="002F4E99"/>
    <w:rsid w:val="002F4F2B"/>
    <w:rsid w:val="002F5292"/>
    <w:rsid w:val="002F6DF1"/>
    <w:rsid w:val="003003E2"/>
    <w:rsid w:val="00300FA9"/>
    <w:rsid w:val="00301000"/>
    <w:rsid w:val="00301651"/>
    <w:rsid w:val="00301731"/>
    <w:rsid w:val="003018CE"/>
    <w:rsid w:val="0030214C"/>
    <w:rsid w:val="00302527"/>
    <w:rsid w:val="003025E6"/>
    <w:rsid w:val="00302701"/>
    <w:rsid w:val="00303079"/>
    <w:rsid w:val="00303F13"/>
    <w:rsid w:val="0030417D"/>
    <w:rsid w:val="003044C0"/>
    <w:rsid w:val="00305287"/>
    <w:rsid w:val="003063B8"/>
    <w:rsid w:val="003066F0"/>
    <w:rsid w:val="003106C6"/>
    <w:rsid w:val="003111C1"/>
    <w:rsid w:val="00311317"/>
    <w:rsid w:val="0031149B"/>
    <w:rsid w:val="00311A7D"/>
    <w:rsid w:val="00311DE0"/>
    <w:rsid w:val="003120B1"/>
    <w:rsid w:val="00312A57"/>
    <w:rsid w:val="00312F02"/>
    <w:rsid w:val="00312FE4"/>
    <w:rsid w:val="00313067"/>
    <w:rsid w:val="003130A3"/>
    <w:rsid w:val="003134AE"/>
    <w:rsid w:val="0031363E"/>
    <w:rsid w:val="00314687"/>
    <w:rsid w:val="00314E75"/>
    <w:rsid w:val="00315205"/>
    <w:rsid w:val="00315492"/>
    <w:rsid w:val="003158F0"/>
    <w:rsid w:val="00315F3F"/>
    <w:rsid w:val="00317727"/>
    <w:rsid w:val="003179FE"/>
    <w:rsid w:val="0032038A"/>
    <w:rsid w:val="00320973"/>
    <w:rsid w:val="00320B5C"/>
    <w:rsid w:val="00320BDE"/>
    <w:rsid w:val="003211E9"/>
    <w:rsid w:val="00321466"/>
    <w:rsid w:val="00321801"/>
    <w:rsid w:val="00321BEB"/>
    <w:rsid w:val="00322BD0"/>
    <w:rsid w:val="00322E63"/>
    <w:rsid w:val="003230F1"/>
    <w:rsid w:val="003236F2"/>
    <w:rsid w:val="00323840"/>
    <w:rsid w:val="00323E9E"/>
    <w:rsid w:val="0032484F"/>
    <w:rsid w:val="00324890"/>
    <w:rsid w:val="00324E32"/>
    <w:rsid w:val="00325046"/>
    <w:rsid w:val="00325391"/>
    <w:rsid w:val="00326D4E"/>
    <w:rsid w:val="003274AA"/>
    <w:rsid w:val="00327600"/>
    <w:rsid w:val="003308C9"/>
    <w:rsid w:val="00330BDF"/>
    <w:rsid w:val="00330F19"/>
    <w:rsid w:val="00331051"/>
    <w:rsid w:val="0033180F"/>
    <w:rsid w:val="00331A02"/>
    <w:rsid w:val="00331EC0"/>
    <w:rsid w:val="0033216A"/>
    <w:rsid w:val="00332E6B"/>
    <w:rsid w:val="0033374E"/>
    <w:rsid w:val="00333DF2"/>
    <w:rsid w:val="00333E88"/>
    <w:rsid w:val="003350C5"/>
    <w:rsid w:val="003359EA"/>
    <w:rsid w:val="00335F52"/>
    <w:rsid w:val="00335FFC"/>
    <w:rsid w:val="00336660"/>
    <w:rsid w:val="0033697D"/>
    <w:rsid w:val="00336AAB"/>
    <w:rsid w:val="0033746A"/>
    <w:rsid w:val="00337743"/>
    <w:rsid w:val="00337D59"/>
    <w:rsid w:val="00340339"/>
    <w:rsid w:val="003407B8"/>
    <w:rsid w:val="003417A4"/>
    <w:rsid w:val="003419C5"/>
    <w:rsid w:val="00342F9A"/>
    <w:rsid w:val="00343B85"/>
    <w:rsid w:val="00343D47"/>
    <w:rsid w:val="00344463"/>
    <w:rsid w:val="00345B62"/>
    <w:rsid w:val="00345EE7"/>
    <w:rsid w:val="003467AD"/>
    <w:rsid w:val="003467FD"/>
    <w:rsid w:val="00346EC5"/>
    <w:rsid w:val="00346FF1"/>
    <w:rsid w:val="0034710F"/>
    <w:rsid w:val="0034729F"/>
    <w:rsid w:val="00347A86"/>
    <w:rsid w:val="00350853"/>
    <w:rsid w:val="00350C24"/>
    <w:rsid w:val="0035148C"/>
    <w:rsid w:val="003517ED"/>
    <w:rsid w:val="00352322"/>
    <w:rsid w:val="003525AF"/>
    <w:rsid w:val="003527BE"/>
    <w:rsid w:val="00352E75"/>
    <w:rsid w:val="00352EBD"/>
    <w:rsid w:val="00353791"/>
    <w:rsid w:val="003539A6"/>
    <w:rsid w:val="00353E08"/>
    <w:rsid w:val="00353F0B"/>
    <w:rsid w:val="003542E2"/>
    <w:rsid w:val="0035448C"/>
    <w:rsid w:val="00354555"/>
    <w:rsid w:val="00354578"/>
    <w:rsid w:val="00354939"/>
    <w:rsid w:val="00354C71"/>
    <w:rsid w:val="0035506E"/>
    <w:rsid w:val="0035509E"/>
    <w:rsid w:val="003555AA"/>
    <w:rsid w:val="00355E2C"/>
    <w:rsid w:val="00356116"/>
    <w:rsid w:val="00356A07"/>
    <w:rsid w:val="00356A64"/>
    <w:rsid w:val="0035708A"/>
    <w:rsid w:val="00357309"/>
    <w:rsid w:val="003573B7"/>
    <w:rsid w:val="00357CA7"/>
    <w:rsid w:val="00360472"/>
    <w:rsid w:val="003606F7"/>
    <w:rsid w:val="0036122E"/>
    <w:rsid w:val="00361566"/>
    <w:rsid w:val="003620D5"/>
    <w:rsid w:val="003620FA"/>
    <w:rsid w:val="0036245A"/>
    <w:rsid w:val="00362785"/>
    <w:rsid w:val="00362883"/>
    <w:rsid w:val="00362BF2"/>
    <w:rsid w:val="00362EA0"/>
    <w:rsid w:val="0036305E"/>
    <w:rsid w:val="003630B5"/>
    <w:rsid w:val="0036326C"/>
    <w:rsid w:val="0036576E"/>
    <w:rsid w:val="00365C23"/>
    <w:rsid w:val="00365CF0"/>
    <w:rsid w:val="0036614C"/>
    <w:rsid w:val="00366505"/>
    <w:rsid w:val="003675DA"/>
    <w:rsid w:val="0036785A"/>
    <w:rsid w:val="00367992"/>
    <w:rsid w:val="00367C34"/>
    <w:rsid w:val="00370354"/>
    <w:rsid w:val="003705A6"/>
    <w:rsid w:val="00370FD4"/>
    <w:rsid w:val="003716B1"/>
    <w:rsid w:val="00371A58"/>
    <w:rsid w:val="00371D82"/>
    <w:rsid w:val="00371F52"/>
    <w:rsid w:val="00372816"/>
    <w:rsid w:val="003729AC"/>
    <w:rsid w:val="00372DE9"/>
    <w:rsid w:val="003735C8"/>
    <w:rsid w:val="00373ECE"/>
    <w:rsid w:val="00373EFD"/>
    <w:rsid w:val="0037434E"/>
    <w:rsid w:val="00375AF3"/>
    <w:rsid w:val="003764ED"/>
    <w:rsid w:val="003768AF"/>
    <w:rsid w:val="003771BA"/>
    <w:rsid w:val="00377463"/>
    <w:rsid w:val="0037755E"/>
    <w:rsid w:val="00377975"/>
    <w:rsid w:val="00377B50"/>
    <w:rsid w:val="00377F5B"/>
    <w:rsid w:val="0038078C"/>
    <w:rsid w:val="00380EC0"/>
    <w:rsid w:val="00381132"/>
    <w:rsid w:val="00381AD5"/>
    <w:rsid w:val="00381FB8"/>
    <w:rsid w:val="00382117"/>
    <w:rsid w:val="0038252F"/>
    <w:rsid w:val="00382A6A"/>
    <w:rsid w:val="00382DEA"/>
    <w:rsid w:val="00382E22"/>
    <w:rsid w:val="003839C2"/>
    <w:rsid w:val="0038461C"/>
    <w:rsid w:val="003847A5"/>
    <w:rsid w:val="0038485A"/>
    <w:rsid w:val="00384994"/>
    <w:rsid w:val="00384DAA"/>
    <w:rsid w:val="00385C92"/>
    <w:rsid w:val="00385DC0"/>
    <w:rsid w:val="0038608D"/>
    <w:rsid w:val="0038655D"/>
    <w:rsid w:val="0038726E"/>
    <w:rsid w:val="0038750D"/>
    <w:rsid w:val="00387DF7"/>
    <w:rsid w:val="00390296"/>
    <w:rsid w:val="00390BE8"/>
    <w:rsid w:val="00390D75"/>
    <w:rsid w:val="0039140A"/>
    <w:rsid w:val="003917FD"/>
    <w:rsid w:val="00391AB1"/>
    <w:rsid w:val="00391C0F"/>
    <w:rsid w:val="00391D02"/>
    <w:rsid w:val="00392600"/>
    <w:rsid w:val="00392CCB"/>
    <w:rsid w:val="00392DAC"/>
    <w:rsid w:val="003932F2"/>
    <w:rsid w:val="00393ED8"/>
    <w:rsid w:val="003946B2"/>
    <w:rsid w:val="00394A3E"/>
    <w:rsid w:val="00395EC1"/>
    <w:rsid w:val="00396612"/>
    <w:rsid w:val="003968A6"/>
    <w:rsid w:val="00396B39"/>
    <w:rsid w:val="00397D8A"/>
    <w:rsid w:val="003A004C"/>
    <w:rsid w:val="003A080F"/>
    <w:rsid w:val="003A0CAB"/>
    <w:rsid w:val="003A0FF6"/>
    <w:rsid w:val="003A1986"/>
    <w:rsid w:val="003A1FAA"/>
    <w:rsid w:val="003A2E6B"/>
    <w:rsid w:val="003A3036"/>
    <w:rsid w:val="003A3043"/>
    <w:rsid w:val="003A30F6"/>
    <w:rsid w:val="003A32CC"/>
    <w:rsid w:val="003A3ADF"/>
    <w:rsid w:val="003A3DEB"/>
    <w:rsid w:val="003A4255"/>
    <w:rsid w:val="003A5B7D"/>
    <w:rsid w:val="003A6531"/>
    <w:rsid w:val="003A73AD"/>
    <w:rsid w:val="003A75B6"/>
    <w:rsid w:val="003A7799"/>
    <w:rsid w:val="003A7A16"/>
    <w:rsid w:val="003B0947"/>
    <w:rsid w:val="003B0BC2"/>
    <w:rsid w:val="003B1012"/>
    <w:rsid w:val="003B22FA"/>
    <w:rsid w:val="003B2768"/>
    <w:rsid w:val="003B2A08"/>
    <w:rsid w:val="003B2C30"/>
    <w:rsid w:val="003B2F5F"/>
    <w:rsid w:val="003B35FD"/>
    <w:rsid w:val="003B36B4"/>
    <w:rsid w:val="003B37E0"/>
    <w:rsid w:val="003B39E8"/>
    <w:rsid w:val="003B3B0D"/>
    <w:rsid w:val="003B3DDD"/>
    <w:rsid w:val="003B4701"/>
    <w:rsid w:val="003B4ADA"/>
    <w:rsid w:val="003B52C0"/>
    <w:rsid w:val="003B5AE0"/>
    <w:rsid w:val="003B5DC2"/>
    <w:rsid w:val="003B6403"/>
    <w:rsid w:val="003B6CE7"/>
    <w:rsid w:val="003B7075"/>
    <w:rsid w:val="003B72B3"/>
    <w:rsid w:val="003B7EF9"/>
    <w:rsid w:val="003C03F2"/>
    <w:rsid w:val="003C0439"/>
    <w:rsid w:val="003C0574"/>
    <w:rsid w:val="003C06B5"/>
    <w:rsid w:val="003C1956"/>
    <w:rsid w:val="003C1A5C"/>
    <w:rsid w:val="003C295B"/>
    <w:rsid w:val="003C3617"/>
    <w:rsid w:val="003C3EF7"/>
    <w:rsid w:val="003C48BB"/>
    <w:rsid w:val="003C5157"/>
    <w:rsid w:val="003C5724"/>
    <w:rsid w:val="003C5B32"/>
    <w:rsid w:val="003C624F"/>
    <w:rsid w:val="003C64EE"/>
    <w:rsid w:val="003C6653"/>
    <w:rsid w:val="003C753C"/>
    <w:rsid w:val="003D03C7"/>
    <w:rsid w:val="003D03EA"/>
    <w:rsid w:val="003D0656"/>
    <w:rsid w:val="003D075D"/>
    <w:rsid w:val="003D085A"/>
    <w:rsid w:val="003D1035"/>
    <w:rsid w:val="003D228E"/>
    <w:rsid w:val="003D26B1"/>
    <w:rsid w:val="003D36A7"/>
    <w:rsid w:val="003D4053"/>
    <w:rsid w:val="003D4BBB"/>
    <w:rsid w:val="003D7674"/>
    <w:rsid w:val="003D7DDD"/>
    <w:rsid w:val="003E04B7"/>
    <w:rsid w:val="003E0571"/>
    <w:rsid w:val="003E1236"/>
    <w:rsid w:val="003E15CD"/>
    <w:rsid w:val="003E166F"/>
    <w:rsid w:val="003E1F23"/>
    <w:rsid w:val="003E2279"/>
    <w:rsid w:val="003E318F"/>
    <w:rsid w:val="003E319C"/>
    <w:rsid w:val="003E3EE5"/>
    <w:rsid w:val="003E4499"/>
    <w:rsid w:val="003E4CA4"/>
    <w:rsid w:val="003E58CC"/>
    <w:rsid w:val="003E5CBC"/>
    <w:rsid w:val="003E5EFC"/>
    <w:rsid w:val="003E5F2A"/>
    <w:rsid w:val="003E61ED"/>
    <w:rsid w:val="003E663D"/>
    <w:rsid w:val="003E68E2"/>
    <w:rsid w:val="003E7426"/>
    <w:rsid w:val="003E7731"/>
    <w:rsid w:val="003E7C40"/>
    <w:rsid w:val="003F030A"/>
    <w:rsid w:val="003F231B"/>
    <w:rsid w:val="003F2B14"/>
    <w:rsid w:val="003F380B"/>
    <w:rsid w:val="003F3A42"/>
    <w:rsid w:val="003F3C39"/>
    <w:rsid w:val="003F3D90"/>
    <w:rsid w:val="003F5C69"/>
    <w:rsid w:val="003F5E4B"/>
    <w:rsid w:val="003F603F"/>
    <w:rsid w:val="003F624B"/>
    <w:rsid w:val="003F6B28"/>
    <w:rsid w:val="003F70FF"/>
    <w:rsid w:val="003F7404"/>
    <w:rsid w:val="003F7B1F"/>
    <w:rsid w:val="0040028C"/>
    <w:rsid w:val="00400482"/>
    <w:rsid w:val="00400723"/>
    <w:rsid w:val="0040072F"/>
    <w:rsid w:val="004008CF"/>
    <w:rsid w:val="00400BB4"/>
    <w:rsid w:val="00401AEC"/>
    <w:rsid w:val="00401B84"/>
    <w:rsid w:val="00402F2E"/>
    <w:rsid w:val="004036F4"/>
    <w:rsid w:val="00403A59"/>
    <w:rsid w:val="0040401B"/>
    <w:rsid w:val="00404259"/>
    <w:rsid w:val="004049EE"/>
    <w:rsid w:val="00404DFF"/>
    <w:rsid w:val="004052FF"/>
    <w:rsid w:val="00405453"/>
    <w:rsid w:val="00405C6D"/>
    <w:rsid w:val="00406A2D"/>
    <w:rsid w:val="004071FB"/>
    <w:rsid w:val="0040753C"/>
    <w:rsid w:val="004108CD"/>
    <w:rsid w:val="0041101C"/>
    <w:rsid w:val="00411122"/>
    <w:rsid w:val="00411651"/>
    <w:rsid w:val="00411B10"/>
    <w:rsid w:val="004123D3"/>
    <w:rsid w:val="0041302F"/>
    <w:rsid w:val="0041315E"/>
    <w:rsid w:val="004133EC"/>
    <w:rsid w:val="004136E3"/>
    <w:rsid w:val="00413BE8"/>
    <w:rsid w:val="00414293"/>
    <w:rsid w:val="004143E2"/>
    <w:rsid w:val="00414519"/>
    <w:rsid w:val="004147FE"/>
    <w:rsid w:val="00414EBF"/>
    <w:rsid w:val="00415B14"/>
    <w:rsid w:val="00415EB0"/>
    <w:rsid w:val="00416354"/>
    <w:rsid w:val="00416F6F"/>
    <w:rsid w:val="00417BFF"/>
    <w:rsid w:val="004200A2"/>
    <w:rsid w:val="0042083A"/>
    <w:rsid w:val="00420D18"/>
    <w:rsid w:val="00420D3E"/>
    <w:rsid w:val="00421BC5"/>
    <w:rsid w:val="004220D7"/>
    <w:rsid w:val="00422781"/>
    <w:rsid w:val="00422B5A"/>
    <w:rsid w:val="00422BF1"/>
    <w:rsid w:val="00422F43"/>
    <w:rsid w:val="00423CAF"/>
    <w:rsid w:val="004240E7"/>
    <w:rsid w:val="00424654"/>
    <w:rsid w:val="00424665"/>
    <w:rsid w:val="00424CC1"/>
    <w:rsid w:val="00424E27"/>
    <w:rsid w:val="00425699"/>
    <w:rsid w:val="00425796"/>
    <w:rsid w:val="00425EDC"/>
    <w:rsid w:val="0042628F"/>
    <w:rsid w:val="00426D8E"/>
    <w:rsid w:val="0042716A"/>
    <w:rsid w:val="0042754D"/>
    <w:rsid w:val="00427AB9"/>
    <w:rsid w:val="00427DFA"/>
    <w:rsid w:val="0043134E"/>
    <w:rsid w:val="00433FDF"/>
    <w:rsid w:val="0043495C"/>
    <w:rsid w:val="004349A5"/>
    <w:rsid w:val="004355BB"/>
    <w:rsid w:val="004359CB"/>
    <w:rsid w:val="00436398"/>
    <w:rsid w:val="004367B2"/>
    <w:rsid w:val="00436A75"/>
    <w:rsid w:val="00436E4C"/>
    <w:rsid w:val="00436EF1"/>
    <w:rsid w:val="00436F3B"/>
    <w:rsid w:val="00436FD1"/>
    <w:rsid w:val="004372D2"/>
    <w:rsid w:val="0043796A"/>
    <w:rsid w:val="00437F2A"/>
    <w:rsid w:val="00440AA0"/>
    <w:rsid w:val="00441406"/>
    <w:rsid w:val="00441690"/>
    <w:rsid w:val="00441810"/>
    <w:rsid w:val="00442034"/>
    <w:rsid w:val="00442254"/>
    <w:rsid w:val="00442297"/>
    <w:rsid w:val="004422FE"/>
    <w:rsid w:val="0044237E"/>
    <w:rsid w:val="00442AEF"/>
    <w:rsid w:val="00442B6D"/>
    <w:rsid w:val="0044301F"/>
    <w:rsid w:val="004435C6"/>
    <w:rsid w:val="00443D8D"/>
    <w:rsid w:val="00443DB4"/>
    <w:rsid w:val="00443E87"/>
    <w:rsid w:val="00443FA1"/>
    <w:rsid w:val="0044456F"/>
    <w:rsid w:val="004447B1"/>
    <w:rsid w:val="004448EB"/>
    <w:rsid w:val="00444BC4"/>
    <w:rsid w:val="004451FE"/>
    <w:rsid w:val="004454AA"/>
    <w:rsid w:val="004455C2"/>
    <w:rsid w:val="00445EE5"/>
    <w:rsid w:val="00446CD2"/>
    <w:rsid w:val="00447916"/>
    <w:rsid w:val="00447F23"/>
    <w:rsid w:val="0045010B"/>
    <w:rsid w:val="00450D13"/>
    <w:rsid w:val="0045218A"/>
    <w:rsid w:val="00452D53"/>
    <w:rsid w:val="0045327F"/>
    <w:rsid w:val="00453541"/>
    <w:rsid w:val="00453792"/>
    <w:rsid w:val="004537FD"/>
    <w:rsid w:val="004539BA"/>
    <w:rsid w:val="00454D05"/>
    <w:rsid w:val="004550F3"/>
    <w:rsid w:val="0045574B"/>
    <w:rsid w:val="0045601F"/>
    <w:rsid w:val="004564D5"/>
    <w:rsid w:val="00457474"/>
    <w:rsid w:val="00460453"/>
    <w:rsid w:val="00460551"/>
    <w:rsid w:val="00461316"/>
    <w:rsid w:val="00461977"/>
    <w:rsid w:val="00461E52"/>
    <w:rsid w:val="00461EBF"/>
    <w:rsid w:val="00462022"/>
    <w:rsid w:val="004622FB"/>
    <w:rsid w:val="004623E6"/>
    <w:rsid w:val="004625BD"/>
    <w:rsid w:val="004628F0"/>
    <w:rsid w:val="00462CE5"/>
    <w:rsid w:val="00463705"/>
    <w:rsid w:val="004638CE"/>
    <w:rsid w:val="00463D86"/>
    <w:rsid w:val="00463E3D"/>
    <w:rsid w:val="00463E94"/>
    <w:rsid w:val="00463F42"/>
    <w:rsid w:val="00464049"/>
    <w:rsid w:val="00464091"/>
    <w:rsid w:val="004643BC"/>
    <w:rsid w:val="004644E9"/>
    <w:rsid w:val="004647CA"/>
    <w:rsid w:val="00464924"/>
    <w:rsid w:val="00464C2A"/>
    <w:rsid w:val="00464EA3"/>
    <w:rsid w:val="004652AF"/>
    <w:rsid w:val="00465D5D"/>
    <w:rsid w:val="00466567"/>
    <w:rsid w:val="00466663"/>
    <w:rsid w:val="00466694"/>
    <w:rsid w:val="00466D8F"/>
    <w:rsid w:val="004673CE"/>
    <w:rsid w:val="0046784A"/>
    <w:rsid w:val="00467CEC"/>
    <w:rsid w:val="00467D35"/>
    <w:rsid w:val="0047024C"/>
    <w:rsid w:val="004702DE"/>
    <w:rsid w:val="00470EDF"/>
    <w:rsid w:val="00471466"/>
    <w:rsid w:val="004724CF"/>
    <w:rsid w:val="00472886"/>
    <w:rsid w:val="004729D3"/>
    <w:rsid w:val="00472A5F"/>
    <w:rsid w:val="00472D8B"/>
    <w:rsid w:val="00472DE6"/>
    <w:rsid w:val="00472F18"/>
    <w:rsid w:val="00474059"/>
    <w:rsid w:val="00474AD9"/>
    <w:rsid w:val="00474B38"/>
    <w:rsid w:val="00474B70"/>
    <w:rsid w:val="00475479"/>
    <w:rsid w:val="00476375"/>
    <w:rsid w:val="00476E40"/>
    <w:rsid w:val="00480295"/>
    <w:rsid w:val="00480860"/>
    <w:rsid w:val="004814AF"/>
    <w:rsid w:val="0048192D"/>
    <w:rsid w:val="00481FFA"/>
    <w:rsid w:val="0048313F"/>
    <w:rsid w:val="00483CAB"/>
    <w:rsid w:val="004845AD"/>
    <w:rsid w:val="00484F73"/>
    <w:rsid w:val="00485635"/>
    <w:rsid w:val="00485A49"/>
    <w:rsid w:val="00485B9F"/>
    <w:rsid w:val="00486A9B"/>
    <w:rsid w:val="00487D05"/>
    <w:rsid w:val="004901B5"/>
    <w:rsid w:val="004910DB"/>
    <w:rsid w:val="0049147D"/>
    <w:rsid w:val="00491617"/>
    <w:rsid w:val="004916E5"/>
    <w:rsid w:val="00491AB4"/>
    <w:rsid w:val="00491E9D"/>
    <w:rsid w:val="00492149"/>
    <w:rsid w:val="00492471"/>
    <w:rsid w:val="00492685"/>
    <w:rsid w:val="0049344F"/>
    <w:rsid w:val="004936C4"/>
    <w:rsid w:val="00493983"/>
    <w:rsid w:val="00493BD8"/>
    <w:rsid w:val="00493D86"/>
    <w:rsid w:val="00494218"/>
    <w:rsid w:val="00494461"/>
    <w:rsid w:val="00494B5B"/>
    <w:rsid w:val="00494E0B"/>
    <w:rsid w:val="00494F30"/>
    <w:rsid w:val="0049518C"/>
    <w:rsid w:val="004958BA"/>
    <w:rsid w:val="0049607C"/>
    <w:rsid w:val="004967A0"/>
    <w:rsid w:val="00496823"/>
    <w:rsid w:val="004969C7"/>
    <w:rsid w:val="00496C1A"/>
    <w:rsid w:val="00496E3B"/>
    <w:rsid w:val="004979B2"/>
    <w:rsid w:val="00497FC7"/>
    <w:rsid w:val="004A00A3"/>
    <w:rsid w:val="004A0106"/>
    <w:rsid w:val="004A0974"/>
    <w:rsid w:val="004A0E9C"/>
    <w:rsid w:val="004A13FC"/>
    <w:rsid w:val="004A150D"/>
    <w:rsid w:val="004A184A"/>
    <w:rsid w:val="004A2884"/>
    <w:rsid w:val="004A2C56"/>
    <w:rsid w:val="004A3132"/>
    <w:rsid w:val="004A3BEE"/>
    <w:rsid w:val="004A442A"/>
    <w:rsid w:val="004A48FA"/>
    <w:rsid w:val="004A4A66"/>
    <w:rsid w:val="004A4C83"/>
    <w:rsid w:val="004A5BE6"/>
    <w:rsid w:val="004A618C"/>
    <w:rsid w:val="004A6884"/>
    <w:rsid w:val="004A69BD"/>
    <w:rsid w:val="004A6CEE"/>
    <w:rsid w:val="004A7426"/>
    <w:rsid w:val="004A758F"/>
    <w:rsid w:val="004A769E"/>
    <w:rsid w:val="004A79DF"/>
    <w:rsid w:val="004B020C"/>
    <w:rsid w:val="004B0722"/>
    <w:rsid w:val="004B0738"/>
    <w:rsid w:val="004B085D"/>
    <w:rsid w:val="004B0B00"/>
    <w:rsid w:val="004B0ED2"/>
    <w:rsid w:val="004B12EB"/>
    <w:rsid w:val="004B1300"/>
    <w:rsid w:val="004B2A3A"/>
    <w:rsid w:val="004B2B17"/>
    <w:rsid w:val="004B2DB3"/>
    <w:rsid w:val="004B2F0C"/>
    <w:rsid w:val="004B2FD0"/>
    <w:rsid w:val="004B35FF"/>
    <w:rsid w:val="004B3A77"/>
    <w:rsid w:val="004B3F14"/>
    <w:rsid w:val="004B471D"/>
    <w:rsid w:val="004B4CD0"/>
    <w:rsid w:val="004B5118"/>
    <w:rsid w:val="004B5426"/>
    <w:rsid w:val="004B587E"/>
    <w:rsid w:val="004B5DBB"/>
    <w:rsid w:val="004B6690"/>
    <w:rsid w:val="004B684A"/>
    <w:rsid w:val="004B6CEF"/>
    <w:rsid w:val="004B6DEF"/>
    <w:rsid w:val="004B6EC4"/>
    <w:rsid w:val="004B6ECE"/>
    <w:rsid w:val="004B6F0B"/>
    <w:rsid w:val="004B70AE"/>
    <w:rsid w:val="004B7772"/>
    <w:rsid w:val="004B7815"/>
    <w:rsid w:val="004B7B8D"/>
    <w:rsid w:val="004B7C40"/>
    <w:rsid w:val="004B7E3E"/>
    <w:rsid w:val="004C008B"/>
    <w:rsid w:val="004C0F7A"/>
    <w:rsid w:val="004C0FDB"/>
    <w:rsid w:val="004C1C2C"/>
    <w:rsid w:val="004C203A"/>
    <w:rsid w:val="004C21CA"/>
    <w:rsid w:val="004C279A"/>
    <w:rsid w:val="004C2821"/>
    <w:rsid w:val="004C35EF"/>
    <w:rsid w:val="004C3B62"/>
    <w:rsid w:val="004C4658"/>
    <w:rsid w:val="004C4EAB"/>
    <w:rsid w:val="004C5A25"/>
    <w:rsid w:val="004C5B97"/>
    <w:rsid w:val="004C6927"/>
    <w:rsid w:val="004C6BE9"/>
    <w:rsid w:val="004C7B7B"/>
    <w:rsid w:val="004C7E78"/>
    <w:rsid w:val="004C7EB2"/>
    <w:rsid w:val="004D0F45"/>
    <w:rsid w:val="004D10C3"/>
    <w:rsid w:val="004D1606"/>
    <w:rsid w:val="004D1C57"/>
    <w:rsid w:val="004D1D2E"/>
    <w:rsid w:val="004D2781"/>
    <w:rsid w:val="004D2F64"/>
    <w:rsid w:val="004D2F83"/>
    <w:rsid w:val="004D3682"/>
    <w:rsid w:val="004D3B25"/>
    <w:rsid w:val="004D4037"/>
    <w:rsid w:val="004D4ECC"/>
    <w:rsid w:val="004D5333"/>
    <w:rsid w:val="004D59C3"/>
    <w:rsid w:val="004D5FE9"/>
    <w:rsid w:val="004D6582"/>
    <w:rsid w:val="004D6627"/>
    <w:rsid w:val="004D6B75"/>
    <w:rsid w:val="004D77F7"/>
    <w:rsid w:val="004D7E4D"/>
    <w:rsid w:val="004E0545"/>
    <w:rsid w:val="004E092A"/>
    <w:rsid w:val="004E0B79"/>
    <w:rsid w:val="004E119A"/>
    <w:rsid w:val="004E16B9"/>
    <w:rsid w:val="004E2307"/>
    <w:rsid w:val="004E24C7"/>
    <w:rsid w:val="004E28DA"/>
    <w:rsid w:val="004E2B37"/>
    <w:rsid w:val="004E30C2"/>
    <w:rsid w:val="004E46D9"/>
    <w:rsid w:val="004E46DE"/>
    <w:rsid w:val="004E4CF2"/>
    <w:rsid w:val="004E56BA"/>
    <w:rsid w:val="004E67FB"/>
    <w:rsid w:val="004E68DB"/>
    <w:rsid w:val="004E7E69"/>
    <w:rsid w:val="004E7F8F"/>
    <w:rsid w:val="004F05A5"/>
    <w:rsid w:val="004F0810"/>
    <w:rsid w:val="004F0B4F"/>
    <w:rsid w:val="004F0C1C"/>
    <w:rsid w:val="004F0FC7"/>
    <w:rsid w:val="004F2340"/>
    <w:rsid w:val="004F26A9"/>
    <w:rsid w:val="004F2954"/>
    <w:rsid w:val="004F2C1A"/>
    <w:rsid w:val="004F367A"/>
    <w:rsid w:val="004F38E1"/>
    <w:rsid w:val="004F3D09"/>
    <w:rsid w:val="004F3EC5"/>
    <w:rsid w:val="004F3EF7"/>
    <w:rsid w:val="004F4004"/>
    <w:rsid w:val="004F468C"/>
    <w:rsid w:val="004F481A"/>
    <w:rsid w:val="004F4C11"/>
    <w:rsid w:val="004F52F6"/>
    <w:rsid w:val="004F632E"/>
    <w:rsid w:val="004F6F68"/>
    <w:rsid w:val="004F73C5"/>
    <w:rsid w:val="004F7558"/>
    <w:rsid w:val="00500DE8"/>
    <w:rsid w:val="005013BE"/>
    <w:rsid w:val="00501652"/>
    <w:rsid w:val="005017E0"/>
    <w:rsid w:val="00501BD1"/>
    <w:rsid w:val="005031D3"/>
    <w:rsid w:val="0050344C"/>
    <w:rsid w:val="0050371C"/>
    <w:rsid w:val="00503BBD"/>
    <w:rsid w:val="00503FF1"/>
    <w:rsid w:val="0050469D"/>
    <w:rsid w:val="00504792"/>
    <w:rsid w:val="00504F80"/>
    <w:rsid w:val="005057DA"/>
    <w:rsid w:val="00505A73"/>
    <w:rsid w:val="00505D32"/>
    <w:rsid w:val="0050629A"/>
    <w:rsid w:val="00506471"/>
    <w:rsid w:val="005065FA"/>
    <w:rsid w:val="00506711"/>
    <w:rsid w:val="00507290"/>
    <w:rsid w:val="00507292"/>
    <w:rsid w:val="00507356"/>
    <w:rsid w:val="00507359"/>
    <w:rsid w:val="00507D8A"/>
    <w:rsid w:val="00507EAE"/>
    <w:rsid w:val="0051051F"/>
    <w:rsid w:val="005106AB"/>
    <w:rsid w:val="00510818"/>
    <w:rsid w:val="0051106B"/>
    <w:rsid w:val="0051151B"/>
    <w:rsid w:val="00511C01"/>
    <w:rsid w:val="00511FBA"/>
    <w:rsid w:val="005122C4"/>
    <w:rsid w:val="0051235A"/>
    <w:rsid w:val="0051283C"/>
    <w:rsid w:val="00512924"/>
    <w:rsid w:val="00512D38"/>
    <w:rsid w:val="0051312D"/>
    <w:rsid w:val="005133BA"/>
    <w:rsid w:val="005133CA"/>
    <w:rsid w:val="0051354D"/>
    <w:rsid w:val="00513696"/>
    <w:rsid w:val="00513B94"/>
    <w:rsid w:val="00513BE1"/>
    <w:rsid w:val="00513DF7"/>
    <w:rsid w:val="00513E06"/>
    <w:rsid w:val="005142A6"/>
    <w:rsid w:val="005149FD"/>
    <w:rsid w:val="00514CE1"/>
    <w:rsid w:val="005152E5"/>
    <w:rsid w:val="00515A3D"/>
    <w:rsid w:val="00515CB2"/>
    <w:rsid w:val="0051603C"/>
    <w:rsid w:val="0051665D"/>
    <w:rsid w:val="00516D74"/>
    <w:rsid w:val="00516ED7"/>
    <w:rsid w:val="0051756B"/>
    <w:rsid w:val="00517DD1"/>
    <w:rsid w:val="00517E05"/>
    <w:rsid w:val="00517E30"/>
    <w:rsid w:val="00520263"/>
    <w:rsid w:val="005208C8"/>
    <w:rsid w:val="00520962"/>
    <w:rsid w:val="00520D75"/>
    <w:rsid w:val="0052145D"/>
    <w:rsid w:val="005219EA"/>
    <w:rsid w:val="00521B34"/>
    <w:rsid w:val="00522852"/>
    <w:rsid w:val="00522ACD"/>
    <w:rsid w:val="00523343"/>
    <w:rsid w:val="005233E0"/>
    <w:rsid w:val="005234DA"/>
    <w:rsid w:val="00523814"/>
    <w:rsid w:val="00523A8F"/>
    <w:rsid w:val="00523EC9"/>
    <w:rsid w:val="00523F86"/>
    <w:rsid w:val="00524289"/>
    <w:rsid w:val="005242E7"/>
    <w:rsid w:val="00525150"/>
    <w:rsid w:val="005258C4"/>
    <w:rsid w:val="00525CA1"/>
    <w:rsid w:val="00526BD6"/>
    <w:rsid w:val="005276A0"/>
    <w:rsid w:val="005276F7"/>
    <w:rsid w:val="0052780C"/>
    <w:rsid w:val="00527FEA"/>
    <w:rsid w:val="0053012B"/>
    <w:rsid w:val="0053018E"/>
    <w:rsid w:val="0053080B"/>
    <w:rsid w:val="00531E88"/>
    <w:rsid w:val="00531F10"/>
    <w:rsid w:val="00532187"/>
    <w:rsid w:val="00532289"/>
    <w:rsid w:val="00532C0E"/>
    <w:rsid w:val="0053342C"/>
    <w:rsid w:val="00533848"/>
    <w:rsid w:val="00533CC9"/>
    <w:rsid w:val="005344A9"/>
    <w:rsid w:val="00534B97"/>
    <w:rsid w:val="00534BDD"/>
    <w:rsid w:val="0053514C"/>
    <w:rsid w:val="005355F5"/>
    <w:rsid w:val="00535705"/>
    <w:rsid w:val="005357A4"/>
    <w:rsid w:val="005358E4"/>
    <w:rsid w:val="00535CD9"/>
    <w:rsid w:val="00535E6F"/>
    <w:rsid w:val="00536153"/>
    <w:rsid w:val="00536DB4"/>
    <w:rsid w:val="005370A4"/>
    <w:rsid w:val="00537233"/>
    <w:rsid w:val="005372B9"/>
    <w:rsid w:val="0053776C"/>
    <w:rsid w:val="00537A98"/>
    <w:rsid w:val="005406BE"/>
    <w:rsid w:val="005408B7"/>
    <w:rsid w:val="00540918"/>
    <w:rsid w:val="00540E57"/>
    <w:rsid w:val="00540F45"/>
    <w:rsid w:val="005412AB"/>
    <w:rsid w:val="005419A8"/>
    <w:rsid w:val="005419D6"/>
    <w:rsid w:val="005419FE"/>
    <w:rsid w:val="00541A57"/>
    <w:rsid w:val="005426DE"/>
    <w:rsid w:val="005429D9"/>
    <w:rsid w:val="00543B0E"/>
    <w:rsid w:val="00544600"/>
    <w:rsid w:val="0054502C"/>
    <w:rsid w:val="0054545E"/>
    <w:rsid w:val="00545576"/>
    <w:rsid w:val="00545915"/>
    <w:rsid w:val="0054606F"/>
    <w:rsid w:val="005461B8"/>
    <w:rsid w:val="00547D0A"/>
    <w:rsid w:val="00547D89"/>
    <w:rsid w:val="00551159"/>
    <w:rsid w:val="00551477"/>
    <w:rsid w:val="005514A4"/>
    <w:rsid w:val="005520CA"/>
    <w:rsid w:val="005522E4"/>
    <w:rsid w:val="0055232D"/>
    <w:rsid w:val="0055244E"/>
    <w:rsid w:val="00553DA3"/>
    <w:rsid w:val="005541C7"/>
    <w:rsid w:val="00554302"/>
    <w:rsid w:val="0055447B"/>
    <w:rsid w:val="00554B16"/>
    <w:rsid w:val="0055503C"/>
    <w:rsid w:val="00555209"/>
    <w:rsid w:val="00556389"/>
    <w:rsid w:val="005568E7"/>
    <w:rsid w:val="0055733E"/>
    <w:rsid w:val="005573DD"/>
    <w:rsid w:val="00557CDA"/>
    <w:rsid w:val="005606C6"/>
    <w:rsid w:val="00560D64"/>
    <w:rsid w:val="00560E47"/>
    <w:rsid w:val="00561934"/>
    <w:rsid w:val="00562C37"/>
    <w:rsid w:val="00562C90"/>
    <w:rsid w:val="00563A41"/>
    <w:rsid w:val="00563A42"/>
    <w:rsid w:val="00563E31"/>
    <w:rsid w:val="00563F9C"/>
    <w:rsid w:val="005647A5"/>
    <w:rsid w:val="005653F1"/>
    <w:rsid w:val="00566856"/>
    <w:rsid w:val="005669BE"/>
    <w:rsid w:val="00570113"/>
    <w:rsid w:val="005706B5"/>
    <w:rsid w:val="0057085D"/>
    <w:rsid w:val="0057102D"/>
    <w:rsid w:val="00571576"/>
    <w:rsid w:val="00572E9F"/>
    <w:rsid w:val="00572EAF"/>
    <w:rsid w:val="00572FF1"/>
    <w:rsid w:val="0057347C"/>
    <w:rsid w:val="0057382D"/>
    <w:rsid w:val="00573E4D"/>
    <w:rsid w:val="0057464E"/>
    <w:rsid w:val="00574F01"/>
    <w:rsid w:val="00574F88"/>
    <w:rsid w:val="00575AA4"/>
    <w:rsid w:val="00575CBD"/>
    <w:rsid w:val="00575D8F"/>
    <w:rsid w:val="00576094"/>
    <w:rsid w:val="005760F7"/>
    <w:rsid w:val="00576809"/>
    <w:rsid w:val="00577356"/>
    <w:rsid w:val="005802C7"/>
    <w:rsid w:val="00583E1B"/>
    <w:rsid w:val="005848AB"/>
    <w:rsid w:val="00584C18"/>
    <w:rsid w:val="00584C2E"/>
    <w:rsid w:val="00584CE0"/>
    <w:rsid w:val="005854B5"/>
    <w:rsid w:val="00585DCD"/>
    <w:rsid w:val="00585EFF"/>
    <w:rsid w:val="00586166"/>
    <w:rsid w:val="005861DA"/>
    <w:rsid w:val="00586748"/>
    <w:rsid w:val="00586D1D"/>
    <w:rsid w:val="00586EC8"/>
    <w:rsid w:val="00586F6E"/>
    <w:rsid w:val="00587547"/>
    <w:rsid w:val="00587C9E"/>
    <w:rsid w:val="00587E93"/>
    <w:rsid w:val="0059056F"/>
    <w:rsid w:val="005908C6"/>
    <w:rsid w:val="00590D3D"/>
    <w:rsid w:val="005912CB"/>
    <w:rsid w:val="005929A1"/>
    <w:rsid w:val="005932EF"/>
    <w:rsid w:val="0059398D"/>
    <w:rsid w:val="00593BC3"/>
    <w:rsid w:val="00594113"/>
    <w:rsid w:val="005946E2"/>
    <w:rsid w:val="00594EE7"/>
    <w:rsid w:val="00595F05"/>
    <w:rsid w:val="00596A2A"/>
    <w:rsid w:val="00596A3C"/>
    <w:rsid w:val="00597174"/>
    <w:rsid w:val="00597246"/>
    <w:rsid w:val="0059743F"/>
    <w:rsid w:val="0059786B"/>
    <w:rsid w:val="005A01DB"/>
    <w:rsid w:val="005A0A0E"/>
    <w:rsid w:val="005A0FD0"/>
    <w:rsid w:val="005A1166"/>
    <w:rsid w:val="005A2019"/>
    <w:rsid w:val="005A26B5"/>
    <w:rsid w:val="005A2800"/>
    <w:rsid w:val="005A2880"/>
    <w:rsid w:val="005A3455"/>
    <w:rsid w:val="005A3AC2"/>
    <w:rsid w:val="005A44BC"/>
    <w:rsid w:val="005A47EF"/>
    <w:rsid w:val="005A4FBB"/>
    <w:rsid w:val="005A4FC6"/>
    <w:rsid w:val="005A5215"/>
    <w:rsid w:val="005A54D4"/>
    <w:rsid w:val="005A5E85"/>
    <w:rsid w:val="005A60EE"/>
    <w:rsid w:val="005A645A"/>
    <w:rsid w:val="005A6FD3"/>
    <w:rsid w:val="005A7370"/>
    <w:rsid w:val="005A75F8"/>
    <w:rsid w:val="005A7A38"/>
    <w:rsid w:val="005A7C34"/>
    <w:rsid w:val="005B06E0"/>
    <w:rsid w:val="005B0D9F"/>
    <w:rsid w:val="005B1011"/>
    <w:rsid w:val="005B1655"/>
    <w:rsid w:val="005B1694"/>
    <w:rsid w:val="005B1E2F"/>
    <w:rsid w:val="005B1E62"/>
    <w:rsid w:val="005B21D3"/>
    <w:rsid w:val="005B2357"/>
    <w:rsid w:val="005B2885"/>
    <w:rsid w:val="005B2A83"/>
    <w:rsid w:val="005B3634"/>
    <w:rsid w:val="005B38B7"/>
    <w:rsid w:val="005B3D8F"/>
    <w:rsid w:val="005B48C4"/>
    <w:rsid w:val="005B4B45"/>
    <w:rsid w:val="005B4B8F"/>
    <w:rsid w:val="005B5761"/>
    <w:rsid w:val="005B57F3"/>
    <w:rsid w:val="005B582F"/>
    <w:rsid w:val="005B6094"/>
    <w:rsid w:val="005B61CF"/>
    <w:rsid w:val="005B72CC"/>
    <w:rsid w:val="005B7F01"/>
    <w:rsid w:val="005C04D6"/>
    <w:rsid w:val="005C08AE"/>
    <w:rsid w:val="005C0AB9"/>
    <w:rsid w:val="005C18B2"/>
    <w:rsid w:val="005C1BB2"/>
    <w:rsid w:val="005C1E0D"/>
    <w:rsid w:val="005C2127"/>
    <w:rsid w:val="005C23B7"/>
    <w:rsid w:val="005C309F"/>
    <w:rsid w:val="005C3E1B"/>
    <w:rsid w:val="005C5864"/>
    <w:rsid w:val="005C5D71"/>
    <w:rsid w:val="005C65D1"/>
    <w:rsid w:val="005C7065"/>
    <w:rsid w:val="005D00A8"/>
    <w:rsid w:val="005D00B8"/>
    <w:rsid w:val="005D05D7"/>
    <w:rsid w:val="005D111A"/>
    <w:rsid w:val="005D195D"/>
    <w:rsid w:val="005D2682"/>
    <w:rsid w:val="005D2717"/>
    <w:rsid w:val="005D29D2"/>
    <w:rsid w:val="005D2A1C"/>
    <w:rsid w:val="005D2AFB"/>
    <w:rsid w:val="005D2C1C"/>
    <w:rsid w:val="005D2F9A"/>
    <w:rsid w:val="005D3782"/>
    <w:rsid w:val="005D3CBB"/>
    <w:rsid w:val="005D3EF1"/>
    <w:rsid w:val="005D3F01"/>
    <w:rsid w:val="005D4043"/>
    <w:rsid w:val="005D434F"/>
    <w:rsid w:val="005D44AF"/>
    <w:rsid w:val="005D47A4"/>
    <w:rsid w:val="005D5545"/>
    <w:rsid w:val="005D56BD"/>
    <w:rsid w:val="005D5928"/>
    <w:rsid w:val="005D60CC"/>
    <w:rsid w:val="005D61CA"/>
    <w:rsid w:val="005D62E5"/>
    <w:rsid w:val="005D656B"/>
    <w:rsid w:val="005D728E"/>
    <w:rsid w:val="005D76E3"/>
    <w:rsid w:val="005D7B82"/>
    <w:rsid w:val="005E0A5C"/>
    <w:rsid w:val="005E0A88"/>
    <w:rsid w:val="005E0A97"/>
    <w:rsid w:val="005E1A03"/>
    <w:rsid w:val="005E21FB"/>
    <w:rsid w:val="005E30F2"/>
    <w:rsid w:val="005E323C"/>
    <w:rsid w:val="005E3310"/>
    <w:rsid w:val="005E35C8"/>
    <w:rsid w:val="005E3787"/>
    <w:rsid w:val="005E3906"/>
    <w:rsid w:val="005E3D80"/>
    <w:rsid w:val="005E4066"/>
    <w:rsid w:val="005E41F2"/>
    <w:rsid w:val="005E43E9"/>
    <w:rsid w:val="005E47BB"/>
    <w:rsid w:val="005E5D1C"/>
    <w:rsid w:val="005E5FDC"/>
    <w:rsid w:val="005E614B"/>
    <w:rsid w:val="005E634C"/>
    <w:rsid w:val="005E64B4"/>
    <w:rsid w:val="005E6664"/>
    <w:rsid w:val="005E66E6"/>
    <w:rsid w:val="005E6A84"/>
    <w:rsid w:val="005E6B32"/>
    <w:rsid w:val="005E6B41"/>
    <w:rsid w:val="005E7192"/>
    <w:rsid w:val="005E7239"/>
    <w:rsid w:val="005E78F4"/>
    <w:rsid w:val="005E7B24"/>
    <w:rsid w:val="005E7F36"/>
    <w:rsid w:val="005F0CCC"/>
    <w:rsid w:val="005F0DB0"/>
    <w:rsid w:val="005F1CA3"/>
    <w:rsid w:val="005F1D43"/>
    <w:rsid w:val="005F1FA6"/>
    <w:rsid w:val="005F20C5"/>
    <w:rsid w:val="005F216A"/>
    <w:rsid w:val="005F26AF"/>
    <w:rsid w:val="005F3183"/>
    <w:rsid w:val="005F356A"/>
    <w:rsid w:val="005F3EF9"/>
    <w:rsid w:val="005F4077"/>
    <w:rsid w:val="005F410A"/>
    <w:rsid w:val="005F46D9"/>
    <w:rsid w:val="005F4F3D"/>
    <w:rsid w:val="005F5BFB"/>
    <w:rsid w:val="005F5C95"/>
    <w:rsid w:val="005F6787"/>
    <w:rsid w:val="005F67E4"/>
    <w:rsid w:val="005F7210"/>
    <w:rsid w:val="005F781A"/>
    <w:rsid w:val="005F79C4"/>
    <w:rsid w:val="005F7BCA"/>
    <w:rsid w:val="005F7CD9"/>
    <w:rsid w:val="00600350"/>
    <w:rsid w:val="006004A8"/>
    <w:rsid w:val="00600634"/>
    <w:rsid w:val="00600B5A"/>
    <w:rsid w:val="00600D84"/>
    <w:rsid w:val="0060144D"/>
    <w:rsid w:val="0060168A"/>
    <w:rsid w:val="006019BC"/>
    <w:rsid w:val="00601E27"/>
    <w:rsid w:val="00603836"/>
    <w:rsid w:val="00604077"/>
    <w:rsid w:val="0060446C"/>
    <w:rsid w:val="00604C01"/>
    <w:rsid w:val="00604E5E"/>
    <w:rsid w:val="006050CE"/>
    <w:rsid w:val="00605815"/>
    <w:rsid w:val="00605C78"/>
    <w:rsid w:val="00606886"/>
    <w:rsid w:val="006069A9"/>
    <w:rsid w:val="00606C66"/>
    <w:rsid w:val="006102C4"/>
    <w:rsid w:val="00610597"/>
    <w:rsid w:val="00610FCA"/>
    <w:rsid w:val="00611219"/>
    <w:rsid w:val="00611481"/>
    <w:rsid w:val="00611B19"/>
    <w:rsid w:val="00611EF9"/>
    <w:rsid w:val="00612442"/>
    <w:rsid w:val="006128E1"/>
    <w:rsid w:val="006129D2"/>
    <w:rsid w:val="00612BC8"/>
    <w:rsid w:val="00612EC3"/>
    <w:rsid w:val="00613425"/>
    <w:rsid w:val="006134F6"/>
    <w:rsid w:val="006136E2"/>
    <w:rsid w:val="00613D13"/>
    <w:rsid w:val="00614263"/>
    <w:rsid w:val="0061446D"/>
    <w:rsid w:val="00614EDB"/>
    <w:rsid w:val="006158BD"/>
    <w:rsid w:val="006164DF"/>
    <w:rsid w:val="00617020"/>
    <w:rsid w:val="006175C8"/>
    <w:rsid w:val="00617E2E"/>
    <w:rsid w:val="006215DA"/>
    <w:rsid w:val="00621761"/>
    <w:rsid w:val="006218DD"/>
    <w:rsid w:val="00621D7D"/>
    <w:rsid w:val="00622426"/>
    <w:rsid w:val="00622D21"/>
    <w:rsid w:val="00622EBC"/>
    <w:rsid w:val="0062356D"/>
    <w:rsid w:val="00623A40"/>
    <w:rsid w:val="00623B94"/>
    <w:rsid w:val="00623D6D"/>
    <w:rsid w:val="006240C7"/>
    <w:rsid w:val="00624242"/>
    <w:rsid w:val="00625110"/>
    <w:rsid w:val="006254D0"/>
    <w:rsid w:val="00625858"/>
    <w:rsid w:val="006259C5"/>
    <w:rsid w:val="00625C09"/>
    <w:rsid w:val="00625E82"/>
    <w:rsid w:val="006270AF"/>
    <w:rsid w:val="006273A1"/>
    <w:rsid w:val="0062754A"/>
    <w:rsid w:val="00627607"/>
    <w:rsid w:val="006277C1"/>
    <w:rsid w:val="00627DE1"/>
    <w:rsid w:val="00627E5A"/>
    <w:rsid w:val="00630BC6"/>
    <w:rsid w:val="00630EE5"/>
    <w:rsid w:val="00631824"/>
    <w:rsid w:val="00631D42"/>
    <w:rsid w:val="0063291B"/>
    <w:rsid w:val="00633109"/>
    <w:rsid w:val="0063314B"/>
    <w:rsid w:val="006338CC"/>
    <w:rsid w:val="00633B00"/>
    <w:rsid w:val="00633B56"/>
    <w:rsid w:val="00633FFE"/>
    <w:rsid w:val="00634756"/>
    <w:rsid w:val="006348B6"/>
    <w:rsid w:val="00634ADF"/>
    <w:rsid w:val="006366CD"/>
    <w:rsid w:val="00636E30"/>
    <w:rsid w:val="00636E46"/>
    <w:rsid w:val="0063752A"/>
    <w:rsid w:val="0063759D"/>
    <w:rsid w:val="00637670"/>
    <w:rsid w:val="006377BD"/>
    <w:rsid w:val="00637881"/>
    <w:rsid w:val="00640163"/>
    <w:rsid w:val="00640444"/>
    <w:rsid w:val="0064071F"/>
    <w:rsid w:val="00641B2F"/>
    <w:rsid w:val="00641F28"/>
    <w:rsid w:val="00641F43"/>
    <w:rsid w:val="006422EA"/>
    <w:rsid w:val="00642542"/>
    <w:rsid w:val="0064274C"/>
    <w:rsid w:val="00642846"/>
    <w:rsid w:val="00642C83"/>
    <w:rsid w:val="006435A2"/>
    <w:rsid w:val="00643615"/>
    <w:rsid w:val="0064367C"/>
    <w:rsid w:val="00643829"/>
    <w:rsid w:val="0064394C"/>
    <w:rsid w:val="00643A87"/>
    <w:rsid w:val="00643C2B"/>
    <w:rsid w:val="00643EA9"/>
    <w:rsid w:val="006440CA"/>
    <w:rsid w:val="006441D7"/>
    <w:rsid w:val="00644481"/>
    <w:rsid w:val="00644EA5"/>
    <w:rsid w:val="006456BB"/>
    <w:rsid w:val="00645D24"/>
    <w:rsid w:val="00646D14"/>
    <w:rsid w:val="00646FB5"/>
    <w:rsid w:val="00647301"/>
    <w:rsid w:val="0064734F"/>
    <w:rsid w:val="00650EC3"/>
    <w:rsid w:val="00651267"/>
    <w:rsid w:val="00651344"/>
    <w:rsid w:val="00651349"/>
    <w:rsid w:val="00652039"/>
    <w:rsid w:val="0065206F"/>
    <w:rsid w:val="006529B4"/>
    <w:rsid w:val="00652DA4"/>
    <w:rsid w:val="006532BB"/>
    <w:rsid w:val="006538C4"/>
    <w:rsid w:val="006539AC"/>
    <w:rsid w:val="00653C41"/>
    <w:rsid w:val="00654070"/>
    <w:rsid w:val="00654EFB"/>
    <w:rsid w:val="00655B30"/>
    <w:rsid w:val="00656430"/>
    <w:rsid w:val="00656CB2"/>
    <w:rsid w:val="00657178"/>
    <w:rsid w:val="00657990"/>
    <w:rsid w:val="00660490"/>
    <w:rsid w:val="0066081E"/>
    <w:rsid w:val="00660A48"/>
    <w:rsid w:val="00660CBD"/>
    <w:rsid w:val="00660F8E"/>
    <w:rsid w:val="00660F9A"/>
    <w:rsid w:val="006618B2"/>
    <w:rsid w:val="00661A0A"/>
    <w:rsid w:val="00662C10"/>
    <w:rsid w:val="00662EF3"/>
    <w:rsid w:val="006641A4"/>
    <w:rsid w:val="006642A5"/>
    <w:rsid w:val="00664463"/>
    <w:rsid w:val="00664628"/>
    <w:rsid w:val="006648FF"/>
    <w:rsid w:val="00664F84"/>
    <w:rsid w:val="006651F3"/>
    <w:rsid w:val="006660B2"/>
    <w:rsid w:val="006662E2"/>
    <w:rsid w:val="0066717C"/>
    <w:rsid w:val="006671A9"/>
    <w:rsid w:val="0066735C"/>
    <w:rsid w:val="00667FA5"/>
    <w:rsid w:val="00670BF9"/>
    <w:rsid w:val="00671501"/>
    <w:rsid w:val="00671BF5"/>
    <w:rsid w:val="006726D5"/>
    <w:rsid w:val="00672A26"/>
    <w:rsid w:val="0067301E"/>
    <w:rsid w:val="00673094"/>
    <w:rsid w:val="006730F9"/>
    <w:rsid w:val="006735E1"/>
    <w:rsid w:val="00674202"/>
    <w:rsid w:val="006743B3"/>
    <w:rsid w:val="00675B96"/>
    <w:rsid w:val="006761B7"/>
    <w:rsid w:val="00676545"/>
    <w:rsid w:val="00676709"/>
    <w:rsid w:val="00676C25"/>
    <w:rsid w:val="00677114"/>
    <w:rsid w:val="006778B4"/>
    <w:rsid w:val="0068090C"/>
    <w:rsid w:val="0068144E"/>
    <w:rsid w:val="00681547"/>
    <w:rsid w:val="00681FDD"/>
    <w:rsid w:val="0068232F"/>
    <w:rsid w:val="00682CD6"/>
    <w:rsid w:val="00683012"/>
    <w:rsid w:val="006832CA"/>
    <w:rsid w:val="00683708"/>
    <w:rsid w:val="00683BC2"/>
    <w:rsid w:val="00684478"/>
    <w:rsid w:val="0068465D"/>
    <w:rsid w:val="00684694"/>
    <w:rsid w:val="0068485E"/>
    <w:rsid w:val="00684C55"/>
    <w:rsid w:val="0068515A"/>
    <w:rsid w:val="00685B90"/>
    <w:rsid w:val="006860DC"/>
    <w:rsid w:val="006869F0"/>
    <w:rsid w:val="00686A48"/>
    <w:rsid w:val="00686C35"/>
    <w:rsid w:val="00687AFA"/>
    <w:rsid w:val="00687E1A"/>
    <w:rsid w:val="006906CE"/>
    <w:rsid w:val="00690D54"/>
    <w:rsid w:val="00691591"/>
    <w:rsid w:val="00691619"/>
    <w:rsid w:val="00691BDA"/>
    <w:rsid w:val="006922FD"/>
    <w:rsid w:val="00692CAB"/>
    <w:rsid w:val="006930C4"/>
    <w:rsid w:val="006939F5"/>
    <w:rsid w:val="00693EFB"/>
    <w:rsid w:val="006946F9"/>
    <w:rsid w:val="00694C12"/>
    <w:rsid w:val="00694C91"/>
    <w:rsid w:val="006953C0"/>
    <w:rsid w:val="00695548"/>
    <w:rsid w:val="00695614"/>
    <w:rsid w:val="006968AD"/>
    <w:rsid w:val="00696E2A"/>
    <w:rsid w:val="006974D3"/>
    <w:rsid w:val="00697736"/>
    <w:rsid w:val="006979D8"/>
    <w:rsid w:val="00697CB9"/>
    <w:rsid w:val="006A03FB"/>
    <w:rsid w:val="006A040C"/>
    <w:rsid w:val="006A051A"/>
    <w:rsid w:val="006A06F9"/>
    <w:rsid w:val="006A0CE8"/>
    <w:rsid w:val="006A130C"/>
    <w:rsid w:val="006A1867"/>
    <w:rsid w:val="006A1D7E"/>
    <w:rsid w:val="006A1DEE"/>
    <w:rsid w:val="006A2AC3"/>
    <w:rsid w:val="006A2CF4"/>
    <w:rsid w:val="006A3298"/>
    <w:rsid w:val="006A34E8"/>
    <w:rsid w:val="006A38AC"/>
    <w:rsid w:val="006A39EA"/>
    <w:rsid w:val="006A427D"/>
    <w:rsid w:val="006A46F3"/>
    <w:rsid w:val="006A4C00"/>
    <w:rsid w:val="006A5401"/>
    <w:rsid w:val="006A5854"/>
    <w:rsid w:val="006A5BAA"/>
    <w:rsid w:val="006A63DE"/>
    <w:rsid w:val="006A71EF"/>
    <w:rsid w:val="006A7478"/>
    <w:rsid w:val="006A776F"/>
    <w:rsid w:val="006A7F95"/>
    <w:rsid w:val="006B05C8"/>
    <w:rsid w:val="006B0FB2"/>
    <w:rsid w:val="006B1170"/>
    <w:rsid w:val="006B16C3"/>
    <w:rsid w:val="006B2318"/>
    <w:rsid w:val="006B27FA"/>
    <w:rsid w:val="006B282D"/>
    <w:rsid w:val="006B3DF4"/>
    <w:rsid w:val="006B4333"/>
    <w:rsid w:val="006B4ACD"/>
    <w:rsid w:val="006B5557"/>
    <w:rsid w:val="006B5A3D"/>
    <w:rsid w:val="006B5E49"/>
    <w:rsid w:val="006B60C0"/>
    <w:rsid w:val="006B6663"/>
    <w:rsid w:val="006B678F"/>
    <w:rsid w:val="006B6FBC"/>
    <w:rsid w:val="006B78E6"/>
    <w:rsid w:val="006B7FF0"/>
    <w:rsid w:val="006C040B"/>
    <w:rsid w:val="006C084B"/>
    <w:rsid w:val="006C08C5"/>
    <w:rsid w:val="006C0C0D"/>
    <w:rsid w:val="006C0F4B"/>
    <w:rsid w:val="006C1573"/>
    <w:rsid w:val="006C1CEE"/>
    <w:rsid w:val="006C1E65"/>
    <w:rsid w:val="006C216B"/>
    <w:rsid w:val="006C239E"/>
    <w:rsid w:val="006C2566"/>
    <w:rsid w:val="006C2DE8"/>
    <w:rsid w:val="006C316E"/>
    <w:rsid w:val="006C394E"/>
    <w:rsid w:val="006C3C11"/>
    <w:rsid w:val="006C4007"/>
    <w:rsid w:val="006C4A7F"/>
    <w:rsid w:val="006C507E"/>
    <w:rsid w:val="006C5584"/>
    <w:rsid w:val="006C5779"/>
    <w:rsid w:val="006C5AED"/>
    <w:rsid w:val="006C5E97"/>
    <w:rsid w:val="006C5EFD"/>
    <w:rsid w:val="006C60A8"/>
    <w:rsid w:val="006C61DA"/>
    <w:rsid w:val="006C6C33"/>
    <w:rsid w:val="006C7E07"/>
    <w:rsid w:val="006D0416"/>
    <w:rsid w:val="006D1536"/>
    <w:rsid w:val="006D1A88"/>
    <w:rsid w:val="006D1C24"/>
    <w:rsid w:val="006D22C0"/>
    <w:rsid w:val="006D2BB1"/>
    <w:rsid w:val="006D39E6"/>
    <w:rsid w:val="006D3D7D"/>
    <w:rsid w:val="006D4253"/>
    <w:rsid w:val="006D4C89"/>
    <w:rsid w:val="006D4D64"/>
    <w:rsid w:val="006D5322"/>
    <w:rsid w:val="006D5D69"/>
    <w:rsid w:val="006D5DBB"/>
    <w:rsid w:val="006D6A3A"/>
    <w:rsid w:val="006D7257"/>
    <w:rsid w:val="006D7D94"/>
    <w:rsid w:val="006E018D"/>
    <w:rsid w:val="006E03EE"/>
    <w:rsid w:val="006E0F94"/>
    <w:rsid w:val="006E27D3"/>
    <w:rsid w:val="006E28E9"/>
    <w:rsid w:val="006E2FAF"/>
    <w:rsid w:val="006E3B08"/>
    <w:rsid w:val="006E4015"/>
    <w:rsid w:val="006E40F0"/>
    <w:rsid w:val="006E4ADE"/>
    <w:rsid w:val="006E4FDC"/>
    <w:rsid w:val="006E516C"/>
    <w:rsid w:val="006E56CC"/>
    <w:rsid w:val="006E582C"/>
    <w:rsid w:val="006E5FC1"/>
    <w:rsid w:val="006E6BC6"/>
    <w:rsid w:val="006F0486"/>
    <w:rsid w:val="006F1609"/>
    <w:rsid w:val="006F18E3"/>
    <w:rsid w:val="006F1BEB"/>
    <w:rsid w:val="006F1C07"/>
    <w:rsid w:val="006F1E29"/>
    <w:rsid w:val="006F3794"/>
    <w:rsid w:val="006F3B25"/>
    <w:rsid w:val="006F3C86"/>
    <w:rsid w:val="006F42A0"/>
    <w:rsid w:val="006F46FC"/>
    <w:rsid w:val="006F506D"/>
    <w:rsid w:val="006F533D"/>
    <w:rsid w:val="006F5CFF"/>
    <w:rsid w:val="006F5FAC"/>
    <w:rsid w:val="006F6EDF"/>
    <w:rsid w:val="006F7076"/>
    <w:rsid w:val="006F7B12"/>
    <w:rsid w:val="006F7B7F"/>
    <w:rsid w:val="007000EE"/>
    <w:rsid w:val="00700B9D"/>
    <w:rsid w:val="00701581"/>
    <w:rsid w:val="007016B0"/>
    <w:rsid w:val="00701715"/>
    <w:rsid w:val="0070178F"/>
    <w:rsid w:val="007022B6"/>
    <w:rsid w:val="00702898"/>
    <w:rsid w:val="00702DA1"/>
    <w:rsid w:val="007039C4"/>
    <w:rsid w:val="00703E20"/>
    <w:rsid w:val="00704074"/>
    <w:rsid w:val="0070458E"/>
    <w:rsid w:val="007045EC"/>
    <w:rsid w:val="00704683"/>
    <w:rsid w:val="00704800"/>
    <w:rsid w:val="00704ECB"/>
    <w:rsid w:val="007050E5"/>
    <w:rsid w:val="0070514F"/>
    <w:rsid w:val="007053E2"/>
    <w:rsid w:val="00705F5D"/>
    <w:rsid w:val="007064A6"/>
    <w:rsid w:val="007069B7"/>
    <w:rsid w:val="007069BD"/>
    <w:rsid w:val="00707BFB"/>
    <w:rsid w:val="00707E59"/>
    <w:rsid w:val="007100F1"/>
    <w:rsid w:val="0071058A"/>
    <w:rsid w:val="00710BD6"/>
    <w:rsid w:val="00710C64"/>
    <w:rsid w:val="00711494"/>
    <w:rsid w:val="00711F32"/>
    <w:rsid w:val="00711F8E"/>
    <w:rsid w:val="00712968"/>
    <w:rsid w:val="00712CAF"/>
    <w:rsid w:val="00713828"/>
    <w:rsid w:val="00713981"/>
    <w:rsid w:val="00713C8C"/>
    <w:rsid w:val="00713D7F"/>
    <w:rsid w:val="00713DE1"/>
    <w:rsid w:val="00713E49"/>
    <w:rsid w:val="00715154"/>
    <w:rsid w:val="00715234"/>
    <w:rsid w:val="00715DAE"/>
    <w:rsid w:val="00715F1F"/>
    <w:rsid w:val="00716AFC"/>
    <w:rsid w:val="00717A6E"/>
    <w:rsid w:val="00717D04"/>
    <w:rsid w:val="00717F27"/>
    <w:rsid w:val="00720713"/>
    <w:rsid w:val="0072083E"/>
    <w:rsid w:val="007209D2"/>
    <w:rsid w:val="00721421"/>
    <w:rsid w:val="007216C3"/>
    <w:rsid w:val="007218A9"/>
    <w:rsid w:val="00722DA3"/>
    <w:rsid w:val="00723013"/>
    <w:rsid w:val="0072305F"/>
    <w:rsid w:val="007231F7"/>
    <w:rsid w:val="007237DD"/>
    <w:rsid w:val="00723F8B"/>
    <w:rsid w:val="00723F9F"/>
    <w:rsid w:val="00724650"/>
    <w:rsid w:val="007249C0"/>
    <w:rsid w:val="00724EE7"/>
    <w:rsid w:val="007254A4"/>
    <w:rsid w:val="00725535"/>
    <w:rsid w:val="00725C4A"/>
    <w:rsid w:val="00725C64"/>
    <w:rsid w:val="0072600D"/>
    <w:rsid w:val="007262D1"/>
    <w:rsid w:val="007269EB"/>
    <w:rsid w:val="00726C38"/>
    <w:rsid w:val="00730EFF"/>
    <w:rsid w:val="00731943"/>
    <w:rsid w:val="00731A09"/>
    <w:rsid w:val="00731C6B"/>
    <w:rsid w:val="00731C83"/>
    <w:rsid w:val="00732100"/>
    <w:rsid w:val="00732A5C"/>
    <w:rsid w:val="00732BD1"/>
    <w:rsid w:val="00732D09"/>
    <w:rsid w:val="00732FA5"/>
    <w:rsid w:val="007330D8"/>
    <w:rsid w:val="0073341A"/>
    <w:rsid w:val="00733CFA"/>
    <w:rsid w:val="00733DB5"/>
    <w:rsid w:val="00733E3B"/>
    <w:rsid w:val="00733FE3"/>
    <w:rsid w:val="0073470B"/>
    <w:rsid w:val="00734995"/>
    <w:rsid w:val="00734CF2"/>
    <w:rsid w:val="00734F70"/>
    <w:rsid w:val="0073543B"/>
    <w:rsid w:val="0073545A"/>
    <w:rsid w:val="007355C0"/>
    <w:rsid w:val="0073596A"/>
    <w:rsid w:val="007359FC"/>
    <w:rsid w:val="00735BEB"/>
    <w:rsid w:val="0073601B"/>
    <w:rsid w:val="00736A33"/>
    <w:rsid w:val="0073707A"/>
    <w:rsid w:val="007370BA"/>
    <w:rsid w:val="00737262"/>
    <w:rsid w:val="0073777D"/>
    <w:rsid w:val="007400A6"/>
    <w:rsid w:val="00740B67"/>
    <w:rsid w:val="00740F7F"/>
    <w:rsid w:val="0074102B"/>
    <w:rsid w:val="007411B3"/>
    <w:rsid w:val="0074163F"/>
    <w:rsid w:val="00742E68"/>
    <w:rsid w:val="00742F9C"/>
    <w:rsid w:val="0074362E"/>
    <w:rsid w:val="007436F3"/>
    <w:rsid w:val="00743DD9"/>
    <w:rsid w:val="00744297"/>
    <w:rsid w:val="00744564"/>
    <w:rsid w:val="00745987"/>
    <w:rsid w:val="00745B73"/>
    <w:rsid w:val="00746488"/>
    <w:rsid w:val="00747417"/>
    <w:rsid w:val="00747E13"/>
    <w:rsid w:val="00750CA9"/>
    <w:rsid w:val="00750F0A"/>
    <w:rsid w:val="007523EB"/>
    <w:rsid w:val="00752686"/>
    <w:rsid w:val="007526C4"/>
    <w:rsid w:val="00752FE6"/>
    <w:rsid w:val="007530BE"/>
    <w:rsid w:val="00753A58"/>
    <w:rsid w:val="00753E6F"/>
    <w:rsid w:val="00754826"/>
    <w:rsid w:val="00754931"/>
    <w:rsid w:val="0075524A"/>
    <w:rsid w:val="00755294"/>
    <w:rsid w:val="0075537E"/>
    <w:rsid w:val="0075588B"/>
    <w:rsid w:val="007558C1"/>
    <w:rsid w:val="00755A98"/>
    <w:rsid w:val="007560EB"/>
    <w:rsid w:val="007562B8"/>
    <w:rsid w:val="00756B62"/>
    <w:rsid w:val="007577F7"/>
    <w:rsid w:val="00757F40"/>
    <w:rsid w:val="007601FF"/>
    <w:rsid w:val="0076078B"/>
    <w:rsid w:val="00761425"/>
    <w:rsid w:val="00761B9C"/>
    <w:rsid w:val="00761C1A"/>
    <w:rsid w:val="00762E58"/>
    <w:rsid w:val="00763CF2"/>
    <w:rsid w:val="007648D0"/>
    <w:rsid w:val="00764952"/>
    <w:rsid w:val="0076523B"/>
    <w:rsid w:val="007657AF"/>
    <w:rsid w:val="007660EB"/>
    <w:rsid w:val="00766779"/>
    <w:rsid w:val="007669D0"/>
    <w:rsid w:val="00766A5A"/>
    <w:rsid w:val="00766C50"/>
    <w:rsid w:val="00766E5D"/>
    <w:rsid w:val="00766F31"/>
    <w:rsid w:val="00767111"/>
    <w:rsid w:val="007671CA"/>
    <w:rsid w:val="0076769D"/>
    <w:rsid w:val="00767BC9"/>
    <w:rsid w:val="00767E26"/>
    <w:rsid w:val="00767FC9"/>
    <w:rsid w:val="0077074B"/>
    <w:rsid w:val="00771728"/>
    <w:rsid w:val="00771D86"/>
    <w:rsid w:val="007721E7"/>
    <w:rsid w:val="007724B4"/>
    <w:rsid w:val="007727E0"/>
    <w:rsid w:val="00772836"/>
    <w:rsid w:val="00772AAA"/>
    <w:rsid w:val="00772E58"/>
    <w:rsid w:val="007733BB"/>
    <w:rsid w:val="00773DA6"/>
    <w:rsid w:val="00775000"/>
    <w:rsid w:val="00775830"/>
    <w:rsid w:val="00775935"/>
    <w:rsid w:val="007761C1"/>
    <w:rsid w:val="0077628C"/>
    <w:rsid w:val="007769F9"/>
    <w:rsid w:val="00777472"/>
    <w:rsid w:val="007777FD"/>
    <w:rsid w:val="00777991"/>
    <w:rsid w:val="00780694"/>
    <w:rsid w:val="00781113"/>
    <w:rsid w:val="0078133E"/>
    <w:rsid w:val="007826F1"/>
    <w:rsid w:val="00782892"/>
    <w:rsid w:val="00782F8E"/>
    <w:rsid w:val="0078363D"/>
    <w:rsid w:val="007836EA"/>
    <w:rsid w:val="007841DB"/>
    <w:rsid w:val="0078420B"/>
    <w:rsid w:val="0078425C"/>
    <w:rsid w:val="00784343"/>
    <w:rsid w:val="0078468C"/>
    <w:rsid w:val="00784D30"/>
    <w:rsid w:val="007853FA"/>
    <w:rsid w:val="007856D7"/>
    <w:rsid w:val="00785C4F"/>
    <w:rsid w:val="00785DB7"/>
    <w:rsid w:val="00785E78"/>
    <w:rsid w:val="00785EC9"/>
    <w:rsid w:val="00786285"/>
    <w:rsid w:val="007864F6"/>
    <w:rsid w:val="00786781"/>
    <w:rsid w:val="00786AB3"/>
    <w:rsid w:val="00786B76"/>
    <w:rsid w:val="00786C57"/>
    <w:rsid w:val="00787FA5"/>
    <w:rsid w:val="007902C9"/>
    <w:rsid w:val="00790C41"/>
    <w:rsid w:val="00790CF2"/>
    <w:rsid w:val="00791E43"/>
    <w:rsid w:val="00792E3D"/>
    <w:rsid w:val="00792F42"/>
    <w:rsid w:val="007933F7"/>
    <w:rsid w:val="00793DAD"/>
    <w:rsid w:val="00794F50"/>
    <w:rsid w:val="00795108"/>
    <w:rsid w:val="00795CB8"/>
    <w:rsid w:val="00795CC5"/>
    <w:rsid w:val="00795E53"/>
    <w:rsid w:val="00796743"/>
    <w:rsid w:val="00796B5F"/>
    <w:rsid w:val="007A26DC"/>
    <w:rsid w:val="007A2AA2"/>
    <w:rsid w:val="007A2C14"/>
    <w:rsid w:val="007A4001"/>
    <w:rsid w:val="007A497B"/>
    <w:rsid w:val="007A4A48"/>
    <w:rsid w:val="007A4F17"/>
    <w:rsid w:val="007A5168"/>
    <w:rsid w:val="007A52BE"/>
    <w:rsid w:val="007A52CD"/>
    <w:rsid w:val="007A5E1D"/>
    <w:rsid w:val="007A6042"/>
    <w:rsid w:val="007A6625"/>
    <w:rsid w:val="007A674A"/>
    <w:rsid w:val="007A6778"/>
    <w:rsid w:val="007A6961"/>
    <w:rsid w:val="007A6E71"/>
    <w:rsid w:val="007A7F24"/>
    <w:rsid w:val="007B0A19"/>
    <w:rsid w:val="007B14C2"/>
    <w:rsid w:val="007B15A4"/>
    <w:rsid w:val="007B17C9"/>
    <w:rsid w:val="007B2391"/>
    <w:rsid w:val="007B23CD"/>
    <w:rsid w:val="007B260F"/>
    <w:rsid w:val="007B28F6"/>
    <w:rsid w:val="007B2E25"/>
    <w:rsid w:val="007B322D"/>
    <w:rsid w:val="007B3850"/>
    <w:rsid w:val="007B49E3"/>
    <w:rsid w:val="007B4C5B"/>
    <w:rsid w:val="007B4ECB"/>
    <w:rsid w:val="007B52F1"/>
    <w:rsid w:val="007B5301"/>
    <w:rsid w:val="007B5D49"/>
    <w:rsid w:val="007B5E13"/>
    <w:rsid w:val="007B5E15"/>
    <w:rsid w:val="007B5FD3"/>
    <w:rsid w:val="007B64B2"/>
    <w:rsid w:val="007B70B8"/>
    <w:rsid w:val="007B73C8"/>
    <w:rsid w:val="007B78F9"/>
    <w:rsid w:val="007B7A71"/>
    <w:rsid w:val="007C06B7"/>
    <w:rsid w:val="007C0D7E"/>
    <w:rsid w:val="007C0EEC"/>
    <w:rsid w:val="007C47E3"/>
    <w:rsid w:val="007C52BD"/>
    <w:rsid w:val="007C5553"/>
    <w:rsid w:val="007C5749"/>
    <w:rsid w:val="007C5799"/>
    <w:rsid w:val="007C57E3"/>
    <w:rsid w:val="007C5883"/>
    <w:rsid w:val="007C5F7C"/>
    <w:rsid w:val="007C6C4E"/>
    <w:rsid w:val="007C704D"/>
    <w:rsid w:val="007C7583"/>
    <w:rsid w:val="007D059F"/>
    <w:rsid w:val="007D060C"/>
    <w:rsid w:val="007D0E09"/>
    <w:rsid w:val="007D14C3"/>
    <w:rsid w:val="007D15E2"/>
    <w:rsid w:val="007D2385"/>
    <w:rsid w:val="007D26E0"/>
    <w:rsid w:val="007D4329"/>
    <w:rsid w:val="007D4544"/>
    <w:rsid w:val="007D51AB"/>
    <w:rsid w:val="007D52B3"/>
    <w:rsid w:val="007D5514"/>
    <w:rsid w:val="007D6226"/>
    <w:rsid w:val="007D6CB7"/>
    <w:rsid w:val="007D6EB2"/>
    <w:rsid w:val="007D7508"/>
    <w:rsid w:val="007D7562"/>
    <w:rsid w:val="007D7892"/>
    <w:rsid w:val="007D7D36"/>
    <w:rsid w:val="007E045D"/>
    <w:rsid w:val="007E0488"/>
    <w:rsid w:val="007E0B4E"/>
    <w:rsid w:val="007E1218"/>
    <w:rsid w:val="007E1395"/>
    <w:rsid w:val="007E15C2"/>
    <w:rsid w:val="007E16B0"/>
    <w:rsid w:val="007E1963"/>
    <w:rsid w:val="007E1ACF"/>
    <w:rsid w:val="007E2665"/>
    <w:rsid w:val="007E2687"/>
    <w:rsid w:val="007E30E2"/>
    <w:rsid w:val="007E3575"/>
    <w:rsid w:val="007E391A"/>
    <w:rsid w:val="007E3A38"/>
    <w:rsid w:val="007E3CED"/>
    <w:rsid w:val="007E4399"/>
    <w:rsid w:val="007E4AB4"/>
    <w:rsid w:val="007E5084"/>
    <w:rsid w:val="007E53D3"/>
    <w:rsid w:val="007E6591"/>
    <w:rsid w:val="007E65D5"/>
    <w:rsid w:val="007E75D5"/>
    <w:rsid w:val="007E78D0"/>
    <w:rsid w:val="007E7935"/>
    <w:rsid w:val="007E79D0"/>
    <w:rsid w:val="007E7D12"/>
    <w:rsid w:val="007F0287"/>
    <w:rsid w:val="007F0D68"/>
    <w:rsid w:val="007F21FB"/>
    <w:rsid w:val="007F271C"/>
    <w:rsid w:val="007F2728"/>
    <w:rsid w:val="007F2A88"/>
    <w:rsid w:val="007F2D17"/>
    <w:rsid w:val="007F395F"/>
    <w:rsid w:val="007F3A3F"/>
    <w:rsid w:val="007F4000"/>
    <w:rsid w:val="007F46BD"/>
    <w:rsid w:val="007F4880"/>
    <w:rsid w:val="007F4FE6"/>
    <w:rsid w:val="007F5707"/>
    <w:rsid w:val="007F6D4E"/>
    <w:rsid w:val="007F7481"/>
    <w:rsid w:val="00800026"/>
    <w:rsid w:val="00800D29"/>
    <w:rsid w:val="00800E5E"/>
    <w:rsid w:val="00801582"/>
    <w:rsid w:val="0080229E"/>
    <w:rsid w:val="00802340"/>
    <w:rsid w:val="00802414"/>
    <w:rsid w:val="00802420"/>
    <w:rsid w:val="00803776"/>
    <w:rsid w:val="00803ACA"/>
    <w:rsid w:val="00804377"/>
    <w:rsid w:val="00804800"/>
    <w:rsid w:val="00804BCC"/>
    <w:rsid w:val="00805740"/>
    <w:rsid w:val="00805B68"/>
    <w:rsid w:val="0080670F"/>
    <w:rsid w:val="00806B96"/>
    <w:rsid w:val="0080760D"/>
    <w:rsid w:val="008078C9"/>
    <w:rsid w:val="00807F30"/>
    <w:rsid w:val="00807F36"/>
    <w:rsid w:val="0081003F"/>
    <w:rsid w:val="008108CA"/>
    <w:rsid w:val="0081107B"/>
    <w:rsid w:val="008114BA"/>
    <w:rsid w:val="00811E28"/>
    <w:rsid w:val="00813000"/>
    <w:rsid w:val="008132BC"/>
    <w:rsid w:val="00813578"/>
    <w:rsid w:val="00813B7F"/>
    <w:rsid w:val="00813F28"/>
    <w:rsid w:val="008140C9"/>
    <w:rsid w:val="0081441A"/>
    <w:rsid w:val="00814684"/>
    <w:rsid w:val="0081494F"/>
    <w:rsid w:val="008153CB"/>
    <w:rsid w:val="008156D6"/>
    <w:rsid w:val="008159CB"/>
    <w:rsid w:val="008159EC"/>
    <w:rsid w:val="00815E73"/>
    <w:rsid w:val="00815EE7"/>
    <w:rsid w:val="008166F5"/>
    <w:rsid w:val="008169C8"/>
    <w:rsid w:val="00817DBF"/>
    <w:rsid w:val="00817EA3"/>
    <w:rsid w:val="008202B7"/>
    <w:rsid w:val="00820D17"/>
    <w:rsid w:val="0082111D"/>
    <w:rsid w:val="00821507"/>
    <w:rsid w:val="00821788"/>
    <w:rsid w:val="00821AB2"/>
    <w:rsid w:val="00821B0E"/>
    <w:rsid w:val="00821EC5"/>
    <w:rsid w:val="0082251C"/>
    <w:rsid w:val="00822522"/>
    <w:rsid w:val="00822B99"/>
    <w:rsid w:val="00822F52"/>
    <w:rsid w:val="008239D3"/>
    <w:rsid w:val="00824A9B"/>
    <w:rsid w:val="00824DCC"/>
    <w:rsid w:val="0082550D"/>
    <w:rsid w:val="00825696"/>
    <w:rsid w:val="00825800"/>
    <w:rsid w:val="00825F3B"/>
    <w:rsid w:val="00825F77"/>
    <w:rsid w:val="00825F9C"/>
    <w:rsid w:val="00826BD2"/>
    <w:rsid w:val="00826F5D"/>
    <w:rsid w:val="008273F6"/>
    <w:rsid w:val="00827D3D"/>
    <w:rsid w:val="00827D46"/>
    <w:rsid w:val="00830AE5"/>
    <w:rsid w:val="008311E2"/>
    <w:rsid w:val="00831517"/>
    <w:rsid w:val="0083187E"/>
    <w:rsid w:val="00831D7A"/>
    <w:rsid w:val="008328FA"/>
    <w:rsid w:val="00832DCA"/>
    <w:rsid w:val="00832FC6"/>
    <w:rsid w:val="008335B0"/>
    <w:rsid w:val="0083427D"/>
    <w:rsid w:val="00834526"/>
    <w:rsid w:val="008346CE"/>
    <w:rsid w:val="00834BD9"/>
    <w:rsid w:val="00834F95"/>
    <w:rsid w:val="00835251"/>
    <w:rsid w:val="00835368"/>
    <w:rsid w:val="00835383"/>
    <w:rsid w:val="008359CA"/>
    <w:rsid w:val="0083658E"/>
    <w:rsid w:val="00836BFB"/>
    <w:rsid w:val="00836F2D"/>
    <w:rsid w:val="0083718A"/>
    <w:rsid w:val="00837496"/>
    <w:rsid w:val="00837A2A"/>
    <w:rsid w:val="00837B32"/>
    <w:rsid w:val="00840221"/>
    <w:rsid w:val="008407E5"/>
    <w:rsid w:val="0084112B"/>
    <w:rsid w:val="008413D3"/>
    <w:rsid w:val="008413FC"/>
    <w:rsid w:val="0084293F"/>
    <w:rsid w:val="008435F5"/>
    <w:rsid w:val="00844B75"/>
    <w:rsid w:val="00844E7A"/>
    <w:rsid w:val="0084586C"/>
    <w:rsid w:val="00845875"/>
    <w:rsid w:val="00845E6B"/>
    <w:rsid w:val="00845EBF"/>
    <w:rsid w:val="00845F12"/>
    <w:rsid w:val="008460C2"/>
    <w:rsid w:val="00846457"/>
    <w:rsid w:val="00846612"/>
    <w:rsid w:val="008469B5"/>
    <w:rsid w:val="008473C6"/>
    <w:rsid w:val="008476A8"/>
    <w:rsid w:val="00847E53"/>
    <w:rsid w:val="00850430"/>
    <w:rsid w:val="00850909"/>
    <w:rsid w:val="00850AA2"/>
    <w:rsid w:val="00851CBB"/>
    <w:rsid w:val="00851DF5"/>
    <w:rsid w:val="008524C5"/>
    <w:rsid w:val="00852CCF"/>
    <w:rsid w:val="0085320E"/>
    <w:rsid w:val="008532EC"/>
    <w:rsid w:val="008551F0"/>
    <w:rsid w:val="00855397"/>
    <w:rsid w:val="00855DA6"/>
    <w:rsid w:val="00855ED0"/>
    <w:rsid w:val="00855F85"/>
    <w:rsid w:val="0085708B"/>
    <w:rsid w:val="00857D76"/>
    <w:rsid w:val="00857FCF"/>
    <w:rsid w:val="00857FD6"/>
    <w:rsid w:val="008625DE"/>
    <w:rsid w:val="008630BF"/>
    <w:rsid w:val="00863DE9"/>
    <w:rsid w:val="00864250"/>
    <w:rsid w:val="00864285"/>
    <w:rsid w:val="00864642"/>
    <w:rsid w:val="00864C61"/>
    <w:rsid w:val="00864D67"/>
    <w:rsid w:val="00865645"/>
    <w:rsid w:val="00865C9B"/>
    <w:rsid w:val="0086687A"/>
    <w:rsid w:val="00866ED4"/>
    <w:rsid w:val="008678D5"/>
    <w:rsid w:val="00867AA5"/>
    <w:rsid w:val="00867BD7"/>
    <w:rsid w:val="00870313"/>
    <w:rsid w:val="0087034F"/>
    <w:rsid w:val="00870E34"/>
    <w:rsid w:val="00871545"/>
    <w:rsid w:val="00871869"/>
    <w:rsid w:val="00871980"/>
    <w:rsid w:val="00872D9E"/>
    <w:rsid w:val="00872FB5"/>
    <w:rsid w:val="0087300D"/>
    <w:rsid w:val="008736B2"/>
    <w:rsid w:val="00873732"/>
    <w:rsid w:val="008738F6"/>
    <w:rsid w:val="00873BBB"/>
    <w:rsid w:val="00873E30"/>
    <w:rsid w:val="0087497A"/>
    <w:rsid w:val="0087532B"/>
    <w:rsid w:val="008767BA"/>
    <w:rsid w:val="00876D70"/>
    <w:rsid w:val="008770DA"/>
    <w:rsid w:val="00877A77"/>
    <w:rsid w:val="00877E6A"/>
    <w:rsid w:val="00877EC8"/>
    <w:rsid w:val="00880057"/>
    <w:rsid w:val="00880067"/>
    <w:rsid w:val="00880CD4"/>
    <w:rsid w:val="00881328"/>
    <w:rsid w:val="00881517"/>
    <w:rsid w:val="00881F19"/>
    <w:rsid w:val="00881F51"/>
    <w:rsid w:val="00882502"/>
    <w:rsid w:val="008825B4"/>
    <w:rsid w:val="00882608"/>
    <w:rsid w:val="00882A48"/>
    <w:rsid w:val="00882D9C"/>
    <w:rsid w:val="008836BA"/>
    <w:rsid w:val="00883DEF"/>
    <w:rsid w:val="00883EE7"/>
    <w:rsid w:val="00883F2B"/>
    <w:rsid w:val="008845EF"/>
    <w:rsid w:val="00885D9B"/>
    <w:rsid w:val="008868C9"/>
    <w:rsid w:val="00886F11"/>
    <w:rsid w:val="008873FE"/>
    <w:rsid w:val="00890150"/>
    <w:rsid w:val="0089028D"/>
    <w:rsid w:val="008903DF"/>
    <w:rsid w:val="00890C4A"/>
    <w:rsid w:val="00890FB8"/>
    <w:rsid w:val="00890FED"/>
    <w:rsid w:val="00891170"/>
    <w:rsid w:val="00891B0A"/>
    <w:rsid w:val="00891F23"/>
    <w:rsid w:val="008926EA"/>
    <w:rsid w:val="00893B07"/>
    <w:rsid w:val="00893B23"/>
    <w:rsid w:val="00893F89"/>
    <w:rsid w:val="00894043"/>
    <w:rsid w:val="008945F0"/>
    <w:rsid w:val="008947D9"/>
    <w:rsid w:val="0089497A"/>
    <w:rsid w:val="00895537"/>
    <w:rsid w:val="008957A4"/>
    <w:rsid w:val="00895C79"/>
    <w:rsid w:val="00895E45"/>
    <w:rsid w:val="00896F60"/>
    <w:rsid w:val="008970DC"/>
    <w:rsid w:val="008971A8"/>
    <w:rsid w:val="0089752D"/>
    <w:rsid w:val="008A01C7"/>
    <w:rsid w:val="008A0735"/>
    <w:rsid w:val="008A0774"/>
    <w:rsid w:val="008A13C6"/>
    <w:rsid w:val="008A189D"/>
    <w:rsid w:val="008A1CE8"/>
    <w:rsid w:val="008A1D1A"/>
    <w:rsid w:val="008A205D"/>
    <w:rsid w:val="008A35E3"/>
    <w:rsid w:val="008A3E11"/>
    <w:rsid w:val="008A4B47"/>
    <w:rsid w:val="008A4C92"/>
    <w:rsid w:val="008A50FD"/>
    <w:rsid w:val="008A5B8D"/>
    <w:rsid w:val="008A6343"/>
    <w:rsid w:val="008A6347"/>
    <w:rsid w:val="008A68F7"/>
    <w:rsid w:val="008A6F10"/>
    <w:rsid w:val="008A7935"/>
    <w:rsid w:val="008A7E1B"/>
    <w:rsid w:val="008B0036"/>
    <w:rsid w:val="008B009B"/>
    <w:rsid w:val="008B049B"/>
    <w:rsid w:val="008B14E4"/>
    <w:rsid w:val="008B1847"/>
    <w:rsid w:val="008B2018"/>
    <w:rsid w:val="008B31DB"/>
    <w:rsid w:val="008B3282"/>
    <w:rsid w:val="008B34B2"/>
    <w:rsid w:val="008B4265"/>
    <w:rsid w:val="008B442C"/>
    <w:rsid w:val="008B44CB"/>
    <w:rsid w:val="008B4A3E"/>
    <w:rsid w:val="008B4FFB"/>
    <w:rsid w:val="008B51D5"/>
    <w:rsid w:val="008B538F"/>
    <w:rsid w:val="008B5BAD"/>
    <w:rsid w:val="008B605F"/>
    <w:rsid w:val="008B67D5"/>
    <w:rsid w:val="008B731E"/>
    <w:rsid w:val="008B795A"/>
    <w:rsid w:val="008C05A7"/>
    <w:rsid w:val="008C1DFF"/>
    <w:rsid w:val="008C2C0D"/>
    <w:rsid w:val="008C36C5"/>
    <w:rsid w:val="008C39A3"/>
    <w:rsid w:val="008C3F73"/>
    <w:rsid w:val="008C4789"/>
    <w:rsid w:val="008C5F6B"/>
    <w:rsid w:val="008C61EE"/>
    <w:rsid w:val="008C63BC"/>
    <w:rsid w:val="008C6458"/>
    <w:rsid w:val="008C65A4"/>
    <w:rsid w:val="008C6975"/>
    <w:rsid w:val="008C7574"/>
    <w:rsid w:val="008C7E1D"/>
    <w:rsid w:val="008C7E2F"/>
    <w:rsid w:val="008D02A1"/>
    <w:rsid w:val="008D0BA4"/>
    <w:rsid w:val="008D0CDF"/>
    <w:rsid w:val="008D0E0B"/>
    <w:rsid w:val="008D1509"/>
    <w:rsid w:val="008D1899"/>
    <w:rsid w:val="008D18F7"/>
    <w:rsid w:val="008D1CE1"/>
    <w:rsid w:val="008D20D6"/>
    <w:rsid w:val="008D2255"/>
    <w:rsid w:val="008D235A"/>
    <w:rsid w:val="008D25FF"/>
    <w:rsid w:val="008D2677"/>
    <w:rsid w:val="008D27DE"/>
    <w:rsid w:val="008D34DF"/>
    <w:rsid w:val="008D44A0"/>
    <w:rsid w:val="008D4BD3"/>
    <w:rsid w:val="008D4D91"/>
    <w:rsid w:val="008D5518"/>
    <w:rsid w:val="008D5676"/>
    <w:rsid w:val="008D634E"/>
    <w:rsid w:val="008D66B6"/>
    <w:rsid w:val="008D7D83"/>
    <w:rsid w:val="008E1258"/>
    <w:rsid w:val="008E20FC"/>
    <w:rsid w:val="008E23D6"/>
    <w:rsid w:val="008E2CA5"/>
    <w:rsid w:val="008E2D41"/>
    <w:rsid w:val="008E4A37"/>
    <w:rsid w:val="008E4BEF"/>
    <w:rsid w:val="008E4C3F"/>
    <w:rsid w:val="008E5893"/>
    <w:rsid w:val="008E5A3B"/>
    <w:rsid w:val="008E5E30"/>
    <w:rsid w:val="008E6077"/>
    <w:rsid w:val="008E663C"/>
    <w:rsid w:val="008E6F1A"/>
    <w:rsid w:val="008E7A65"/>
    <w:rsid w:val="008E7C15"/>
    <w:rsid w:val="008E7C3F"/>
    <w:rsid w:val="008E7D9A"/>
    <w:rsid w:val="008F0369"/>
    <w:rsid w:val="008F0CD3"/>
    <w:rsid w:val="008F1118"/>
    <w:rsid w:val="008F125F"/>
    <w:rsid w:val="008F12AD"/>
    <w:rsid w:val="008F1916"/>
    <w:rsid w:val="008F1DD3"/>
    <w:rsid w:val="008F2171"/>
    <w:rsid w:val="008F249C"/>
    <w:rsid w:val="008F24BB"/>
    <w:rsid w:val="008F265B"/>
    <w:rsid w:val="008F30C0"/>
    <w:rsid w:val="008F30D7"/>
    <w:rsid w:val="008F39B5"/>
    <w:rsid w:val="008F3B71"/>
    <w:rsid w:val="008F46B9"/>
    <w:rsid w:val="008F49F6"/>
    <w:rsid w:val="008F4D44"/>
    <w:rsid w:val="008F4DD8"/>
    <w:rsid w:val="008F4ECE"/>
    <w:rsid w:val="008F5606"/>
    <w:rsid w:val="008F58D0"/>
    <w:rsid w:val="008F5B5C"/>
    <w:rsid w:val="008F6680"/>
    <w:rsid w:val="008F6AE8"/>
    <w:rsid w:val="008F717D"/>
    <w:rsid w:val="008F760B"/>
    <w:rsid w:val="008F774E"/>
    <w:rsid w:val="008F7B34"/>
    <w:rsid w:val="008F7E6A"/>
    <w:rsid w:val="009004DB"/>
    <w:rsid w:val="009014AA"/>
    <w:rsid w:val="0090193C"/>
    <w:rsid w:val="009020DE"/>
    <w:rsid w:val="00902F26"/>
    <w:rsid w:val="009032FA"/>
    <w:rsid w:val="0090383A"/>
    <w:rsid w:val="00904AC2"/>
    <w:rsid w:val="0090500C"/>
    <w:rsid w:val="00905761"/>
    <w:rsid w:val="009070BF"/>
    <w:rsid w:val="0090718B"/>
    <w:rsid w:val="00907E6F"/>
    <w:rsid w:val="009101F3"/>
    <w:rsid w:val="00910C11"/>
    <w:rsid w:val="009116A0"/>
    <w:rsid w:val="0091189D"/>
    <w:rsid w:val="00912567"/>
    <w:rsid w:val="00912750"/>
    <w:rsid w:val="00912930"/>
    <w:rsid w:val="00912A8B"/>
    <w:rsid w:val="009135A7"/>
    <w:rsid w:val="00913648"/>
    <w:rsid w:val="00913D59"/>
    <w:rsid w:val="009151B6"/>
    <w:rsid w:val="00915ECE"/>
    <w:rsid w:val="009163AD"/>
    <w:rsid w:val="009163B0"/>
    <w:rsid w:val="00916CDD"/>
    <w:rsid w:val="00916FF6"/>
    <w:rsid w:val="00917119"/>
    <w:rsid w:val="00917161"/>
    <w:rsid w:val="00917573"/>
    <w:rsid w:val="00917F53"/>
    <w:rsid w:val="00920AAF"/>
    <w:rsid w:val="009218E1"/>
    <w:rsid w:val="00921A56"/>
    <w:rsid w:val="00921D09"/>
    <w:rsid w:val="00921F21"/>
    <w:rsid w:val="0092276F"/>
    <w:rsid w:val="00925045"/>
    <w:rsid w:val="00925218"/>
    <w:rsid w:val="0092530B"/>
    <w:rsid w:val="0092577B"/>
    <w:rsid w:val="00925C07"/>
    <w:rsid w:val="009265C7"/>
    <w:rsid w:val="00926D96"/>
    <w:rsid w:val="009276FB"/>
    <w:rsid w:val="00927ADE"/>
    <w:rsid w:val="00927CAB"/>
    <w:rsid w:val="00930593"/>
    <w:rsid w:val="00930913"/>
    <w:rsid w:val="0093092A"/>
    <w:rsid w:val="00931041"/>
    <w:rsid w:val="00931190"/>
    <w:rsid w:val="009314DB"/>
    <w:rsid w:val="00931E5B"/>
    <w:rsid w:val="009321B7"/>
    <w:rsid w:val="0093351B"/>
    <w:rsid w:val="00933714"/>
    <w:rsid w:val="00934BB3"/>
    <w:rsid w:val="00935DA8"/>
    <w:rsid w:val="00935E0C"/>
    <w:rsid w:val="00935E94"/>
    <w:rsid w:val="00936A2D"/>
    <w:rsid w:val="00936D6B"/>
    <w:rsid w:val="00937110"/>
    <w:rsid w:val="0093749F"/>
    <w:rsid w:val="0094024D"/>
    <w:rsid w:val="0094091F"/>
    <w:rsid w:val="00941C70"/>
    <w:rsid w:val="009421FB"/>
    <w:rsid w:val="009428DE"/>
    <w:rsid w:val="00942D35"/>
    <w:rsid w:val="00942DDF"/>
    <w:rsid w:val="00942EC2"/>
    <w:rsid w:val="009440A1"/>
    <w:rsid w:val="00944B1B"/>
    <w:rsid w:val="0094593F"/>
    <w:rsid w:val="00945F3D"/>
    <w:rsid w:val="009469CC"/>
    <w:rsid w:val="00946D8D"/>
    <w:rsid w:val="00947C22"/>
    <w:rsid w:val="00947DA7"/>
    <w:rsid w:val="009510CE"/>
    <w:rsid w:val="00952318"/>
    <w:rsid w:val="00952480"/>
    <w:rsid w:val="009531A5"/>
    <w:rsid w:val="00954099"/>
    <w:rsid w:val="0095419C"/>
    <w:rsid w:val="00954DC6"/>
    <w:rsid w:val="00954EB7"/>
    <w:rsid w:val="00955562"/>
    <w:rsid w:val="009555CA"/>
    <w:rsid w:val="00955812"/>
    <w:rsid w:val="0095624E"/>
    <w:rsid w:val="00956D74"/>
    <w:rsid w:val="00957159"/>
    <w:rsid w:val="009574B1"/>
    <w:rsid w:val="00957664"/>
    <w:rsid w:val="009577D1"/>
    <w:rsid w:val="00957CFD"/>
    <w:rsid w:val="00957D82"/>
    <w:rsid w:val="009600EC"/>
    <w:rsid w:val="00960439"/>
    <w:rsid w:val="0096174B"/>
    <w:rsid w:val="00961C29"/>
    <w:rsid w:val="00961F14"/>
    <w:rsid w:val="00963951"/>
    <w:rsid w:val="00963CC7"/>
    <w:rsid w:val="00964419"/>
    <w:rsid w:val="00964C73"/>
    <w:rsid w:val="00964E72"/>
    <w:rsid w:val="00964F76"/>
    <w:rsid w:val="009651C6"/>
    <w:rsid w:val="00965433"/>
    <w:rsid w:val="009659D6"/>
    <w:rsid w:val="00965ED9"/>
    <w:rsid w:val="00966294"/>
    <w:rsid w:val="009665B6"/>
    <w:rsid w:val="00966CDD"/>
    <w:rsid w:val="00966ED2"/>
    <w:rsid w:val="009676BB"/>
    <w:rsid w:val="00967C5D"/>
    <w:rsid w:val="009701C7"/>
    <w:rsid w:val="00970366"/>
    <w:rsid w:val="0097039D"/>
    <w:rsid w:val="00970D10"/>
    <w:rsid w:val="009711CD"/>
    <w:rsid w:val="00971851"/>
    <w:rsid w:val="009719EC"/>
    <w:rsid w:val="00971FE4"/>
    <w:rsid w:val="00972A49"/>
    <w:rsid w:val="00972A64"/>
    <w:rsid w:val="0097358B"/>
    <w:rsid w:val="00974663"/>
    <w:rsid w:val="0097466E"/>
    <w:rsid w:val="00974880"/>
    <w:rsid w:val="00974A26"/>
    <w:rsid w:val="009755D5"/>
    <w:rsid w:val="00975841"/>
    <w:rsid w:val="009759D7"/>
    <w:rsid w:val="009762AD"/>
    <w:rsid w:val="009762B2"/>
    <w:rsid w:val="00976FD2"/>
    <w:rsid w:val="00977133"/>
    <w:rsid w:val="00977682"/>
    <w:rsid w:val="009809FB"/>
    <w:rsid w:val="00980CC8"/>
    <w:rsid w:val="00981183"/>
    <w:rsid w:val="00982209"/>
    <w:rsid w:val="009824CF"/>
    <w:rsid w:val="00982CF1"/>
    <w:rsid w:val="00982F34"/>
    <w:rsid w:val="0098363A"/>
    <w:rsid w:val="00983A8F"/>
    <w:rsid w:val="00983F90"/>
    <w:rsid w:val="0098451C"/>
    <w:rsid w:val="0098462F"/>
    <w:rsid w:val="00984E83"/>
    <w:rsid w:val="0098553B"/>
    <w:rsid w:val="009856F3"/>
    <w:rsid w:val="00985953"/>
    <w:rsid w:val="00985C13"/>
    <w:rsid w:val="0098644F"/>
    <w:rsid w:val="00986893"/>
    <w:rsid w:val="009868FE"/>
    <w:rsid w:val="00986BDC"/>
    <w:rsid w:val="009871FF"/>
    <w:rsid w:val="00987227"/>
    <w:rsid w:val="0098793B"/>
    <w:rsid w:val="00987A7E"/>
    <w:rsid w:val="00987DCA"/>
    <w:rsid w:val="00987E0E"/>
    <w:rsid w:val="0099018B"/>
    <w:rsid w:val="00990272"/>
    <w:rsid w:val="00991023"/>
    <w:rsid w:val="00991219"/>
    <w:rsid w:val="0099179A"/>
    <w:rsid w:val="00991AED"/>
    <w:rsid w:val="00992241"/>
    <w:rsid w:val="00992436"/>
    <w:rsid w:val="00992E2B"/>
    <w:rsid w:val="009932AE"/>
    <w:rsid w:val="009937DE"/>
    <w:rsid w:val="00993B7E"/>
    <w:rsid w:val="00993F2A"/>
    <w:rsid w:val="009942A2"/>
    <w:rsid w:val="00994430"/>
    <w:rsid w:val="0099453B"/>
    <w:rsid w:val="009946C3"/>
    <w:rsid w:val="009951B6"/>
    <w:rsid w:val="00995783"/>
    <w:rsid w:val="0099641F"/>
    <w:rsid w:val="0099689E"/>
    <w:rsid w:val="00996D0E"/>
    <w:rsid w:val="00997060"/>
    <w:rsid w:val="00997385"/>
    <w:rsid w:val="00997742"/>
    <w:rsid w:val="009A1C36"/>
    <w:rsid w:val="009A205C"/>
    <w:rsid w:val="009A218C"/>
    <w:rsid w:val="009A2E03"/>
    <w:rsid w:val="009A3A2A"/>
    <w:rsid w:val="009A41F0"/>
    <w:rsid w:val="009A5605"/>
    <w:rsid w:val="009A59C3"/>
    <w:rsid w:val="009A663E"/>
    <w:rsid w:val="009A6934"/>
    <w:rsid w:val="009A699D"/>
    <w:rsid w:val="009A6A3D"/>
    <w:rsid w:val="009A71A4"/>
    <w:rsid w:val="009A7ABE"/>
    <w:rsid w:val="009A7E81"/>
    <w:rsid w:val="009B0FB7"/>
    <w:rsid w:val="009B14DC"/>
    <w:rsid w:val="009B1693"/>
    <w:rsid w:val="009B1744"/>
    <w:rsid w:val="009B1E2D"/>
    <w:rsid w:val="009B1EEB"/>
    <w:rsid w:val="009B26AB"/>
    <w:rsid w:val="009B2D88"/>
    <w:rsid w:val="009B2F6B"/>
    <w:rsid w:val="009B2F7C"/>
    <w:rsid w:val="009B3353"/>
    <w:rsid w:val="009B3972"/>
    <w:rsid w:val="009B3B5E"/>
    <w:rsid w:val="009B3D6C"/>
    <w:rsid w:val="009B40F8"/>
    <w:rsid w:val="009B4E9F"/>
    <w:rsid w:val="009B561B"/>
    <w:rsid w:val="009B5749"/>
    <w:rsid w:val="009B5BBC"/>
    <w:rsid w:val="009B62A0"/>
    <w:rsid w:val="009B652A"/>
    <w:rsid w:val="009B6C71"/>
    <w:rsid w:val="009B728E"/>
    <w:rsid w:val="009B75E5"/>
    <w:rsid w:val="009C0470"/>
    <w:rsid w:val="009C1712"/>
    <w:rsid w:val="009C2196"/>
    <w:rsid w:val="009C260B"/>
    <w:rsid w:val="009C2B46"/>
    <w:rsid w:val="009C2D28"/>
    <w:rsid w:val="009C3725"/>
    <w:rsid w:val="009C392E"/>
    <w:rsid w:val="009C3BA1"/>
    <w:rsid w:val="009C3FD4"/>
    <w:rsid w:val="009C4DE8"/>
    <w:rsid w:val="009C4ED0"/>
    <w:rsid w:val="009C4F56"/>
    <w:rsid w:val="009C57D5"/>
    <w:rsid w:val="009C581F"/>
    <w:rsid w:val="009C5E60"/>
    <w:rsid w:val="009C5FD7"/>
    <w:rsid w:val="009C64E5"/>
    <w:rsid w:val="009C6759"/>
    <w:rsid w:val="009C6A2A"/>
    <w:rsid w:val="009C6BE5"/>
    <w:rsid w:val="009C6D29"/>
    <w:rsid w:val="009C736B"/>
    <w:rsid w:val="009C7760"/>
    <w:rsid w:val="009C7CC8"/>
    <w:rsid w:val="009C7CDD"/>
    <w:rsid w:val="009C7DD0"/>
    <w:rsid w:val="009D06E0"/>
    <w:rsid w:val="009D18EA"/>
    <w:rsid w:val="009D2924"/>
    <w:rsid w:val="009D2C7B"/>
    <w:rsid w:val="009D3307"/>
    <w:rsid w:val="009D3361"/>
    <w:rsid w:val="009D344F"/>
    <w:rsid w:val="009D3977"/>
    <w:rsid w:val="009D3B2C"/>
    <w:rsid w:val="009D3D26"/>
    <w:rsid w:val="009D54C1"/>
    <w:rsid w:val="009D58CF"/>
    <w:rsid w:val="009D5B99"/>
    <w:rsid w:val="009D6322"/>
    <w:rsid w:val="009D64DC"/>
    <w:rsid w:val="009D707D"/>
    <w:rsid w:val="009D7A87"/>
    <w:rsid w:val="009E0175"/>
    <w:rsid w:val="009E0B7E"/>
    <w:rsid w:val="009E0C49"/>
    <w:rsid w:val="009E1145"/>
    <w:rsid w:val="009E137C"/>
    <w:rsid w:val="009E150C"/>
    <w:rsid w:val="009E1FD1"/>
    <w:rsid w:val="009E261D"/>
    <w:rsid w:val="009E2989"/>
    <w:rsid w:val="009E307B"/>
    <w:rsid w:val="009E30E8"/>
    <w:rsid w:val="009E3906"/>
    <w:rsid w:val="009E434E"/>
    <w:rsid w:val="009E47E7"/>
    <w:rsid w:val="009E4E5F"/>
    <w:rsid w:val="009E54CE"/>
    <w:rsid w:val="009E5683"/>
    <w:rsid w:val="009E56B0"/>
    <w:rsid w:val="009E5928"/>
    <w:rsid w:val="009E6657"/>
    <w:rsid w:val="009E6922"/>
    <w:rsid w:val="009E6A71"/>
    <w:rsid w:val="009E6AF3"/>
    <w:rsid w:val="009E6C19"/>
    <w:rsid w:val="009E7FFC"/>
    <w:rsid w:val="009F00B7"/>
    <w:rsid w:val="009F010D"/>
    <w:rsid w:val="009F17B1"/>
    <w:rsid w:val="009F1C70"/>
    <w:rsid w:val="009F1E63"/>
    <w:rsid w:val="009F2E05"/>
    <w:rsid w:val="009F35BF"/>
    <w:rsid w:val="009F3828"/>
    <w:rsid w:val="009F3891"/>
    <w:rsid w:val="009F4611"/>
    <w:rsid w:val="009F6270"/>
    <w:rsid w:val="009F66C1"/>
    <w:rsid w:val="009F67AB"/>
    <w:rsid w:val="009F6A69"/>
    <w:rsid w:val="009F6C2D"/>
    <w:rsid w:val="009F6EB0"/>
    <w:rsid w:val="009F74C1"/>
    <w:rsid w:val="009F772E"/>
    <w:rsid w:val="00A0008D"/>
    <w:rsid w:val="00A00234"/>
    <w:rsid w:val="00A00249"/>
    <w:rsid w:val="00A00E41"/>
    <w:rsid w:val="00A0163B"/>
    <w:rsid w:val="00A017D1"/>
    <w:rsid w:val="00A0191E"/>
    <w:rsid w:val="00A01938"/>
    <w:rsid w:val="00A01B40"/>
    <w:rsid w:val="00A01BBE"/>
    <w:rsid w:val="00A01BF3"/>
    <w:rsid w:val="00A0230B"/>
    <w:rsid w:val="00A024A4"/>
    <w:rsid w:val="00A02795"/>
    <w:rsid w:val="00A02F07"/>
    <w:rsid w:val="00A032E6"/>
    <w:rsid w:val="00A035C1"/>
    <w:rsid w:val="00A03C1E"/>
    <w:rsid w:val="00A041A9"/>
    <w:rsid w:val="00A0446B"/>
    <w:rsid w:val="00A045D7"/>
    <w:rsid w:val="00A049A0"/>
    <w:rsid w:val="00A05200"/>
    <w:rsid w:val="00A05BC8"/>
    <w:rsid w:val="00A05EFD"/>
    <w:rsid w:val="00A062A4"/>
    <w:rsid w:val="00A06AD3"/>
    <w:rsid w:val="00A1014C"/>
    <w:rsid w:val="00A10949"/>
    <w:rsid w:val="00A11C86"/>
    <w:rsid w:val="00A12512"/>
    <w:rsid w:val="00A12541"/>
    <w:rsid w:val="00A12A28"/>
    <w:rsid w:val="00A12D4F"/>
    <w:rsid w:val="00A134E4"/>
    <w:rsid w:val="00A13A67"/>
    <w:rsid w:val="00A14631"/>
    <w:rsid w:val="00A146C2"/>
    <w:rsid w:val="00A1481A"/>
    <w:rsid w:val="00A15213"/>
    <w:rsid w:val="00A15550"/>
    <w:rsid w:val="00A1560B"/>
    <w:rsid w:val="00A16156"/>
    <w:rsid w:val="00A16324"/>
    <w:rsid w:val="00A167DB"/>
    <w:rsid w:val="00A172D3"/>
    <w:rsid w:val="00A17E01"/>
    <w:rsid w:val="00A20C8D"/>
    <w:rsid w:val="00A21491"/>
    <w:rsid w:val="00A21A18"/>
    <w:rsid w:val="00A21E1F"/>
    <w:rsid w:val="00A21F1A"/>
    <w:rsid w:val="00A228DB"/>
    <w:rsid w:val="00A236F1"/>
    <w:rsid w:val="00A2389F"/>
    <w:rsid w:val="00A238B6"/>
    <w:rsid w:val="00A23AD9"/>
    <w:rsid w:val="00A23F40"/>
    <w:rsid w:val="00A250CE"/>
    <w:rsid w:val="00A258BB"/>
    <w:rsid w:val="00A25B68"/>
    <w:rsid w:val="00A26E12"/>
    <w:rsid w:val="00A30032"/>
    <w:rsid w:val="00A30412"/>
    <w:rsid w:val="00A3128F"/>
    <w:rsid w:val="00A31C1D"/>
    <w:rsid w:val="00A32C2D"/>
    <w:rsid w:val="00A3363F"/>
    <w:rsid w:val="00A342FB"/>
    <w:rsid w:val="00A36055"/>
    <w:rsid w:val="00A369BA"/>
    <w:rsid w:val="00A369F2"/>
    <w:rsid w:val="00A37B5C"/>
    <w:rsid w:val="00A37D4F"/>
    <w:rsid w:val="00A37E48"/>
    <w:rsid w:val="00A37E80"/>
    <w:rsid w:val="00A414B2"/>
    <w:rsid w:val="00A415D5"/>
    <w:rsid w:val="00A41708"/>
    <w:rsid w:val="00A418A1"/>
    <w:rsid w:val="00A41A35"/>
    <w:rsid w:val="00A41FC8"/>
    <w:rsid w:val="00A4203B"/>
    <w:rsid w:val="00A427B3"/>
    <w:rsid w:val="00A428A6"/>
    <w:rsid w:val="00A4291D"/>
    <w:rsid w:val="00A42C2A"/>
    <w:rsid w:val="00A42DBA"/>
    <w:rsid w:val="00A43012"/>
    <w:rsid w:val="00A431EC"/>
    <w:rsid w:val="00A43AFA"/>
    <w:rsid w:val="00A441D4"/>
    <w:rsid w:val="00A44707"/>
    <w:rsid w:val="00A44BB0"/>
    <w:rsid w:val="00A44E30"/>
    <w:rsid w:val="00A45BFA"/>
    <w:rsid w:val="00A45E7E"/>
    <w:rsid w:val="00A463C6"/>
    <w:rsid w:val="00A4661A"/>
    <w:rsid w:val="00A50012"/>
    <w:rsid w:val="00A50095"/>
    <w:rsid w:val="00A504E5"/>
    <w:rsid w:val="00A50C8C"/>
    <w:rsid w:val="00A50E1E"/>
    <w:rsid w:val="00A52482"/>
    <w:rsid w:val="00A524B4"/>
    <w:rsid w:val="00A52897"/>
    <w:rsid w:val="00A531A7"/>
    <w:rsid w:val="00A53262"/>
    <w:rsid w:val="00A53872"/>
    <w:rsid w:val="00A53F13"/>
    <w:rsid w:val="00A54599"/>
    <w:rsid w:val="00A547BA"/>
    <w:rsid w:val="00A54D2F"/>
    <w:rsid w:val="00A553B7"/>
    <w:rsid w:val="00A55F04"/>
    <w:rsid w:val="00A56D26"/>
    <w:rsid w:val="00A5737A"/>
    <w:rsid w:val="00A600D6"/>
    <w:rsid w:val="00A6035D"/>
    <w:rsid w:val="00A604C1"/>
    <w:rsid w:val="00A60C34"/>
    <w:rsid w:val="00A61806"/>
    <w:rsid w:val="00A61D0F"/>
    <w:rsid w:val="00A61EC6"/>
    <w:rsid w:val="00A62015"/>
    <w:rsid w:val="00A62938"/>
    <w:rsid w:val="00A62A14"/>
    <w:rsid w:val="00A62C67"/>
    <w:rsid w:val="00A6306F"/>
    <w:rsid w:val="00A632A6"/>
    <w:rsid w:val="00A639ED"/>
    <w:rsid w:val="00A63BB3"/>
    <w:rsid w:val="00A63ED7"/>
    <w:rsid w:val="00A64408"/>
    <w:rsid w:val="00A647FB"/>
    <w:rsid w:val="00A64C5C"/>
    <w:rsid w:val="00A655F6"/>
    <w:rsid w:val="00A65B63"/>
    <w:rsid w:val="00A65E7E"/>
    <w:rsid w:val="00A66D3B"/>
    <w:rsid w:val="00A66E52"/>
    <w:rsid w:val="00A672B9"/>
    <w:rsid w:val="00A67601"/>
    <w:rsid w:val="00A67D43"/>
    <w:rsid w:val="00A70670"/>
    <w:rsid w:val="00A71732"/>
    <w:rsid w:val="00A71EDE"/>
    <w:rsid w:val="00A731C3"/>
    <w:rsid w:val="00A7338C"/>
    <w:rsid w:val="00A7350A"/>
    <w:rsid w:val="00A735FB"/>
    <w:rsid w:val="00A7381F"/>
    <w:rsid w:val="00A74838"/>
    <w:rsid w:val="00A74EAD"/>
    <w:rsid w:val="00A75A42"/>
    <w:rsid w:val="00A76151"/>
    <w:rsid w:val="00A76596"/>
    <w:rsid w:val="00A76960"/>
    <w:rsid w:val="00A77236"/>
    <w:rsid w:val="00A77359"/>
    <w:rsid w:val="00A7787E"/>
    <w:rsid w:val="00A77A97"/>
    <w:rsid w:val="00A77AD7"/>
    <w:rsid w:val="00A80051"/>
    <w:rsid w:val="00A8114B"/>
    <w:rsid w:val="00A81BEB"/>
    <w:rsid w:val="00A81D26"/>
    <w:rsid w:val="00A82B78"/>
    <w:rsid w:val="00A83B33"/>
    <w:rsid w:val="00A83ECF"/>
    <w:rsid w:val="00A84C27"/>
    <w:rsid w:val="00A85449"/>
    <w:rsid w:val="00A85522"/>
    <w:rsid w:val="00A85695"/>
    <w:rsid w:val="00A85FB0"/>
    <w:rsid w:val="00A8634D"/>
    <w:rsid w:val="00A865B2"/>
    <w:rsid w:val="00A86B37"/>
    <w:rsid w:val="00A87D88"/>
    <w:rsid w:val="00A87F46"/>
    <w:rsid w:val="00A901FC"/>
    <w:rsid w:val="00A90BAA"/>
    <w:rsid w:val="00A91490"/>
    <w:rsid w:val="00A914DB"/>
    <w:rsid w:val="00A91577"/>
    <w:rsid w:val="00A924C7"/>
    <w:rsid w:val="00A92900"/>
    <w:rsid w:val="00A92B67"/>
    <w:rsid w:val="00A92CB9"/>
    <w:rsid w:val="00A9372D"/>
    <w:rsid w:val="00A93788"/>
    <w:rsid w:val="00A9389E"/>
    <w:rsid w:val="00A93A7D"/>
    <w:rsid w:val="00A93DE6"/>
    <w:rsid w:val="00A9430F"/>
    <w:rsid w:val="00A943FA"/>
    <w:rsid w:val="00A94916"/>
    <w:rsid w:val="00A957E2"/>
    <w:rsid w:val="00A958B7"/>
    <w:rsid w:val="00A95B96"/>
    <w:rsid w:val="00A96244"/>
    <w:rsid w:val="00A96601"/>
    <w:rsid w:val="00A9693A"/>
    <w:rsid w:val="00A96ACF"/>
    <w:rsid w:val="00A96CEB"/>
    <w:rsid w:val="00A974F1"/>
    <w:rsid w:val="00A977A8"/>
    <w:rsid w:val="00A97C04"/>
    <w:rsid w:val="00AA0732"/>
    <w:rsid w:val="00AA07CE"/>
    <w:rsid w:val="00AA0A38"/>
    <w:rsid w:val="00AA153F"/>
    <w:rsid w:val="00AA1DCD"/>
    <w:rsid w:val="00AA20C6"/>
    <w:rsid w:val="00AA2192"/>
    <w:rsid w:val="00AA387F"/>
    <w:rsid w:val="00AA3D82"/>
    <w:rsid w:val="00AA4EDD"/>
    <w:rsid w:val="00AA52E2"/>
    <w:rsid w:val="00AA5945"/>
    <w:rsid w:val="00AA647A"/>
    <w:rsid w:val="00AA7868"/>
    <w:rsid w:val="00AA7D1E"/>
    <w:rsid w:val="00AB0094"/>
    <w:rsid w:val="00AB119E"/>
    <w:rsid w:val="00AB1824"/>
    <w:rsid w:val="00AB1B32"/>
    <w:rsid w:val="00AB22C2"/>
    <w:rsid w:val="00AB2571"/>
    <w:rsid w:val="00AB2DEC"/>
    <w:rsid w:val="00AB3544"/>
    <w:rsid w:val="00AB38BD"/>
    <w:rsid w:val="00AB3E68"/>
    <w:rsid w:val="00AB4C5C"/>
    <w:rsid w:val="00AB4E81"/>
    <w:rsid w:val="00AB52B4"/>
    <w:rsid w:val="00AB58F2"/>
    <w:rsid w:val="00AB5DFE"/>
    <w:rsid w:val="00AB6808"/>
    <w:rsid w:val="00AB68B4"/>
    <w:rsid w:val="00AB706D"/>
    <w:rsid w:val="00AB70E8"/>
    <w:rsid w:val="00AB7163"/>
    <w:rsid w:val="00AB7262"/>
    <w:rsid w:val="00AC0005"/>
    <w:rsid w:val="00AC01AA"/>
    <w:rsid w:val="00AC0741"/>
    <w:rsid w:val="00AC19F0"/>
    <w:rsid w:val="00AC1BF6"/>
    <w:rsid w:val="00AC1CFB"/>
    <w:rsid w:val="00AC1D56"/>
    <w:rsid w:val="00AC2727"/>
    <w:rsid w:val="00AC27B9"/>
    <w:rsid w:val="00AC2A8C"/>
    <w:rsid w:val="00AC2AC8"/>
    <w:rsid w:val="00AC36AB"/>
    <w:rsid w:val="00AC4160"/>
    <w:rsid w:val="00AC4343"/>
    <w:rsid w:val="00AC47D9"/>
    <w:rsid w:val="00AC4C54"/>
    <w:rsid w:val="00AC4D1C"/>
    <w:rsid w:val="00AC4EB6"/>
    <w:rsid w:val="00AC56C3"/>
    <w:rsid w:val="00AC58CB"/>
    <w:rsid w:val="00AC5C59"/>
    <w:rsid w:val="00AC5CD8"/>
    <w:rsid w:val="00AC5D3E"/>
    <w:rsid w:val="00AC7673"/>
    <w:rsid w:val="00AC797B"/>
    <w:rsid w:val="00AC7F10"/>
    <w:rsid w:val="00AD0742"/>
    <w:rsid w:val="00AD18A5"/>
    <w:rsid w:val="00AD1FBC"/>
    <w:rsid w:val="00AD26AF"/>
    <w:rsid w:val="00AD280E"/>
    <w:rsid w:val="00AD2E3E"/>
    <w:rsid w:val="00AD3E0B"/>
    <w:rsid w:val="00AD54A6"/>
    <w:rsid w:val="00AD5C79"/>
    <w:rsid w:val="00AD5E4B"/>
    <w:rsid w:val="00AD623B"/>
    <w:rsid w:val="00AD6867"/>
    <w:rsid w:val="00AD73F4"/>
    <w:rsid w:val="00AD786B"/>
    <w:rsid w:val="00AD7AFE"/>
    <w:rsid w:val="00AE0006"/>
    <w:rsid w:val="00AE014E"/>
    <w:rsid w:val="00AE0B02"/>
    <w:rsid w:val="00AE14B6"/>
    <w:rsid w:val="00AE161B"/>
    <w:rsid w:val="00AE1FC4"/>
    <w:rsid w:val="00AE2CE1"/>
    <w:rsid w:val="00AE37BB"/>
    <w:rsid w:val="00AE3CD4"/>
    <w:rsid w:val="00AE558D"/>
    <w:rsid w:val="00AE5C1E"/>
    <w:rsid w:val="00AE665F"/>
    <w:rsid w:val="00AE66A0"/>
    <w:rsid w:val="00AE69ED"/>
    <w:rsid w:val="00AE6D0C"/>
    <w:rsid w:val="00AE717C"/>
    <w:rsid w:val="00AE7469"/>
    <w:rsid w:val="00AF163F"/>
    <w:rsid w:val="00AF1D3F"/>
    <w:rsid w:val="00AF27C3"/>
    <w:rsid w:val="00AF2C75"/>
    <w:rsid w:val="00AF3207"/>
    <w:rsid w:val="00AF34B6"/>
    <w:rsid w:val="00AF3555"/>
    <w:rsid w:val="00AF3601"/>
    <w:rsid w:val="00AF484E"/>
    <w:rsid w:val="00AF4873"/>
    <w:rsid w:val="00AF5306"/>
    <w:rsid w:val="00AF54DE"/>
    <w:rsid w:val="00AF5F2D"/>
    <w:rsid w:val="00AF5F9C"/>
    <w:rsid w:val="00AF67F9"/>
    <w:rsid w:val="00B0145E"/>
    <w:rsid w:val="00B016A9"/>
    <w:rsid w:val="00B02AED"/>
    <w:rsid w:val="00B04C69"/>
    <w:rsid w:val="00B04D4B"/>
    <w:rsid w:val="00B04ED8"/>
    <w:rsid w:val="00B050C9"/>
    <w:rsid w:val="00B05342"/>
    <w:rsid w:val="00B063E6"/>
    <w:rsid w:val="00B07D71"/>
    <w:rsid w:val="00B10103"/>
    <w:rsid w:val="00B1039E"/>
    <w:rsid w:val="00B109DB"/>
    <w:rsid w:val="00B109EB"/>
    <w:rsid w:val="00B10A6E"/>
    <w:rsid w:val="00B10CC2"/>
    <w:rsid w:val="00B11208"/>
    <w:rsid w:val="00B113E5"/>
    <w:rsid w:val="00B11606"/>
    <w:rsid w:val="00B12125"/>
    <w:rsid w:val="00B126A0"/>
    <w:rsid w:val="00B12F52"/>
    <w:rsid w:val="00B1355C"/>
    <w:rsid w:val="00B13588"/>
    <w:rsid w:val="00B13B31"/>
    <w:rsid w:val="00B13C9D"/>
    <w:rsid w:val="00B152F7"/>
    <w:rsid w:val="00B154F1"/>
    <w:rsid w:val="00B1582B"/>
    <w:rsid w:val="00B16C33"/>
    <w:rsid w:val="00B1711A"/>
    <w:rsid w:val="00B176BE"/>
    <w:rsid w:val="00B17E98"/>
    <w:rsid w:val="00B17EB1"/>
    <w:rsid w:val="00B202EA"/>
    <w:rsid w:val="00B20EB4"/>
    <w:rsid w:val="00B21345"/>
    <w:rsid w:val="00B2151B"/>
    <w:rsid w:val="00B21B39"/>
    <w:rsid w:val="00B22CEE"/>
    <w:rsid w:val="00B238DF"/>
    <w:rsid w:val="00B23A3B"/>
    <w:rsid w:val="00B24114"/>
    <w:rsid w:val="00B2437E"/>
    <w:rsid w:val="00B2651E"/>
    <w:rsid w:val="00B26992"/>
    <w:rsid w:val="00B26F91"/>
    <w:rsid w:val="00B27801"/>
    <w:rsid w:val="00B27E34"/>
    <w:rsid w:val="00B27F24"/>
    <w:rsid w:val="00B30087"/>
    <w:rsid w:val="00B30191"/>
    <w:rsid w:val="00B30729"/>
    <w:rsid w:val="00B3078F"/>
    <w:rsid w:val="00B30DB2"/>
    <w:rsid w:val="00B31341"/>
    <w:rsid w:val="00B31E69"/>
    <w:rsid w:val="00B31F7B"/>
    <w:rsid w:val="00B32952"/>
    <w:rsid w:val="00B32B87"/>
    <w:rsid w:val="00B32C56"/>
    <w:rsid w:val="00B33391"/>
    <w:rsid w:val="00B3371D"/>
    <w:rsid w:val="00B3372C"/>
    <w:rsid w:val="00B3377B"/>
    <w:rsid w:val="00B33789"/>
    <w:rsid w:val="00B33B5F"/>
    <w:rsid w:val="00B342F7"/>
    <w:rsid w:val="00B35070"/>
    <w:rsid w:val="00B357A1"/>
    <w:rsid w:val="00B359D6"/>
    <w:rsid w:val="00B37355"/>
    <w:rsid w:val="00B40110"/>
    <w:rsid w:val="00B405F6"/>
    <w:rsid w:val="00B40A21"/>
    <w:rsid w:val="00B414AD"/>
    <w:rsid w:val="00B4198D"/>
    <w:rsid w:val="00B424DC"/>
    <w:rsid w:val="00B4257F"/>
    <w:rsid w:val="00B42869"/>
    <w:rsid w:val="00B42F49"/>
    <w:rsid w:val="00B436A2"/>
    <w:rsid w:val="00B43971"/>
    <w:rsid w:val="00B446E4"/>
    <w:rsid w:val="00B4485B"/>
    <w:rsid w:val="00B44EC6"/>
    <w:rsid w:val="00B45A85"/>
    <w:rsid w:val="00B45F3A"/>
    <w:rsid w:val="00B45F81"/>
    <w:rsid w:val="00B4609D"/>
    <w:rsid w:val="00B4659C"/>
    <w:rsid w:val="00B46712"/>
    <w:rsid w:val="00B46ED2"/>
    <w:rsid w:val="00B47A86"/>
    <w:rsid w:val="00B51067"/>
    <w:rsid w:val="00B510FC"/>
    <w:rsid w:val="00B513F4"/>
    <w:rsid w:val="00B52E6F"/>
    <w:rsid w:val="00B53794"/>
    <w:rsid w:val="00B53A97"/>
    <w:rsid w:val="00B53F44"/>
    <w:rsid w:val="00B542BD"/>
    <w:rsid w:val="00B54C12"/>
    <w:rsid w:val="00B55241"/>
    <w:rsid w:val="00B55502"/>
    <w:rsid w:val="00B561B5"/>
    <w:rsid w:val="00B5627C"/>
    <w:rsid w:val="00B563D0"/>
    <w:rsid w:val="00B56B73"/>
    <w:rsid w:val="00B56F3B"/>
    <w:rsid w:val="00B570D9"/>
    <w:rsid w:val="00B5724C"/>
    <w:rsid w:val="00B57580"/>
    <w:rsid w:val="00B60831"/>
    <w:rsid w:val="00B6099B"/>
    <w:rsid w:val="00B60EDF"/>
    <w:rsid w:val="00B615E5"/>
    <w:rsid w:val="00B61F2E"/>
    <w:rsid w:val="00B623B6"/>
    <w:rsid w:val="00B625BF"/>
    <w:rsid w:val="00B62709"/>
    <w:rsid w:val="00B6388E"/>
    <w:rsid w:val="00B6426B"/>
    <w:rsid w:val="00B64315"/>
    <w:rsid w:val="00B648CB"/>
    <w:rsid w:val="00B64EE1"/>
    <w:rsid w:val="00B6527B"/>
    <w:rsid w:val="00B6583A"/>
    <w:rsid w:val="00B65943"/>
    <w:rsid w:val="00B65AFA"/>
    <w:rsid w:val="00B65D51"/>
    <w:rsid w:val="00B66672"/>
    <w:rsid w:val="00B676B5"/>
    <w:rsid w:val="00B67F22"/>
    <w:rsid w:val="00B70F39"/>
    <w:rsid w:val="00B715F3"/>
    <w:rsid w:val="00B7189E"/>
    <w:rsid w:val="00B71A0E"/>
    <w:rsid w:val="00B71B57"/>
    <w:rsid w:val="00B7206A"/>
    <w:rsid w:val="00B7292D"/>
    <w:rsid w:val="00B72FE7"/>
    <w:rsid w:val="00B73644"/>
    <w:rsid w:val="00B73AAD"/>
    <w:rsid w:val="00B7402D"/>
    <w:rsid w:val="00B74307"/>
    <w:rsid w:val="00B745D4"/>
    <w:rsid w:val="00B74AF8"/>
    <w:rsid w:val="00B74D28"/>
    <w:rsid w:val="00B74DAB"/>
    <w:rsid w:val="00B7503C"/>
    <w:rsid w:val="00B75C7E"/>
    <w:rsid w:val="00B7610C"/>
    <w:rsid w:val="00B76D5C"/>
    <w:rsid w:val="00B803B1"/>
    <w:rsid w:val="00B80686"/>
    <w:rsid w:val="00B809B1"/>
    <w:rsid w:val="00B80A52"/>
    <w:rsid w:val="00B81D32"/>
    <w:rsid w:val="00B823C5"/>
    <w:rsid w:val="00B823CF"/>
    <w:rsid w:val="00B828B1"/>
    <w:rsid w:val="00B82A90"/>
    <w:rsid w:val="00B82BF2"/>
    <w:rsid w:val="00B8309F"/>
    <w:rsid w:val="00B830F4"/>
    <w:rsid w:val="00B831C9"/>
    <w:rsid w:val="00B833E6"/>
    <w:rsid w:val="00B83DD3"/>
    <w:rsid w:val="00B844CB"/>
    <w:rsid w:val="00B84EC2"/>
    <w:rsid w:val="00B84FEE"/>
    <w:rsid w:val="00B85953"/>
    <w:rsid w:val="00B85C44"/>
    <w:rsid w:val="00B86E12"/>
    <w:rsid w:val="00B872AA"/>
    <w:rsid w:val="00B8786F"/>
    <w:rsid w:val="00B90C5C"/>
    <w:rsid w:val="00B91031"/>
    <w:rsid w:val="00B91854"/>
    <w:rsid w:val="00B91F3E"/>
    <w:rsid w:val="00B92F0C"/>
    <w:rsid w:val="00B92F5C"/>
    <w:rsid w:val="00B933D2"/>
    <w:rsid w:val="00B93D85"/>
    <w:rsid w:val="00B94A55"/>
    <w:rsid w:val="00B94FA1"/>
    <w:rsid w:val="00B952AD"/>
    <w:rsid w:val="00B95587"/>
    <w:rsid w:val="00B95D6B"/>
    <w:rsid w:val="00B95EA9"/>
    <w:rsid w:val="00B9677C"/>
    <w:rsid w:val="00B96B0D"/>
    <w:rsid w:val="00B9770B"/>
    <w:rsid w:val="00B97BA0"/>
    <w:rsid w:val="00B97CCF"/>
    <w:rsid w:val="00BA1786"/>
    <w:rsid w:val="00BA2EC1"/>
    <w:rsid w:val="00BA300F"/>
    <w:rsid w:val="00BA3F5F"/>
    <w:rsid w:val="00BA40B3"/>
    <w:rsid w:val="00BA410E"/>
    <w:rsid w:val="00BA41EC"/>
    <w:rsid w:val="00BA42A6"/>
    <w:rsid w:val="00BA4B59"/>
    <w:rsid w:val="00BA4CE4"/>
    <w:rsid w:val="00BA60B5"/>
    <w:rsid w:val="00BA6C0C"/>
    <w:rsid w:val="00BA70B4"/>
    <w:rsid w:val="00BA7CB5"/>
    <w:rsid w:val="00BA7EFB"/>
    <w:rsid w:val="00BB0084"/>
    <w:rsid w:val="00BB0295"/>
    <w:rsid w:val="00BB0ABD"/>
    <w:rsid w:val="00BB150C"/>
    <w:rsid w:val="00BB17DD"/>
    <w:rsid w:val="00BB17E6"/>
    <w:rsid w:val="00BB24A3"/>
    <w:rsid w:val="00BB2C76"/>
    <w:rsid w:val="00BB3F89"/>
    <w:rsid w:val="00BB3F93"/>
    <w:rsid w:val="00BB41CE"/>
    <w:rsid w:val="00BB447B"/>
    <w:rsid w:val="00BB4775"/>
    <w:rsid w:val="00BB5B0D"/>
    <w:rsid w:val="00BB6614"/>
    <w:rsid w:val="00BB7273"/>
    <w:rsid w:val="00BC142D"/>
    <w:rsid w:val="00BC1DC4"/>
    <w:rsid w:val="00BC2241"/>
    <w:rsid w:val="00BC2B50"/>
    <w:rsid w:val="00BC3028"/>
    <w:rsid w:val="00BC3767"/>
    <w:rsid w:val="00BC37C9"/>
    <w:rsid w:val="00BC3965"/>
    <w:rsid w:val="00BC4075"/>
    <w:rsid w:val="00BC413C"/>
    <w:rsid w:val="00BC4306"/>
    <w:rsid w:val="00BC5800"/>
    <w:rsid w:val="00BC5EE3"/>
    <w:rsid w:val="00BC628A"/>
    <w:rsid w:val="00BC62A0"/>
    <w:rsid w:val="00BC67A0"/>
    <w:rsid w:val="00BC68E0"/>
    <w:rsid w:val="00BC723B"/>
    <w:rsid w:val="00BC788E"/>
    <w:rsid w:val="00BC7C85"/>
    <w:rsid w:val="00BD011B"/>
    <w:rsid w:val="00BD08B0"/>
    <w:rsid w:val="00BD110B"/>
    <w:rsid w:val="00BD14C1"/>
    <w:rsid w:val="00BD159F"/>
    <w:rsid w:val="00BD171F"/>
    <w:rsid w:val="00BD188A"/>
    <w:rsid w:val="00BD1903"/>
    <w:rsid w:val="00BD25CB"/>
    <w:rsid w:val="00BD272A"/>
    <w:rsid w:val="00BD28BF"/>
    <w:rsid w:val="00BD2AEE"/>
    <w:rsid w:val="00BD3245"/>
    <w:rsid w:val="00BD3513"/>
    <w:rsid w:val="00BD36C7"/>
    <w:rsid w:val="00BD36DF"/>
    <w:rsid w:val="00BD390C"/>
    <w:rsid w:val="00BD4093"/>
    <w:rsid w:val="00BD48BD"/>
    <w:rsid w:val="00BD49EB"/>
    <w:rsid w:val="00BD5106"/>
    <w:rsid w:val="00BD673F"/>
    <w:rsid w:val="00BD684C"/>
    <w:rsid w:val="00BD78FC"/>
    <w:rsid w:val="00BD7BC3"/>
    <w:rsid w:val="00BE01B3"/>
    <w:rsid w:val="00BE02FA"/>
    <w:rsid w:val="00BE12BF"/>
    <w:rsid w:val="00BE1574"/>
    <w:rsid w:val="00BE1808"/>
    <w:rsid w:val="00BE2028"/>
    <w:rsid w:val="00BE2361"/>
    <w:rsid w:val="00BE342B"/>
    <w:rsid w:val="00BE38A3"/>
    <w:rsid w:val="00BE4A18"/>
    <w:rsid w:val="00BE4C93"/>
    <w:rsid w:val="00BE5281"/>
    <w:rsid w:val="00BE52C2"/>
    <w:rsid w:val="00BE56AE"/>
    <w:rsid w:val="00BE67F8"/>
    <w:rsid w:val="00BE6C4E"/>
    <w:rsid w:val="00BE76EE"/>
    <w:rsid w:val="00BE7DC9"/>
    <w:rsid w:val="00BE7E74"/>
    <w:rsid w:val="00BF1733"/>
    <w:rsid w:val="00BF1838"/>
    <w:rsid w:val="00BF20ED"/>
    <w:rsid w:val="00BF2F75"/>
    <w:rsid w:val="00BF333D"/>
    <w:rsid w:val="00BF3C97"/>
    <w:rsid w:val="00BF3CC1"/>
    <w:rsid w:val="00BF4413"/>
    <w:rsid w:val="00BF4CDE"/>
    <w:rsid w:val="00BF4D27"/>
    <w:rsid w:val="00BF4FAC"/>
    <w:rsid w:val="00BF5652"/>
    <w:rsid w:val="00BF5C2D"/>
    <w:rsid w:val="00BF6412"/>
    <w:rsid w:val="00BF7743"/>
    <w:rsid w:val="00BF7FB6"/>
    <w:rsid w:val="00C00085"/>
    <w:rsid w:val="00C00266"/>
    <w:rsid w:val="00C0047D"/>
    <w:rsid w:val="00C00A9B"/>
    <w:rsid w:val="00C0124F"/>
    <w:rsid w:val="00C01A8E"/>
    <w:rsid w:val="00C02032"/>
    <w:rsid w:val="00C02245"/>
    <w:rsid w:val="00C022F1"/>
    <w:rsid w:val="00C02670"/>
    <w:rsid w:val="00C02E40"/>
    <w:rsid w:val="00C038C2"/>
    <w:rsid w:val="00C03997"/>
    <w:rsid w:val="00C03C9F"/>
    <w:rsid w:val="00C03D7F"/>
    <w:rsid w:val="00C0432A"/>
    <w:rsid w:val="00C05306"/>
    <w:rsid w:val="00C057AD"/>
    <w:rsid w:val="00C059E0"/>
    <w:rsid w:val="00C06A76"/>
    <w:rsid w:val="00C07083"/>
    <w:rsid w:val="00C070ED"/>
    <w:rsid w:val="00C07ADD"/>
    <w:rsid w:val="00C10538"/>
    <w:rsid w:val="00C108CC"/>
    <w:rsid w:val="00C10BCB"/>
    <w:rsid w:val="00C10C95"/>
    <w:rsid w:val="00C10CC0"/>
    <w:rsid w:val="00C10D88"/>
    <w:rsid w:val="00C1123C"/>
    <w:rsid w:val="00C11F29"/>
    <w:rsid w:val="00C12076"/>
    <w:rsid w:val="00C121A5"/>
    <w:rsid w:val="00C1273F"/>
    <w:rsid w:val="00C1292F"/>
    <w:rsid w:val="00C12A58"/>
    <w:rsid w:val="00C12CD0"/>
    <w:rsid w:val="00C12D32"/>
    <w:rsid w:val="00C1326C"/>
    <w:rsid w:val="00C14027"/>
    <w:rsid w:val="00C14336"/>
    <w:rsid w:val="00C14339"/>
    <w:rsid w:val="00C144D2"/>
    <w:rsid w:val="00C1481C"/>
    <w:rsid w:val="00C15154"/>
    <w:rsid w:val="00C151C9"/>
    <w:rsid w:val="00C153AB"/>
    <w:rsid w:val="00C153EA"/>
    <w:rsid w:val="00C1581A"/>
    <w:rsid w:val="00C16AA3"/>
    <w:rsid w:val="00C16D12"/>
    <w:rsid w:val="00C16FE5"/>
    <w:rsid w:val="00C17635"/>
    <w:rsid w:val="00C17832"/>
    <w:rsid w:val="00C1792B"/>
    <w:rsid w:val="00C17B4B"/>
    <w:rsid w:val="00C20246"/>
    <w:rsid w:val="00C205CD"/>
    <w:rsid w:val="00C20B0D"/>
    <w:rsid w:val="00C2165B"/>
    <w:rsid w:val="00C22031"/>
    <w:rsid w:val="00C22400"/>
    <w:rsid w:val="00C2272E"/>
    <w:rsid w:val="00C22D45"/>
    <w:rsid w:val="00C22EC0"/>
    <w:rsid w:val="00C23BB9"/>
    <w:rsid w:val="00C23C8F"/>
    <w:rsid w:val="00C23D16"/>
    <w:rsid w:val="00C241DC"/>
    <w:rsid w:val="00C2429D"/>
    <w:rsid w:val="00C25602"/>
    <w:rsid w:val="00C25BF0"/>
    <w:rsid w:val="00C25F91"/>
    <w:rsid w:val="00C26C2C"/>
    <w:rsid w:val="00C26CD9"/>
    <w:rsid w:val="00C273BD"/>
    <w:rsid w:val="00C27E9B"/>
    <w:rsid w:val="00C27EDA"/>
    <w:rsid w:val="00C31663"/>
    <w:rsid w:val="00C3172D"/>
    <w:rsid w:val="00C31FE7"/>
    <w:rsid w:val="00C3207A"/>
    <w:rsid w:val="00C325D2"/>
    <w:rsid w:val="00C33B0B"/>
    <w:rsid w:val="00C34048"/>
    <w:rsid w:val="00C34119"/>
    <w:rsid w:val="00C34A05"/>
    <w:rsid w:val="00C3524A"/>
    <w:rsid w:val="00C35BC1"/>
    <w:rsid w:val="00C3626B"/>
    <w:rsid w:val="00C363B9"/>
    <w:rsid w:val="00C36581"/>
    <w:rsid w:val="00C3663C"/>
    <w:rsid w:val="00C36CF8"/>
    <w:rsid w:val="00C407B9"/>
    <w:rsid w:val="00C41779"/>
    <w:rsid w:val="00C41B9E"/>
    <w:rsid w:val="00C41FC8"/>
    <w:rsid w:val="00C4215E"/>
    <w:rsid w:val="00C42407"/>
    <w:rsid w:val="00C43A51"/>
    <w:rsid w:val="00C43FA0"/>
    <w:rsid w:val="00C4421D"/>
    <w:rsid w:val="00C44827"/>
    <w:rsid w:val="00C45BF2"/>
    <w:rsid w:val="00C4681D"/>
    <w:rsid w:val="00C471E6"/>
    <w:rsid w:val="00C473CC"/>
    <w:rsid w:val="00C47873"/>
    <w:rsid w:val="00C47949"/>
    <w:rsid w:val="00C4794E"/>
    <w:rsid w:val="00C47A2C"/>
    <w:rsid w:val="00C50502"/>
    <w:rsid w:val="00C50AF1"/>
    <w:rsid w:val="00C50DFC"/>
    <w:rsid w:val="00C513F1"/>
    <w:rsid w:val="00C515F9"/>
    <w:rsid w:val="00C51C7F"/>
    <w:rsid w:val="00C51F2E"/>
    <w:rsid w:val="00C5241B"/>
    <w:rsid w:val="00C52917"/>
    <w:rsid w:val="00C535C8"/>
    <w:rsid w:val="00C536CC"/>
    <w:rsid w:val="00C53C11"/>
    <w:rsid w:val="00C543A1"/>
    <w:rsid w:val="00C54F3F"/>
    <w:rsid w:val="00C55D85"/>
    <w:rsid w:val="00C55E6C"/>
    <w:rsid w:val="00C5617C"/>
    <w:rsid w:val="00C561F3"/>
    <w:rsid w:val="00C56530"/>
    <w:rsid w:val="00C578FE"/>
    <w:rsid w:val="00C5790D"/>
    <w:rsid w:val="00C6000A"/>
    <w:rsid w:val="00C601DA"/>
    <w:rsid w:val="00C6053F"/>
    <w:rsid w:val="00C60A76"/>
    <w:rsid w:val="00C61B38"/>
    <w:rsid w:val="00C61E75"/>
    <w:rsid w:val="00C61ECD"/>
    <w:rsid w:val="00C61F1B"/>
    <w:rsid w:val="00C62236"/>
    <w:rsid w:val="00C6243A"/>
    <w:rsid w:val="00C6399A"/>
    <w:rsid w:val="00C63ABC"/>
    <w:rsid w:val="00C63FD2"/>
    <w:rsid w:val="00C6440F"/>
    <w:rsid w:val="00C645B5"/>
    <w:rsid w:val="00C65D61"/>
    <w:rsid w:val="00C6607C"/>
    <w:rsid w:val="00C66193"/>
    <w:rsid w:val="00C666C2"/>
    <w:rsid w:val="00C6715A"/>
    <w:rsid w:val="00C676A4"/>
    <w:rsid w:val="00C67890"/>
    <w:rsid w:val="00C678C4"/>
    <w:rsid w:val="00C70019"/>
    <w:rsid w:val="00C713FF"/>
    <w:rsid w:val="00C71910"/>
    <w:rsid w:val="00C71B7B"/>
    <w:rsid w:val="00C71B9D"/>
    <w:rsid w:val="00C7229D"/>
    <w:rsid w:val="00C725D7"/>
    <w:rsid w:val="00C72AF3"/>
    <w:rsid w:val="00C739DD"/>
    <w:rsid w:val="00C73CF4"/>
    <w:rsid w:val="00C73EE6"/>
    <w:rsid w:val="00C74D1B"/>
    <w:rsid w:val="00C74E34"/>
    <w:rsid w:val="00C752D2"/>
    <w:rsid w:val="00C75A08"/>
    <w:rsid w:val="00C75B8D"/>
    <w:rsid w:val="00C75E91"/>
    <w:rsid w:val="00C76E57"/>
    <w:rsid w:val="00C77287"/>
    <w:rsid w:val="00C77506"/>
    <w:rsid w:val="00C8039A"/>
    <w:rsid w:val="00C805FC"/>
    <w:rsid w:val="00C80A21"/>
    <w:rsid w:val="00C81602"/>
    <w:rsid w:val="00C81E04"/>
    <w:rsid w:val="00C8207F"/>
    <w:rsid w:val="00C823A2"/>
    <w:rsid w:val="00C85104"/>
    <w:rsid w:val="00C85D9D"/>
    <w:rsid w:val="00C86267"/>
    <w:rsid w:val="00C86776"/>
    <w:rsid w:val="00C86A1E"/>
    <w:rsid w:val="00C86BAC"/>
    <w:rsid w:val="00C87127"/>
    <w:rsid w:val="00C8773D"/>
    <w:rsid w:val="00C91052"/>
    <w:rsid w:val="00C9151B"/>
    <w:rsid w:val="00C91E43"/>
    <w:rsid w:val="00C925F1"/>
    <w:rsid w:val="00C9290D"/>
    <w:rsid w:val="00C92976"/>
    <w:rsid w:val="00C92C22"/>
    <w:rsid w:val="00C92E6D"/>
    <w:rsid w:val="00C92EE8"/>
    <w:rsid w:val="00C932CF"/>
    <w:rsid w:val="00C93634"/>
    <w:rsid w:val="00C93ABF"/>
    <w:rsid w:val="00C95A5F"/>
    <w:rsid w:val="00C95A8F"/>
    <w:rsid w:val="00C95E35"/>
    <w:rsid w:val="00C960E2"/>
    <w:rsid w:val="00C96275"/>
    <w:rsid w:val="00C965B6"/>
    <w:rsid w:val="00C965C0"/>
    <w:rsid w:val="00C96C20"/>
    <w:rsid w:val="00C96E49"/>
    <w:rsid w:val="00C976B2"/>
    <w:rsid w:val="00C97A6E"/>
    <w:rsid w:val="00CA0123"/>
    <w:rsid w:val="00CA090C"/>
    <w:rsid w:val="00CA1DE7"/>
    <w:rsid w:val="00CA2238"/>
    <w:rsid w:val="00CA242D"/>
    <w:rsid w:val="00CA29B4"/>
    <w:rsid w:val="00CA2FF0"/>
    <w:rsid w:val="00CA2FF3"/>
    <w:rsid w:val="00CA3B87"/>
    <w:rsid w:val="00CA3FF6"/>
    <w:rsid w:val="00CA53E4"/>
    <w:rsid w:val="00CA53FE"/>
    <w:rsid w:val="00CA56AA"/>
    <w:rsid w:val="00CA63D2"/>
    <w:rsid w:val="00CA6B94"/>
    <w:rsid w:val="00CA74D1"/>
    <w:rsid w:val="00CA79B3"/>
    <w:rsid w:val="00CA7E71"/>
    <w:rsid w:val="00CA7F6C"/>
    <w:rsid w:val="00CB0BAA"/>
    <w:rsid w:val="00CB100B"/>
    <w:rsid w:val="00CB10F7"/>
    <w:rsid w:val="00CB1D86"/>
    <w:rsid w:val="00CB1FC7"/>
    <w:rsid w:val="00CB39E5"/>
    <w:rsid w:val="00CB39EB"/>
    <w:rsid w:val="00CB4ABC"/>
    <w:rsid w:val="00CB5117"/>
    <w:rsid w:val="00CB56A4"/>
    <w:rsid w:val="00CB6A0D"/>
    <w:rsid w:val="00CB6A20"/>
    <w:rsid w:val="00CB7011"/>
    <w:rsid w:val="00CB711C"/>
    <w:rsid w:val="00CB74AE"/>
    <w:rsid w:val="00CB7846"/>
    <w:rsid w:val="00CB7F68"/>
    <w:rsid w:val="00CC0602"/>
    <w:rsid w:val="00CC15B3"/>
    <w:rsid w:val="00CC1D54"/>
    <w:rsid w:val="00CC1D84"/>
    <w:rsid w:val="00CC21C4"/>
    <w:rsid w:val="00CC2245"/>
    <w:rsid w:val="00CC295D"/>
    <w:rsid w:val="00CC2E20"/>
    <w:rsid w:val="00CC308E"/>
    <w:rsid w:val="00CC3FD6"/>
    <w:rsid w:val="00CC41C1"/>
    <w:rsid w:val="00CC44BE"/>
    <w:rsid w:val="00CC47B6"/>
    <w:rsid w:val="00CC54EF"/>
    <w:rsid w:val="00CC55B8"/>
    <w:rsid w:val="00CC5C5B"/>
    <w:rsid w:val="00CC6669"/>
    <w:rsid w:val="00CC66EF"/>
    <w:rsid w:val="00CC7F72"/>
    <w:rsid w:val="00CD056F"/>
    <w:rsid w:val="00CD104F"/>
    <w:rsid w:val="00CD1A96"/>
    <w:rsid w:val="00CD2688"/>
    <w:rsid w:val="00CD2FF1"/>
    <w:rsid w:val="00CD3323"/>
    <w:rsid w:val="00CD3612"/>
    <w:rsid w:val="00CD4120"/>
    <w:rsid w:val="00CD4394"/>
    <w:rsid w:val="00CD51B4"/>
    <w:rsid w:val="00CD617F"/>
    <w:rsid w:val="00CD7B29"/>
    <w:rsid w:val="00CD7FDF"/>
    <w:rsid w:val="00CE0BE1"/>
    <w:rsid w:val="00CE0F79"/>
    <w:rsid w:val="00CE19CF"/>
    <w:rsid w:val="00CE1A43"/>
    <w:rsid w:val="00CE1D1B"/>
    <w:rsid w:val="00CE2649"/>
    <w:rsid w:val="00CE3E62"/>
    <w:rsid w:val="00CE43AE"/>
    <w:rsid w:val="00CE5A6F"/>
    <w:rsid w:val="00CE5BD6"/>
    <w:rsid w:val="00CE5E1C"/>
    <w:rsid w:val="00CE5EE2"/>
    <w:rsid w:val="00CE635C"/>
    <w:rsid w:val="00CE6CC0"/>
    <w:rsid w:val="00CE7591"/>
    <w:rsid w:val="00CF032B"/>
    <w:rsid w:val="00CF145B"/>
    <w:rsid w:val="00CF1ADA"/>
    <w:rsid w:val="00CF1B65"/>
    <w:rsid w:val="00CF1F95"/>
    <w:rsid w:val="00CF2293"/>
    <w:rsid w:val="00CF236D"/>
    <w:rsid w:val="00CF26E0"/>
    <w:rsid w:val="00CF31F4"/>
    <w:rsid w:val="00CF3219"/>
    <w:rsid w:val="00CF37E5"/>
    <w:rsid w:val="00CF3805"/>
    <w:rsid w:val="00CF3CD3"/>
    <w:rsid w:val="00CF3F8B"/>
    <w:rsid w:val="00CF48FF"/>
    <w:rsid w:val="00CF4A1F"/>
    <w:rsid w:val="00CF54EB"/>
    <w:rsid w:val="00CF54F5"/>
    <w:rsid w:val="00CF58A8"/>
    <w:rsid w:val="00CF5C23"/>
    <w:rsid w:val="00CF6010"/>
    <w:rsid w:val="00CF6063"/>
    <w:rsid w:val="00CF616E"/>
    <w:rsid w:val="00CF65A8"/>
    <w:rsid w:val="00CF6DFF"/>
    <w:rsid w:val="00CF7933"/>
    <w:rsid w:val="00CF7A67"/>
    <w:rsid w:val="00CF7DA2"/>
    <w:rsid w:val="00CF7E3C"/>
    <w:rsid w:val="00D0008D"/>
    <w:rsid w:val="00D00115"/>
    <w:rsid w:val="00D0029C"/>
    <w:rsid w:val="00D0050A"/>
    <w:rsid w:val="00D008BD"/>
    <w:rsid w:val="00D00DB6"/>
    <w:rsid w:val="00D0213F"/>
    <w:rsid w:val="00D0214B"/>
    <w:rsid w:val="00D023D7"/>
    <w:rsid w:val="00D025A1"/>
    <w:rsid w:val="00D02A16"/>
    <w:rsid w:val="00D02AA5"/>
    <w:rsid w:val="00D02F0B"/>
    <w:rsid w:val="00D034F0"/>
    <w:rsid w:val="00D04039"/>
    <w:rsid w:val="00D04424"/>
    <w:rsid w:val="00D0519B"/>
    <w:rsid w:val="00D05944"/>
    <w:rsid w:val="00D05EF3"/>
    <w:rsid w:val="00D06140"/>
    <w:rsid w:val="00D06BA1"/>
    <w:rsid w:val="00D06E14"/>
    <w:rsid w:val="00D073E3"/>
    <w:rsid w:val="00D10342"/>
    <w:rsid w:val="00D1099C"/>
    <w:rsid w:val="00D10CE1"/>
    <w:rsid w:val="00D10E86"/>
    <w:rsid w:val="00D10EA9"/>
    <w:rsid w:val="00D11591"/>
    <w:rsid w:val="00D116E0"/>
    <w:rsid w:val="00D12203"/>
    <w:rsid w:val="00D12210"/>
    <w:rsid w:val="00D1245D"/>
    <w:rsid w:val="00D13563"/>
    <w:rsid w:val="00D1383E"/>
    <w:rsid w:val="00D14E00"/>
    <w:rsid w:val="00D15330"/>
    <w:rsid w:val="00D15A74"/>
    <w:rsid w:val="00D15CA8"/>
    <w:rsid w:val="00D15FCD"/>
    <w:rsid w:val="00D170DA"/>
    <w:rsid w:val="00D172C3"/>
    <w:rsid w:val="00D1785E"/>
    <w:rsid w:val="00D17CA2"/>
    <w:rsid w:val="00D20D3D"/>
    <w:rsid w:val="00D20F4E"/>
    <w:rsid w:val="00D22003"/>
    <w:rsid w:val="00D225AD"/>
    <w:rsid w:val="00D226A1"/>
    <w:rsid w:val="00D228F2"/>
    <w:rsid w:val="00D22BD8"/>
    <w:rsid w:val="00D22CB7"/>
    <w:rsid w:val="00D22D5C"/>
    <w:rsid w:val="00D2304A"/>
    <w:rsid w:val="00D24381"/>
    <w:rsid w:val="00D243B1"/>
    <w:rsid w:val="00D24A9D"/>
    <w:rsid w:val="00D24F6A"/>
    <w:rsid w:val="00D24FCF"/>
    <w:rsid w:val="00D25553"/>
    <w:rsid w:val="00D25C36"/>
    <w:rsid w:val="00D2625A"/>
    <w:rsid w:val="00D262B3"/>
    <w:rsid w:val="00D26689"/>
    <w:rsid w:val="00D26693"/>
    <w:rsid w:val="00D26F98"/>
    <w:rsid w:val="00D2746E"/>
    <w:rsid w:val="00D30518"/>
    <w:rsid w:val="00D30D11"/>
    <w:rsid w:val="00D3100D"/>
    <w:rsid w:val="00D314CA"/>
    <w:rsid w:val="00D31657"/>
    <w:rsid w:val="00D31AE3"/>
    <w:rsid w:val="00D31EBA"/>
    <w:rsid w:val="00D32023"/>
    <w:rsid w:val="00D32D01"/>
    <w:rsid w:val="00D32D67"/>
    <w:rsid w:val="00D3335B"/>
    <w:rsid w:val="00D3337A"/>
    <w:rsid w:val="00D33779"/>
    <w:rsid w:val="00D33CE9"/>
    <w:rsid w:val="00D33D74"/>
    <w:rsid w:val="00D3425A"/>
    <w:rsid w:val="00D343E9"/>
    <w:rsid w:val="00D35294"/>
    <w:rsid w:val="00D35312"/>
    <w:rsid w:val="00D3587C"/>
    <w:rsid w:val="00D35AAE"/>
    <w:rsid w:val="00D35B24"/>
    <w:rsid w:val="00D35EA7"/>
    <w:rsid w:val="00D36096"/>
    <w:rsid w:val="00D3634B"/>
    <w:rsid w:val="00D36547"/>
    <w:rsid w:val="00D36CDE"/>
    <w:rsid w:val="00D36EBA"/>
    <w:rsid w:val="00D3768B"/>
    <w:rsid w:val="00D37BD6"/>
    <w:rsid w:val="00D402F6"/>
    <w:rsid w:val="00D41783"/>
    <w:rsid w:val="00D41915"/>
    <w:rsid w:val="00D41954"/>
    <w:rsid w:val="00D41A30"/>
    <w:rsid w:val="00D42743"/>
    <w:rsid w:val="00D42752"/>
    <w:rsid w:val="00D42907"/>
    <w:rsid w:val="00D42FD6"/>
    <w:rsid w:val="00D43016"/>
    <w:rsid w:val="00D4360C"/>
    <w:rsid w:val="00D43927"/>
    <w:rsid w:val="00D44068"/>
    <w:rsid w:val="00D4438B"/>
    <w:rsid w:val="00D4493F"/>
    <w:rsid w:val="00D4620B"/>
    <w:rsid w:val="00D4631D"/>
    <w:rsid w:val="00D46645"/>
    <w:rsid w:val="00D46A86"/>
    <w:rsid w:val="00D46D05"/>
    <w:rsid w:val="00D47407"/>
    <w:rsid w:val="00D47752"/>
    <w:rsid w:val="00D47C42"/>
    <w:rsid w:val="00D50609"/>
    <w:rsid w:val="00D5152A"/>
    <w:rsid w:val="00D5195B"/>
    <w:rsid w:val="00D51E66"/>
    <w:rsid w:val="00D52157"/>
    <w:rsid w:val="00D52487"/>
    <w:rsid w:val="00D52D85"/>
    <w:rsid w:val="00D541E2"/>
    <w:rsid w:val="00D54307"/>
    <w:rsid w:val="00D54B7B"/>
    <w:rsid w:val="00D54D33"/>
    <w:rsid w:val="00D54D62"/>
    <w:rsid w:val="00D5503B"/>
    <w:rsid w:val="00D55713"/>
    <w:rsid w:val="00D5582F"/>
    <w:rsid w:val="00D55A32"/>
    <w:rsid w:val="00D55B25"/>
    <w:rsid w:val="00D55CC2"/>
    <w:rsid w:val="00D56053"/>
    <w:rsid w:val="00D57071"/>
    <w:rsid w:val="00D5738A"/>
    <w:rsid w:val="00D60305"/>
    <w:rsid w:val="00D611AF"/>
    <w:rsid w:val="00D61BA6"/>
    <w:rsid w:val="00D61FE5"/>
    <w:rsid w:val="00D62190"/>
    <w:rsid w:val="00D62477"/>
    <w:rsid w:val="00D62B89"/>
    <w:rsid w:val="00D62DCB"/>
    <w:rsid w:val="00D63459"/>
    <w:rsid w:val="00D637FA"/>
    <w:rsid w:val="00D63825"/>
    <w:rsid w:val="00D64BF6"/>
    <w:rsid w:val="00D64EDB"/>
    <w:rsid w:val="00D65195"/>
    <w:rsid w:val="00D6603E"/>
    <w:rsid w:val="00D662DB"/>
    <w:rsid w:val="00D666E4"/>
    <w:rsid w:val="00D667BD"/>
    <w:rsid w:val="00D668D0"/>
    <w:rsid w:val="00D66A1F"/>
    <w:rsid w:val="00D66A2F"/>
    <w:rsid w:val="00D67191"/>
    <w:rsid w:val="00D67AFF"/>
    <w:rsid w:val="00D70C3A"/>
    <w:rsid w:val="00D70DF9"/>
    <w:rsid w:val="00D710F6"/>
    <w:rsid w:val="00D712AF"/>
    <w:rsid w:val="00D714F6"/>
    <w:rsid w:val="00D7188B"/>
    <w:rsid w:val="00D71893"/>
    <w:rsid w:val="00D71D32"/>
    <w:rsid w:val="00D723ED"/>
    <w:rsid w:val="00D729F0"/>
    <w:rsid w:val="00D731B1"/>
    <w:rsid w:val="00D738C5"/>
    <w:rsid w:val="00D738D6"/>
    <w:rsid w:val="00D7395F"/>
    <w:rsid w:val="00D73CA9"/>
    <w:rsid w:val="00D74081"/>
    <w:rsid w:val="00D74466"/>
    <w:rsid w:val="00D746BD"/>
    <w:rsid w:val="00D756A4"/>
    <w:rsid w:val="00D7573A"/>
    <w:rsid w:val="00D75DE0"/>
    <w:rsid w:val="00D75DE5"/>
    <w:rsid w:val="00D76565"/>
    <w:rsid w:val="00D768A6"/>
    <w:rsid w:val="00D76C7B"/>
    <w:rsid w:val="00D76EEB"/>
    <w:rsid w:val="00D76FB3"/>
    <w:rsid w:val="00D77ABA"/>
    <w:rsid w:val="00D8003F"/>
    <w:rsid w:val="00D809E4"/>
    <w:rsid w:val="00D81670"/>
    <w:rsid w:val="00D81953"/>
    <w:rsid w:val="00D81DAE"/>
    <w:rsid w:val="00D82E4B"/>
    <w:rsid w:val="00D83094"/>
    <w:rsid w:val="00D83494"/>
    <w:rsid w:val="00D83809"/>
    <w:rsid w:val="00D8391F"/>
    <w:rsid w:val="00D83DEF"/>
    <w:rsid w:val="00D84826"/>
    <w:rsid w:val="00D84990"/>
    <w:rsid w:val="00D856A9"/>
    <w:rsid w:val="00D85860"/>
    <w:rsid w:val="00D86831"/>
    <w:rsid w:val="00D87266"/>
    <w:rsid w:val="00D8741C"/>
    <w:rsid w:val="00D90008"/>
    <w:rsid w:val="00D90BF9"/>
    <w:rsid w:val="00D912DB"/>
    <w:rsid w:val="00D91A94"/>
    <w:rsid w:val="00D91C10"/>
    <w:rsid w:val="00D92B3D"/>
    <w:rsid w:val="00D92B94"/>
    <w:rsid w:val="00D92E3C"/>
    <w:rsid w:val="00D934EA"/>
    <w:rsid w:val="00D941E9"/>
    <w:rsid w:val="00D94394"/>
    <w:rsid w:val="00D94B86"/>
    <w:rsid w:val="00D953C1"/>
    <w:rsid w:val="00D95459"/>
    <w:rsid w:val="00D960CD"/>
    <w:rsid w:val="00D96157"/>
    <w:rsid w:val="00D96AD8"/>
    <w:rsid w:val="00D974B3"/>
    <w:rsid w:val="00D974FD"/>
    <w:rsid w:val="00D979A0"/>
    <w:rsid w:val="00D97B9F"/>
    <w:rsid w:val="00DA0172"/>
    <w:rsid w:val="00DA0EDC"/>
    <w:rsid w:val="00DA13FD"/>
    <w:rsid w:val="00DA19FA"/>
    <w:rsid w:val="00DA1B44"/>
    <w:rsid w:val="00DA2D10"/>
    <w:rsid w:val="00DA2D27"/>
    <w:rsid w:val="00DA2D28"/>
    <w:rsid w:val="00DA3223"/>
    <w:rsid w:val="00DA366F"/>
    <w:rsid w:val="00DA3D99"/>
    <w:rsid w:val="00DA3E77"/>
    <w:rsid w:val="00DA4210"/>
    <w:rsid w:val="00DA430F"/>
    <w:rsid w:val="00DA4B98"/>
    <w:rsid w:val="00DA4C5F"/>
    <w:rsid w:val="00DA5072"/>
    <w:rsid w:val="00DA5706"/>
    <w:rsid w:val="00DA5BB7"/>
    <w:rsid w:val="00DA62E8"/>
    <w:rsid w:val="00DA63BA"/>
    <w:rsid w:val="00DA6608"/>
    <w:rsid w:val="00DA697C"/>
    <w:rsid w:val="00DA6BB0"/>
    <w:rsid w:val="00DA7992"/>
    <w:rsid w:val="00DA7C36"/>
    <w:rsid w:val="00DB08E3"/>
    <w:rsid w:val="00DB1209"/>
    <w:rsid w:val="00DB129A"/>
    <w:rsid w:val="00DB158D"/>
    <w:rsid w:val="00DB224F"/>
    <w:rsid w:val="00DB2736"/>
    <w:rsid w:val="00DB27FC"/>
    <w:rsid w:val="00DB28F5"/>
    <w:rsid w:val="00DB2BD7"/>
    <w:rsid w:val="00DB3B1D"/>
    <w:rsid w:val="00DB3E8D"/>
    <w:rsid w:val="00DB441B"/>
    <w:rsid w:val="00DB453B"/>
    <w:rsid w:val="00DB4701"/>
    <w:rsid w:val="00DB4866"/>
    <w:rsid w:val="00DB5186"/>
    <w:rsid w:val="00DB5204"/>
    <w:rsid w:val="00DB529A"/>
    <w:rsid w:val="00DB5375"/>
    <w:rsid w:val="00DB5A85"/>
    <w:rsid w:val="00DB62D0"/>
    <w:rsid w:val="00DB66B0"/>
    <w:rsid w:val="00DB687B"/>
    <w:rsid w:val="00DB7066"/>
    <w:rsid w:val="00DB7378"/>
    <w:rsid w:val="00DB7459"/>
    <w:rsid w:val="00DB784B"/>
    <w:rsid w:val="00DB7C36"/>
    <w:rsid w:val="00DB7E16"/>
    <w:rsid w:val="00DC02FC"/>
    <w:rsid w:val="00DC111D"/>
    <w:rsid w:val="00DC1724"/>
    <w:rsid w:val="00DC1930"/>
    <w:rsid w:val="00DC1B44"/>
    <w:rsid w:val="00DC1C54"/>
    <w:rsid w:val="00DC1D1B"/>
    <w:rsid w:val="00DC2215"/>
    <w:rsid w:val="00DC27CE"/>
    <w:rsid w:val="00DC2F1A"/>
    <w:rsid w:val="00DC3B0A"/>
    <w:rsid w:val="00DC3B46"/>
    <w:rsid w:val="00DC3DC0"/>
    <w:rsid w:val="00DC4844"/>
    <w:rsid w:val="00DC5982"/>
    <w:rsid w:val="00DC5AA2"/>
    <w:rsid w:val="00DC6E3A"/>
    <w:rsid w:val="00DC6E56"/>
    <w:rsid w:val="00DC6E86"/>
    <w:rsid w:val="00DC7495"/>
    <w:rsid w:val="00DC7603"/>
    <w:rsid w:val="00DC76DD"/>
    <w:rsid w:val="00DC7C6C"/>
    <w:rsid w:val="00DC7E68"/>
    <w:rsid w:val="00DD02E6"/>
    <w:rsid w:val="00DD0453"/>
    <w:rsid w:val="00DD0A0C"/>
    <w:rsid w:val="00DD19B4"/>
    <w:rsid w:val="00DD1B2E"/>
    <w:rsid w:val="00DD1B2F"/>
    <w:rsid w:val="00DD1FF3"/>
    <w:rsid w:val="00DD21AA"/>
    <w:rsid w:val="00DD2219"/>
    <w:rsid w:val="00DD2230"/>
    <w:rsid w:val="00DD2688"/>
    <w:rsid w:val="00DD269A"/>
    <w:rsid w:val="00DD300D"/>
    <w:rsid w:val="00DD3A18"/>
    <w:rsid w:val="00DD3D6D"/>
    <w:rsid w:val="00DD4826"/>
    <w:rsid w:val="00DD53DA"/>
    <w:rsid w:val="00DD5888"/>
    <w:rsid w:val="00DD5DEB"/>
    <w:rsid w:val="00DD6236"/>
    <w:rsid w:val="00DD6604"/>
    <w:rsid w:val="00DD6BBF"/>
    <w:rsid w:val="00DD73F8"/>
    <w:rsid w:val="00DD7748"/>
    <w:rsid w:val="00DD7D08"/>
    <w:rsid w:val="00DD7D66"/>
    <w:rsid w:val="00DD7FEF"/>
    <w:rsid w:val="00DE009A"/>
    <w:rsid w:val="00DE0373"/>
    <w:rsid w:val="00DE038A"/>
    <w:rsid w:val="00DE076A"/>
    <w:rsid w:val="00DE0F0D"/>
    <w:rsid w:val="00DE11F7"/>
    <w:rsid w:val="00DE12FA"/>
    <w:rsid w:val="00DE134F"/>
    <w:rsid w:val="00DE1CE8"/>
    <w:rsid w:val="00DE2087"/>
    <w:rsid w:val="00DE249F"/>
    <w:rsid w:val="00DE30AF"/>
    <w:rsid w:val="00DE3874"/>
    <w:rsid w:val="00DE4F7E"/>
    <w:rsid w:val="00DE563B"/>
    <w:rsid w:val="00DE56A9"/>
    <w:rsid w:val="00DE5777"/>
    <w:rsid w:val="00DE5B93"/>
    <w:rsid w:val="00DE5F17"/>
    <w:rsid w:val="00DE627F"/>
    <w:rsid w:val="00DE6C7C"/>
    <w:rsid w:val="00DE7184"/>
    <w:rsid w:val="00DE7B40"/>
    <w:rsid w:val="00DE7BFF"/>
    <w:rsid w:val="00DE7C64"/>
    <w:rsid w:val="00DE7C73"/>
    <w:rsid w:val="00DF05E7"/>
    <w:rsid w:val="00DF08E6"/>
    <w:rsid w:val="00DF091E"/>
    <w:rsid w:val="00DF0A32"/>
    <w:rsid w:val="00DF0EA5"/>
    <w:rsid w:val="00DF18A8"/>
    <w:rsid w:val="00DF1C5D"/>
    <w:rsid w:val="00DF2A1B"/>
    <w:rsid w:val="00DF342D"/>
    <w:rsid w:val="00DF346C"/>
    <w:rsid w:val="00DF3D08"/>
    <w:rsid w:val="00DF4110"/>
    <w:rsid w:val="00DF487F"/>
    <w:rsid w:val="00DF4CAD"/>
    <w:rsid w:val="00DF4DC2"/>
    <w:rsid w:val="00DF4E4A"/>
    <w:rsid w:val="00DF4F89"/>
    <w:rsid w:val="00DF528A"/>
    <w:rsid w:val="00DF52B7"/>
    <w:rsid w:val="00DF5DAF"/>
    <w:rsid w:val="00DF5F1C"/>
    <w:rsid w:val="00DF6252"/>
    <w:rsid w:val="00DF64C8"/>
    <w:rsid w:val="00DF66EE"/>
    <w:rsid w:val="00DF6A14"/>
    <w:rsid w:val="00DF7D5F"/>
    <w:rsid w:val="00E001D6"/>
    <w:rsid w:val="00E007EC"/>
    <w:rsid w:val="00E00929"/>
    <w:rsid w:val="00E0182F"/>
    <w:rsid w:val="00E018A7"/>
    <w:rsid w:val="00E01A70"/>
    <w:rsid w:val="00E01AE8"/>
    <w:rsid w:val="00E023DB"/>
    <w:rsid w:val="00E04844"/>
    <w:rsid w:val="00E0498B"/>
    <w:rsid w:val="00E04990"/>
    <w:rsid w:val="00E04D81"/>
    <w:rsid w:val="00E04F24"/>
    <w:rsid w:val="00E050EA"/>
    <w:rsid w:val="00E058F3"/>
    <w:rsid w:val="00E0647A"/>
    <w:rsid w:val="00E0684B"/>
    <w:rsid w:val="00E0763C"/>
    <w:rsid w:val="00E07674"/>
    <w:rsid w:val="00E10247"/>
    <w:rsid w:val="00E10615"/>
    <w:rsid w:val="00E10A57"/>
    <w:rsid w:val="00E11BC2"/>
    <w:rsid w:val="00E12427"/>
    <w:rsid w:val="00E12A1D"/>
    <w:rsid w:val="00E12B22"/>
    <w:rsid w:val="00E12F0B"/>
    <w:rsid w:val="00E13279"/>
    <w:rsid w:val="00E13596"/>
    <w:rsid w:val="00E13C10"/>
    <w:rsid w:val="00E1427C"/>
    <w:rsid w:val="00E14EC5"/>
    <w:rsid w:val="00E15CC4"/>
    <w:rsid w:val="00E15F68"/>
    <w:rsid w:val="00E16230"/>
    <w:rsid w:val="00E169CF"/>
    <w:rsid w:val="00E1723F"/>
    <w:rsid w:val="00E177FF"/>
    <w:rsid w:val="00E206FD"/>
    <w:rsid w:val="00E20E94"/>
    <w:rsid w:val="00E22E92"/>
    <w:rsid w:val="00E2376D"/>
    <w:rsid w:val="00E23C4B"/>
    <w:rsid w:val="00E23DC8"/>
    <w:rsid w:val="00E2453E"/>
    <w:rsid w:val="00E24803"/>
    <w:rsid w:val="00E249C1"/>
    <w:rsid w:val="00E25459"/>
    <w:rsid w:val="00E25511"/>
    <w:rsid w:val="00E25843"/>
    <w:rsid w:val="00E262F7"/>
    <w:rsid w:val="00E26803"/>
    <w:rsid w:val="00E277A7"/>
    <w:rsid w:val="00E27BBF"/>
    <w:rsid w:val="00E3037D"/>
    <w:rsid w:val="00E3041E"/>
    <w:rsid w:val="00E30FFA"/>
    <w:rsid w:val="00E312D3"/>
    <w:rsid w:val="00E31500"/>
    <w:rsid w:val="00E31501"/>
    <w:rsid w:val="00E31654"/>
    <w:rsid w:val="00E3217C"/>
    <w:rsid w:val="00E324BB"/>
    <w:rsid w:val="00E327C2"/>
    <w:rsid w:val="00E32C23"/>
    <w:rsid w:val="00E3302C"/>
    <w:rsid w:val="00E33163"/>
    <w:rsid w:val="00E33213"/>
    <w:rsid w:val="00E339E4"/>
    <w:rsid w:val="00E34014"/>
    <w:rsid w:val="00E34055"/>
    <w:rsid w:val="00E34562"/>
    <w:rsid w:val="00E347BB"/>
    <w:rsid w:val="00E349FA"/>
    <w:rsid w:val="00E34FF9"/>
    <w:rsid w:val="00E366BF"/>
    <w:rsid w:val="00E36715"/>
    <w:rsid w:val="00E36F80"/>
    <w:rsid w:val="00E36FFF"/>
    <w:rsid w:val="00E3710E"/>
    <w:rsid w:val="00E37422"/>
    <w:rsid w:val="00E3757F"/>
    <w:rsid w:val="00E37781"/>
    <w:rsid w:val="00E379AB"/>
    <w:rsid w:val="00E379FD"/>
    <w:rsid w:val="00E37BAE"/>
    <w:rsid w:val="00E37C8A"/>
    <w:rsid w:val="00E408D6"/>
    <w:rsid w:val="00E41060"/>
    <w:rsid w:val="00E410E6"/>
    <w:rsid w:val="00E418DE"/>
    <w:rsid w:val="00E41C36"/>
    <w:rsid w:val="00E4202C"/>
    <w:rsid w:val="00E4267C"/>
    <w:rsid w:val="00E42856"/>
    <w:rsid w:val="00E4287C"/>
    <w:rsid w:val="00E43691"/>
    <w:rsid w:val="00E43A3C"/>
    <w:rsid w:val="00E43D52"/>
    <w:rsid w:val="00E440FA"/>
    <w:rsid w:val="00E4525C"/>
    <w:rsid w:val="00E453F3"/>
    <w:rsid w:val="00E4566D"/>
    <w:rsid w:val="00E45A7D"/>
    <w:rsid w:val="00E45D92"/>
    <w:rsid w:val="00E46B7A"/>
    <w:rsid w:val="00E46DF6"/>
    <w:rsid w:val="00E47776"/>
    <w:rsid w:val="00E4789E"/>
    <w:rsid w:val="00E504F8"/>
    <w:rsid w:val="00E5089C"/>
    <w:rsid w:val="00E50AB6"/>
    <w:rsid w:val="00E50BF7"/>
    <w:rsid w:val="00E50C45"/>
    <w:rsid w:val="00E50E96"/>
    <w:rsid w:val="00E51916"/>
    <w:rsid w:val="00E522C1"/>
    <w:rsid w:val="00E5360D"/>
    <w:rsid w:val="00E53911"/>
    <w:rsid w:val="00E540E9"/>
    <w:rsid w:val="00E545E5"/>
    <w:rsid w:val="00E54A4C"/>
    <w:rsid w:val="00E550D1"/>
    <w:rsid w:val="00E555BE"/>
    <w:rsid w:val="00E55DCF"/>
    <w:rsid w:val="00E56018"/>
    <w:rsid w:val="00E56BEB"/>
    <w:rsid w:val="00E601C5"/>
    <w:rsid w:val="00E60365"/>
    <w:rsid w:val="00E60DAC"/>
    <w:rsid w:val="00E613B8"/>
    <w:rsid w:val="00E6183E"/>
    <w:rsid w:val="00E619BF"/>
    <w:rsid w:val="00E61C08"/>
    <w:rsid w:val="00E61E89"/>
    <w:rsid w:val="00E61FC4"/>
    <w:rsid w:val="00E6247A"/>
    <w:rsid w:val="00E62EC7"/>
    <w:rsid w:val="00E631A5"/>
    <w:rsid w:val="00E63441"/>
    <w:rsid w:val="00E63806"/>
    <w:rsid w:val="00E63890"/>
    <w:rsid w:val="00E63F63"/>
    <w:rsid w:val="00E644F1"/>
    <w:rsid w:val="00E64612"/>
    <w:rsid w:val="00E64F1E"/>
    <w:rsid w:val="00E64F90"/>
    <w:rsid w:val="00E65118"/>
    <w:rsid w:val="00E65255"/>
    <w:rsid w:val="00E65991"/>
    <w:rsid w:val="00E6633A"/>
    <w:rsid w:val="00E66349"/>
    <w:rsid w:val="00E6707C"/>
    <w:rsid w:val="00E671C7"/>
    <w:rsid w:val="00E67259"/>
    <w:rsid w:val="00E675D5"/>
    <w:rsid w:val="00E67D2F"/>
    <w:rsid w:val="00E70154"/>
    <w:rsid w:val="00E705EB"/>
    <w:rsid w:val="00E7156E"/>
    <w:rsid w:val="00E734E2"/>
    <w:rsid w:val="00E73608"/>
    <w:rsid w:val="00E739A4"/>
    <w:rsid w:val="00E739F2"/>
    <w:rsid w:val="00E73B17"/>
    <w:rsid w:val="00E74178"/>
    <w:rsid w:val="00E7417D"/>
    <w:rsid w:val="00E74397"/>
    <w:rsid w:val="00E747D3"/>
    <w:rsid w:val="00E748D4"/>
    <w:rsid w:val="00E74DFD"/>
    <w:rsid w:val="00E75113"/>
    <w:rsid w:val="00E75118"/>
    <w:rsid w:val="00E7638F"/>
    <w:rsid w:val="00E76941"/>
    <w:rsid w:val="00E77372"/>
    <w:rsid w:val="00E77460"/>
    <w:rsid w:val="00E77998"/>
    <w:rsid w:val="00E77B5B"/>
    <w:rsid w:val="00E80147"/>
    <w:rsid w:val="00E804E8"/>
    <w:rsid w:val="00E80599"/>
    <w:rsid w:val="00E80942"/>
    <w:rsid w:val="00E810C2"/>
    <w:rsid w:val="00E815B1"/>
    <w:rsid w:val="00E82033"/>
    <w:rsid w:val="00E82B48"/>
    <w:rsid w:val="00E830F9"/>
    <w:rsid w:val="00E83578"/>
    <w:rsid w:val="00E8441F"/>
    <w:rsid w:val="00E849D9"/>
    <w:rsid w:val="00E84D0A"/>
    <w:rsid w:val="00E84D13"/>
    <w:rsid w:val="00E84E1B"/>
    <w:rsid w:val="00E84E7E"/>
    <w:rsid w:val="00E85471"/>
    <w:rsid w:val="00E859CA"/>
    <w:rsid w:val="00E86897"/>
    <w:rsid w:val="00E8706F"/>
    <w:rsid w:val="00E8780A"/>
    <w:rsid w:val="00E879D7"/>
    <w:rsid w:val="00E903AC"/>
    <w:rsid w:val="00E90521"/>
    <w:rsid w:val="00E9076F"/>
    <w:rsid w:val="00E907F9"/>
    <w:rsid w:val="00E91423"/>
    <w:rsid w:val="00E9171C"/>
    <w:rsid w:val="00E92A68"/>
    <w:rsid w:val="00E92D01"/>
    <w:rsid w:val="00E934E1"/>
    <w:rsid w:val="00E93F59"/>
    <w:rsid w:val="00E94C55"/>
    <w:rsid w:val="00E94F41"/>
    <w:rsid w:val="00E9637B"/>
    <w:rsid w:val="00E96654"/>
    <w:rsid w:val="00E96BE4"/>
    <w:rsid w:val="00E9710E"/>
    <w:rsid w:val="00E973A6"/>
    <w:rsid w:val="00E97453"/>
    <w:rsid w:val="00E97B96"/>
    <w:rsid w:val="00EA0346"/>
    <w:rsid w:val="00EA0744"/>
    <w:rsid w:val="00EA0A70"/>
    <w:rsid w:val="00EA0C3C"/>
    <w:rsid w:val="00EA0D30"/>
    <w:rsid w:val="00EA13FF"/>
    <w:rsid w:val="00EA1AEF"/>
    <w:rsid w:val="00EA1B38"/>
    <w:rsid w:val="00EA1B39"/>
    <w:rsid w:val="00EA3304"/>
    <w:rsid w:val="00EA3480"/>
    <w:rsid w:val="00EA3522"/>
    <w:rsid w:val="00EA39CB"/>
    <w:rsid w:val="00EA3F8B"/>
    <w:rsid w:val="00EA4FB6"/>
    <w:rsid w:val="00EA597E"/>
    <w:rsid w:val="00EA5A95"/>
    <w:rsid w:val="00EA5BEC"/>
    <w:rsid w:val="00EA5D2E"/>
    <w:rsid w:val="00EA6747"/>
    <w:rsid w:val="00EA6AD1"/>
    <w:rsid w:val="00EA6D91"/>
    <w:rsid w:val="00EA6F71"/>
    <w:rsid w:val="00EA75AB"/>
    <w:rsid w:val="00EA7641"/>
    <w:rsid w:val="00EA7A66"/>
    <w:rsid w:val="00EA7DAA"/>
    <w:rsid w:val="00EB06D9"/>
    <w:rsid w:val="00EB1263"/>
    <w:rsid w:val="00EB12C9"/>
    <w:rsid w:val="00EB167F"/>
    <w:rsid w:val="00EB24B3"/>
    <w:rsid w:val="00EB261A"/>
    <w:rsid w:val="00EB2946"/>
    <w:rsid w:val="00EB2C56"/>
    <w:rsid w:val="00EB2CAB"/>
    <w:rsid w:val="00EB2E24"/>
    <w:rsid w:val="00EB316D"/>
    <w:rsid w:val="00EB3300"/>
    <w:rsid w:val="00EB3A38"/>
    <w:rsid w:val="00EB3EE5"/>
    <w:rsid w:val="00EB4A5E"/>
    <w:rsid w:val="00EB4E43"/>
    <w:rsid w:val="00EB516D"/>
    <w:rsid w:val="00EB5AA6"/>
    <w:rsid w:val="00EB60D5"/>
    <w:rsid w:val="00EB615A"/>
    <w:rsid w:val="00EB651B"/>
    <w:rsid w:val="00EB6584"/>
    <w:rsid w:val="00EB6B40"/>
    <w:rsid w:val="00EB6C78"/>
    <w:rsid w:val="00EB727D"/>
    <w:rsid w:val="00EC0192"/>
    <w:rsid w:val="00EC09C6"/>
    <w:rsid w:val="00EC09DA"/>
    <w:rsid w:val="00EC0BE7"/>
    <w:rsid w:val="00EC14EA"/>
    <w:rsid w:val="00EC1A1D"/>
    <w:rsid w:val="00EC1F33"/>
    <w:rsid w:val="00EC205C"/>
    <w:rsid w:val="00EC2198"/>
    <w:rsid w:val="00EC23DB"/>
    <w:rsid w:val="00EC2AC1"/>
    <w:rsid w:val="00EC34D8"/>
    <w:rsid w:val="00EC41A0"/>
    <w:rsid w:val="00EC4321"/>
    <w:rsid w:val="00EC498D"/>
    <w:rsid w:val="00EC4D07"/>
    <w:rsid w:val="00EC4F8E"/>
    <w:rsid w:val="00EC5143"/>
    <w:rsid w:val="00EC5648"/>
    <w:rsid w:val="00EC5D24"/>
    <w:rsid w:val="00EC5E54"/>
    <w:rsid w:val="00EC6341"/>
    <w:rsid w:val="00EC691D"/>
    <w:rsid w:val="00EC6A8F"/>
    <w:rsid w:val="00EC77B3"/>
    <w:rsid w:val="00EC78DB"/>
    <w:rsid w:val="00ED0249"/>
    <w:rsid w:val="00ED0625"/>
    <w:rsid w:val="00ED094F"/>
    <w:rsid w:val="00ED0BC4"/>
    <w:rsid w:val="00ED10D0"/>
    <w:rsid w:val="00ED1E2D"/>
    <w:rsid w:val="00ED237A"/>
    <w:rsid w:val="00ED2800"/>
    <w:rsid w:val="00ED2C99"/>
    <w:rsid w:val="00ED2E6D"/>
    <w:rsid w:val="00ED41C0"/>
    <w:rsid w:val="00ED4A09"/>
    <w:rsid w:val="00ED4F38"/>
    <w:rsid w:val="00ED5161"/>
    <w:rsid w:val="00ED58AF"/>
    <w:rsid w:val="00ED5C77"/>
    <w:rsid w:val="00ED67C5"/>
    <w:rsid w:val="00ED6C3A"/>
    <w:rsid w:val="00ED7DBC"/>
    <w:rsid w:val="00EE15B2"/>
    <w:rsid w:val="00EE1F62"/>
    <w:rsid w:val="00EE29F4"/>
    <w:rsid w:val="00EE2B29"/>
    <w:rsid w:val="00EE3A5D"/>
    <w:rsid w:val="00EE40A5"/>
    <w:rsid w:val="00EE4206"/>
    <w:rsid w:val="00EE4959"/>
    <w:rsid w:val="00EE4D43"/>
    <w:rsid w:val="00EE5758"/>
    <w:rsid w:val="00EE60F9"/>
    <w:rsid w:val="00EE6151"/>
    <w:rsid w:val="00EE6FF4"/>
    <w:rsid w:val="00EE7010"/>
    <w:rsid w:val="00EE7717"/>
    <w:rsid w:val="00EE7B36"/>
    <w:rsid w:val="00EE7BE8"/>
    <w:rsid w:val="00EE7CCE"/>
    <w:rsid w:val="00EF02AA"/>
    <w:rsid w:val="00EF07FC"/>
    <w:rsid w:val="00EF0AE0"/>
    <w:rsid w:val="00EF0C16"/>
    <w:rsid w:val="00EF16A2"/>
    <w:rsid w:val="00EF1A46"/>
    <w:rsid w:val="00EF1D18"/>
    <w:rsid w:val="00EF1F5D"/>
    <w:rsid w:val="00EF2A42"/>
    <w:rsid w:val="00EF2E30"/>
    <w:rsid w:val="00EF2F42"/>
    <w:rsid w:val="00EF349F"/>
    <w:rsid w:val="00EF364C"/>
    <w:rsid w:val="00EF392C"/>
    <w:rsid w:val="00EF3C17"/>
    <w:rsid w:val="00EF3D15"/>
    <w:rsid w:val="00EF3E39"/>
    <w:rsid w:val="00EF45E5"/>
    <w:rsid w:val="00EF481C"/>
    <w:rsid w:val="00EF4DC3"/>
    <w:rsid w:val="00EF4ECF"/>
    <w:rsid w:val="00EF5DDF"/>
    <w:rsid w:val="00EF5E0A"/>
    <w:rsid w:val="00EF601A"/>
    <w:rsid w:val="00EF6A65"/>
    <w:rsid w:val="00EF760E"/>
    <w:rsid w:val="00EF798B"/>
    <w:rsid w:val="00F00A9A"/>
    <w:rsid w:val="00F00C6D"/>
    <w:rsid w:val="00F02046"/>
    <w:rsid w:val="00F021B2"/>
    <w:rsid w:val="00F0227F"/>
    <w:rsid w:val="00F0254B"/>
    <w:rsid w:val="00F028A9"/>
    <w:rsid w:val="00F03701"/>
    <w:rsid w:val="00F0470B"/>
    <w:rsid w:val="00F04B38"/>
    <w:rsid w:val="00F04D1A"/>
    <w:rsid w:val="00F06A61"/>
    <w:rsid w:val="00F06D12"/>
    <w:rsid w:val="00F070F8"/>
    <w:rsid w:val="00F07831"/>
    <w:rsid w:val="00F07A83"/>
    <w:rsid w:val="00F07C58"/>
    <w:rsid w:val="00F07D9F"/>
    <w:rsid w:val="00F106A6"/>
    <w:rsid w:val="00F10A83"/>
    <w:rsid w:val="00F10ADB"/>
    <w:rsid w:val="00F11126"/>
    <w:rsid w:val="00F11503"/>
    <w:rsid w:val="00F11AA1"/>
    <w:rsid w:val="00F11E01"/>
    <w:rsid w:val="00F1211B"/>
    <w:rsid w:val="00F12DC6"/>
    <w:rsid w:val="00F130AC"/>
    <w:rsid w:val="00F14035"/>
    <w:rsid w:val="00F14251"/>
    <w:rsid w:val="00F14711"/>
    <w:rsid w:val="00F1496A"/>
    <w:rsid w:val="00F14A3D"/>
    <w:rsid w:val="00F14AD6"/>
    <w:rsid w:val="00F14D2D"/>
    <w:rsid w:val="00F15315"/>
    <w:rsid w:val="00F1571F"/>
    <w:rsid w:val="00F157E4"/>
    <w:rsid w:val="00F16474"/>
    <w:rsid w:val="00F16D15"/>
    <w:rsid w:val="00F16ED9"/>
    <w:rsid w:val="00F17C67"/>
    <w:rsid w:val="00F17EDD"/>
    <w:rsid w:val="00F17F2A"/>
    <w:rsid w:val="00F2067D"/>
    <w:rsid w:val="00F208D1"/>
    <w:rsid w:val="00F20A97"/>
    <w:rsid w:val="00F21A53"/>
    <w:rsid w:val="00F21C2E"/>
    <w:rsid w:val="00F21E4E"/>
    <w:rsid w:val="00F22160"/>
    <w:rsid w:val="00F2222C"/>
    <w:rsid w:val="00F22247"/>
    <w:rsid w:val="00F22629"/>
    <w:rsid w:val="00F22807"/>
    <w:rsid w:val="00F228CF"/>
    <w:rsid w:val="00F22919"/>
    <w:rsid w:val="00F235E8"/>
    <w:rsid w:val="00F2407E"/>
    <w:rsid w:val="00F2494D"/>
    <w:rsid w:val="00F253FA"/>
    <w:rsid w:val="00F256B2"/>
    <w:rsid w:val="00F25A98"/>
    <w:rsid w:val="00F25B9A"/>
    <w:rsid w:val="00F25D74"/>
    <w:rsid w:val="00F25D99"/>
    <w:rsid w:val="00F267AD"/>
    <w:rsid w:val="00F27149"/>
    <w:rsid w:val="00F2734C"/>
    <w:rsid w:val="00F27570"/>
    <w:rsid w:val="00F27985"/>
    <w:rsid w:val="00F27D96"/>
    <w:rsid w:val="00F30340"/>
    <w:rsid w:val="00F30A11"/>
    <w:rsid w:val="00F317D6"/>
    <w:rsid w:val="00F31CF3"/>
    <w:rsid w:val="00F31F88"/>
    <w:rsid w:val="00F334AF"/>
    <w:rsid w:val="00F33AD1"/>
    <w:rsid w:val="00F341BF"/>
    <w:rsid w:val="00F34C4F"/>
    <w:rsid w:val="00F34E87"/>
    <w:rsid w:val="00F35076"/>
    <w:rsid w:val="00F3693A"/>
    <w:rsid w:val="00F36D9A"/>
    <w:rsid w:val="00F371AF"/>
    <w:rsid w:val="00F400AB"/>
    <w:rsid w:val="00F40429"/>
    <w:rsid w:val="00F40C83"/>
    <w:rsid w:val="00F41F42"/>
    <w:rsid w:val="00F42352"/>
    <w:rsid w:val="00F424BF"/>
    <w:rsid w:val="00F42B4D"/>
    <w:rsid w:val="00F42D31"/>
    <w:rsid w:val="00F4324E"/>
    <w:rsid w:val="00F436D3"/>
    <w:rsid w:val="00F43781"/>
    <w:rsid w:val="00F43C00"/>
    <w:rsid w:val="00F43C88"/>
    <w:rsid w:val="00F44DDE"/>
    <w:rsid w:val="00F459E5"/>
    <w:rsid w:val="00F459FE"/>
    <w:rsid w:val="00F4628D"/>
    <w:rsid w:val="00F46421"/>
    <w:rsid w:val="00F464A1"/>
    <w:rsid w:val="00F505C9"/>
    <w:rsid w:val="00F50688"/>
    <w:rsid w:val="00F50CF8"/>
    <w:rsid w:val="00F50DB4"/>
    <w:rsid w:val="00F51093"/>
    <w:rsid w:val="00F511FC"/>
    <w:rsid w:val="00F519FB"/>
    <w:rsid w:val="00F52231"/>
    <w:rsid w:val="00F52358"/>
    <w:rsid w:val="00F52D0F"/>
    <w:rsid w:val="00F533B8"/>
    <w:rsid w:val="00F5392A"/>
    <w:rsid w:val="00F53C67"/>
    <w:rsid w:val="00F5415E"/>
    <w:rsid w:val="00F544AE"/>
    <w:rsid w:val="00F5486D"/>
    <w:rsid w:val="00F54C6C"/>
    <w:rsid w:val="00F54EB9"/>
    <w:rsid w:val="00F557AF"/>
    <w:rsid w:val="00F56F20"/>
    <w:rsid w:val="00F5759B"/>
    <w:rsid w:val="00F6066A"/>
    <w:rsid w:val="00F60E6C"/>
    <w:rsid w:val="00F61151"/>
    <w:rsid w:val="00F6120C"/>
    <w:rsid w:val="00F61A6F"/>
    <w:rsid w:val="00F61ACF"/>
    <w:rsid w:val="00F61B5C"/>
    <w:rsid w:val="00F61CEB"/>
    <w:rsid w:val="00F61D30"/>
    <w:rsid w:val="00F62399"/>
    <w:rsid w:val="00F627F4"/>
    <w:rsid w:val="00F629E2"/>
    <w:rsid w:val="00F629FB"/>
    <w:rsid w:val="00F63546"/>
    <w:rsid w:val="00F638A7"/>
    <w:rsid w:val="00F6470A"/>
    <w:rsid w:val="00F65AA5"/>
    <w:rsid w:val="00F65EB3"/>
    <w:rsid w:val="00F668FC"/>
    <w:rsid w:val="00F67993"/>
    <w:rsid w:val="00F67AD0"/>
    <w:rsid w:val="00F67B3B"/>
    <w:rsid w:val="00F70186"/>
    <w:rsid w:val="00F70479"/>
    <w:rsid w:val="00F70E57"/>
    <w:rsid w:val="00F711C3"/>
    <w:rsid w:val="00F712E6"/>
    <w:rsid w:val="00F71861"/>
    <w:rsid w:val="00F71C35"/>
    <w:rsid w:val="00F71D20"/>
    <w:rsid w:val="00F71F0A"/>
    <w:rsid w:val="00F71F75"/>
    <w:rsid w:val="00F723BA"/>
    <w:rsid w:val="00F727AA"/>
    <w:rsid w:val="00F727AC"/>
    <w:rsid w:val="00F72BEE"/>
    <w:rsid w:val="00F72F18"/>
    <w:rsid w:val="00F738D0"/>
    <w:rsid w:val="00F73CBD"/>
    <w:rsid w:val="00F73EB5"/>
    <w:rsid w:val="00F73EFA"/>
    <w:rsid w:val="00F74038"/>
    <w:rsid w:val="00F740B4"/>
    <w:rsid w:val="00F751AA"/>
    <w:rsid w:val="00F7532B"/>
    <w:rsid w:val="00F75ABC"/>
    <w:rsid w:val="00F76DA3"/>
    <w:rsid w:val="00F77E6B"/>
    <w:rsid w:val="00F77F19"/>
    <w:rsid w:val="00F80400"/>
    <w:rsid w:val="00F805C4"/>
    <w:rsid w:val="00F806D6"/>
    <w:rsid w:val="00F80809"/>
    <w:rsid w:val="00F80C4D"/>
    <w:rsid w:val="00F811CB"/>
    <w:rsid w:val="00F813AE"/>
    <w:rsid w:val="00F816CD"/>
    <w:rsid w:val="00F82488"/>
    <w:rsid w:val="00F826AA"/>
    <w:rsid w:val="00F83A8C"/>
    <w:rsid w:val="00F83BC7"/>
    <w:rsid w:val="00F84D64"/>
    <w:rsid w:val="00F8534F"/>
    <w:rsid w:val="00F85386"/>
    <w:rsid w:val="00F85416"/>
    <w:rsid w:val="00F854E1"/>
    <w:rsid w:val="00F8764C"/>
    <w:rsid w:val="00F877A5"/>
    <w:rsid w:val="00F90413"/>
    <w:rsid w:val="00F90936"/>
    <w:rsid w:val="00F90C2A"/>
    <w:rsid w:val="00F90CCB"/>
    <w:rsid w:val="00F91361"/>
    <w:rsid w:val="00F91C20"/>
    <w:rsid w:val="00F92578"/>
    <w:rsid w:val="00F92B64"/>
    <w:rsid w:val="00F92C86"/>
    <w:rsid w:val="00F93287"/>
    <w:rsid w:val="00F93716"/>
    <w:rsid w:val="00F93829"/>
    <w:rsid w:val="00F93B82"/>
    <w:rsid w:val="00F94F5D"/>
    <w:rsid w:val="00F95110"/>
    <w:rsid w:val="00F95774"/>
    <w:rsid w:val="00F96E03"/>
    <w:rsid w:val="00F971A7"/>
    <w:rsid w:val="00F976DD"/>
    <w:rsid w:val="00F97823"/>
    <w:rsid w:val="00F97C4A"/>
    <w:rsid w:val="00F97D88"/>
    <w:rsid w:val="00FA065D"/>
    <w:rsid w:val="00FA0B65"/>
    <w:rsid w:val="00FA13D4"/>
    <w:rsid w:val="00FA1630"/>
    <w:rsid w:val="00FA179C"/>
    <w:rsid w:val="00FA240B"/>
    <w:rsid w:val="00FA291D"/>
    <w:rsid w:val="00FA2E16"/>
    <w:rsid w:val="00FA3050"/>
    <w:rsid w:val="00FA3213"/>
    <w:rsid w:val="00FA4387"/>
    <w:rsid w:val="00FA59F0"/>
    <w:rsid w:val="00FA5AAB"/>
    <w:rsid w:val="00FA5F2E"/>
    <w:rsid w:val="00FA5FEE"/>
    <w:rsid w:val="00FA62E6"/>
    <w:rsid w:val="00FA6678"/>
    <w:rsid w:val="00FA6734"/>
    <w:rsid w:val="00FA701C"/>
    <w:rsid w:val="00FA7B0C"/>
    <w:rsid w:val="00FB0731"/>
    <w:rsid w:val="00FB10D3"/>
    <w:rsid w:val="00FB131E"/>
    <w:rsid w:val="00FB1F12"/>
    <w:rsid w:val="00FB1F2D"/>
    <w:rsid w:val="00FB28B7"/>
    <w:rsid w:val="00FB28B8"/>
    <w:rsid w:val="00FB306E"/>
    <w:rsid w:val="00FB31A5"/>
    <w:rsid w:val="00FB3BCD"/>
    <w:rsid w:val="00FB4106"/>
    <w:rsid w:val="00FB4479"/>
    <w:rsid w:val="00FB477B"/>
    <w:rsid w:val="00FB48B6"/>
    <w:rsid w:val="00FB4F1E"/>
    <w:rsid w:val="00FB5046"/>
    <w:rsid w:val="00FB5302"/>
    <w:rsid w:val="00FB55A7"/>
    <w:rsid w:val="00FB5A4E"/>
    <w:rsid w:val="00FB5C43"/>
    <w:rsid w:val="00FB5F2A"/>
    <w:rsid w:val="00FB5FDB"/>
    <w:rsid w:val="00FB7A84"/>
    <w:rsid w:val="00FB7CBC"/>
    <w:rsid w:val="00FC0543"/>
    <w:rsid w:val="00FC0CC0"/>
    <w:rsid w:val="00FC1714"/>
    <w:rsid w:val="00FC1947"/>
    <w:rsid w:val="00FC22E6"/>
    <w:rsid w:val="00FC263C"/>
    <w:rsid w:val="00FC347B"/>
    <w:rsid w:val="00FC378E"/>
    <w:rsid w:val="00FC3E73"/>
    <w:rsid w:val="00FC426D"/>
    <w:rsid w:val="00FC4A4E"/>
    <w:rsid w:val="00FC56C7"/>
    <w:rsid w:val="00FC5A1C"/>
    <w:rsid w:val="00FC5A63"/>
    <w:rsid w:val="00FC5F80"/>
    <w:rsid w:val="00FC6064"/>
    <w:rsid w:val="00FC7032"/>
    <w:rsid w:val="00FC7D67"/>
    <w:rsid w:val="00FD02D4"/>
    <w:rsid w:val="00FD089C"/>
    <w:rsid w:val="00FD1527"/>
    <w:rsid w:val="00FD1E3A"/>
    <w:rsid w:val="00FD246D"/>
    <w:rsid w:val="00FD2880"/>
    <w:rsid w:val="00FD3BD7"/>
    <w:rsid w:val="00FD4612"/>
    <w:rsid w:val="00FD46B0"/>
    <w:rsid w:val="00FD46E4"/>
    <w:rsid w:val="00FD528E"/>
    <w:rsid w:val="00FD614E"/>
    <w:rsid w:val="00FD6424"/>
    <w:rsid w:val="00FD673C"/>
    <w:rsid w:val="00FD68CF"/>
    <w:rsid w:val="00FE0358"/>
    <w:rsid w:val="00FE09E7"/>
    <w:rsid w:val="00FE0F63"/>
    <w:rsid w:val="00FE1CFE"/>
    <w:rsid w:val="00FE1DF5"/>
    <w:rsid w:val="00FE2513"/>
    <w:rsid w:val="00FE3182"/>
    <w:rsid w:val="00FE3B4E"/>
    <w:rsid w:val="00FE3BD4"/>
    <w:rsid w:val="00FE3CF9"/>
    <w:rsid w:val="00FE4886"/>
    <w:rsid w:val="00FE492D"/>
    <w:rsid w:val="00FE496B"/>
    <w:rsid w:val="00FE4F87"/>
    <w:rsid w:val="00FE525A"/>
    <w:rsid w:val="00FE5B36"/>
    <w:rsid w:val="00FE6341"/>
    <w:rsid w:val="00FE64EE"/>
    <w:rsid w:val="00FE668C"/>
    <w:rsid w:val="00FE6E61"/>
    <w:rsid w:val="00FE73A9"/>
    <w:rsid w:val="00FE74E0"/>
    <w:rsid w:val="00FE7A3E"/>
    <w:rsid w:val="00FE7ED3"/>
    <w:rsid w:val="00FF0128"/>
    <w:rsid w:val="00FF0229"/>
    <w:rsid w:val="00FF0341"/>
    <w:rsid w:val="00FF038F"/>
    <w:rsid w:val="00FF0ADF"/>
    <w:rsid w:val="00FF18C5"/>
    <w:rsid w:val="00FF1C53"/>
    <w:rsid w:val="00FF1F1F"/>
    <w:rsid w:val="00FF27F1"/>
    <w:rsid w:val="00FF36AA"/>
    <w:rsid w:val="00FF3D8F"/>
    <w:rsid w:val="00FF3E50"/>
    <w:rsid w:val="00FF4A78"/>
    <w:rsid w:val="00FF51D3"/>
    <w:rsid w:val="00FF5353"/>
    <w:rsid w:val="00FF56E0"/>
    <w:rsid w:val="00FF6314"/>
    <w:rsid w:val="00FF75A2"/>
    <w:rsid w:val="00FF79D2"/>
    <w:rsid w:val="00FF7F4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8C9CEC"/>
  <w15:docId w15:val="{C7177F0C-F973-41D1-9683-BFB826B0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2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29" w:unhideWhenUsed="1" w:qFormat="1"/>
    <w:lsdException w:name="heading 6" w:semiHidden="1" w:uiPriority="9" w:unhideWhenUsed="1" w:qFormat="1"/>
    <w:lsdException w:name="heading 7" w:semiHidden="1" w:uiPriority="2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5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354"/>
    <w:pPr>
      <w:spacing w:before="80" w:line="288" w:lineRule="auto"/>
    </w:pPr>
    <w:rPr>
      <w:rFonts w:ascii="Arial" w:eastAsia="Arial" w:hAnsi="Arial" w:cs="Arial"/>
      <w:bCs/>
      <w:sz w:val="18"/>
    </w:rPr>
  </w:style>
  <w:style w:type="paragraph" w:styleId="Heading1">
    <w:name w:val="heading 1"/>
    <w:basedOn w:val="Normal"/>
    <w:next w:val="Normal"/>
    <w:link w:val="Heading1Char"/>
    <w:uiPriority w:val="29"/>
    <w:qFormat/>
    <w:rsid w:val="000F579A"/>
    <w:pPr>
      <w:pBdr>
        <w:bottom w:val="single" w:sz="4" w:space="1" w:color="54301A"/>
      </w:pBdr>
      <w:spacing w:before="160"/>
      <w:outlineLvl w:val="0"/>
    </w:pPr>
    <w:rPr>
      <w:b/>
      <w:color w:val="54301A"/>
      <w:sz w:val="20"/>
    </w:rPr>
  </w:style>
  <w:style w:type="paragraph" w:styleId="Heading2">
    <w:name w:val="heading 2"/>
    <w:basedOn w:val="Normal"/>
    <w:next w:val="Normal"/>
    <w:link w:val="Heading2Char"/>
    <w:uiPriority w:val="9"/>
    <w:unhideWhenUsed/>
    <w:qFormat/>
    <w:rsid w:val="00826BD2"/>
    <w:pPr>
      <w:keepNext/>
      <w:keepLines/>
      <w:spacing w:before="160" w:line="240" w:lineRule="auto"/>
      <w:outlineLvl w:val="1"/>
    </w:pPr>
    <w:rPr>
      <w:rFonts w:eastAsiaTheme="majorEastAsia" w:cstheme="majorBidi"/>
      <w:bCs w:val="0"/>
      <w:color w:val="404040" w:themeColor="text1" w:themeTint="BF"/>
      <w:szCs w:val="26"/>
    </w:rPr>
  </w:style>
  <w:style w:type="paragraph" w:styleId="Heading3">
    <w:name w:val="heading 3"/>
    <w:basedOn w:val="Heading2"/>
    <w:next w:val="Normal"/>
    <w:link w:val="Heading3Char"/>
    <w:uiPriority w:val="9"/>
    <w:unhideWhenUsed/>
    <w:qFormat/>
    <w:rsid w:val="00723013"/>
    <w:pPr>
      <w:spacing w:before="200"/>
      <w:outlineLvl w:val="2"/>
    </w:pPr>
    <w:rPr>
      <w:b/>
      <w:bCs/>
    </w:rPr>
  </w:style>
  <w:style w:type="paragraph" w:styleId="Heading4">
    <w:name w:val="heading 4"/>
    <w:basedOn w:val="Normal"/>
    <w:next w:val="Normal"/>
    <w:link w:val="Heading4Char"/>
    <w:uiPriority w:val="9"/>
    <w:unhideWhenUsed/>
    <w:qFormat/>
    <w:rsid w:val="00976FD2"/>
    <w:pPr>
      <w:keepNext/>
      <w:keepLines/>
      <w:spacing w:before="200"/>
      <w:outlineLvl w:val="3"/>
    </w:pPr>
    <w:rPr>
      <w:rFonts w:asciiTheme="majorHAnsi" w:eastAsiaTheme="majorEastAsia" w:hAnsiTheme="majorHAnsi" w:cstheme="majorBidi"/>
      <w:b/>
      <w:bCs w:val="0"/>
      <w:i/>
      <w:iCs/>
      <w:color w:val="4F81BD" w:themeColor="accent1"/>
    </w:rPr>
  </w:style>
  <w:style w:type="paragraph" w:styleId="Heading5">
    <w:name w:val="heading 5"/>
    <w:basedOn w:val="Heading2"/>
    <w:next w:val="Normal"/>
    <w:link w:val="Heading5Char"/>
    <w:uiPriority w:val="29"/>
    <w:unhideWhenUsed/>
    <w:qFormat/>
    <w:rsid w:val="00DA6608"/>
    <w:pPr>
      <w:spacing w:before="40" w:after="40"/>
      <w:outlineLvl w:val="4"/>
    </w:pPr>
    <w:rPr>
      <w:b/>
      <w:color w:val="54301A"/>
    </w:rPr>
  </w:style>
  <w:style w:type="paragraph" w:styleId="Heading7">
    <w:name w:val="heading 7"/>
    <w:basedOn w:val="Normal"/>
    <w:next w:val="BodyText"/>
    <w:link w:val="Heading7Char"/>
    <w:autoRedefine/>
    <w:uiPriority w:val="29"/>
    <w:qFormat/>
    <w:rsid w:val="005F356A"/>
    <w:pPr>
      <w:spacing w:before="0" w:after="240" w:line="240" w:lineRule="auto"/>
      <w:outlineLvl w:val="6"/>
    </w:pPr>
    <w:rPr>
      <w:rFonts w:ascii="Times New Roman" w:eastAsiaTheme="majorEastAsia" w:hAnsi="Times New Roman" w:cstheme="majorBidi"/>
      <w:bCs w:val="0"/>
      <w:iCs/>
      <w:sz w:val="24"/>
      <w:szCs w:val="24"/>
      <w:lang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8pt">
    <w:name w:val="body 8pt"/>
    <w:basedOn w:val="Normal"/>
    <w:qFormat/>
    <w:rsid w:val="006A2AC3"/>
    <w:pPr>
      <w:ind w:left="360" w:right="290"/>
    </w:pPr>
    <w:rPr>
      <w:sz w:val="16"/>
      <w:szCs w:val="16"/>
    </w:rPr>
  </w:style>
  <w:style w:type="paragraph" w:styleId="Header">
    <w:name w:val="header"/>
    <w:basedOn w:val="Normal"/>
    <w:link w:val="HeaderChar"/>
    <w:uiPriority w:val="99"/>
    <w:unhideWhenUsed/>
    <w:rsid w:val="005B1E2F"/>
    <w:pPr>
      <w:tabs>
        <w:tab w:val="center" w:pos="4320"/>
        <w:tab w:val="right" w:pos="8640"/>
      </w:tabs>
      <w:spacing w:line="240" w:lineRule="auto"/>
    </w:pPr>
  </w:style>
  <w:style w:type="character" w:customStyle="1" w:styleId="HeaderChar">
    <w:name w:val="Header Char"/>
    <w:basedOn w:val="DefaultParagraphFont"/>
    <w:link w:val="Header"/>
    <w:uiPriority w:val="99"/>
    <w:rsid w:val="005B1E2F"/>
    <w:rPr>
      <w:rFonts w:ascii="Arial" w:eastAsia="Arial" w:hAnsi="Arial" w:cs="Arial"/>
      <w:bCs/>
    </w:rPr>
  </w:style>
  <w:style w:type="paragraph" w:customStyle="1" w:styleId="FooterBold">
    <w:name w:val="FooterBold"/>
    <w:rsid w:val="005B1E2F"/>
    <w:rPr>
      <w:rFonts w:ascii="Arial" w:eastAsia="Arial" w:hAnsi="Arial" w:cs="Arial"/>
      <w:color w:val="808080" w:themeColor="background1" w:themeShade="80"/>
      <w:sz w:val="16"/>
    </w:rPr>
  </w:style>
  <w:style w:type="character" w:styleId="Hyperlink">
    <w:name w:val="Hyperlink"/>
    <w:rsid w:val="007E15C2"/>
    <w:rPr>
      <w:b w:val="0"/>
      <w:i w:val="0"/>
      <w:color w:val="0000FF"/>
    </w:rPr>
  </w:style>
  <w:style w:type="paragraph" w:styleId="BalloonText">
    <w:name w:val="Balloon Text"/>
    <w:basedOn w:val="Normal"/>
    <w:link w:val="BalloonTextChar"/>
    <w:uiPriority w:val="99"/>
    <w:semiHidden/>
    <w:unhideWhenUsed/>
    <w:rsid w:val="007E15C2"/>
    <w:rPr>
      <w:rFonts w:ascii="Tahoma" w:hAnsi="Tahoma" w:cs="Tahoma"/>
      <w:sz w:val="16"/>
      <w:szCs w:val="16"/>
    </w:rPr>
  </w:style>
  <w:style w:type="character" w:customStyle="1" w:styleId="BalloonTextChar">
    <w:name w:val="Balloon Text Char"/>
    <w:basedOn w:val="DefaultParagraphFont"/>
    <w:link w:val="BalloonText"/>
    <w:uiPriority w:val="99"/>
    <w:semiHidden/>
    <w:rsid w:val="007E15C2"/>
    <w:rPr>
      <w:rFonts w:ascii="Tahoma" w:eastAsia="Times New Roman" w:hAnsi="Tahoma" w:cs="Tahoma"/>
      <w:sz w:val="16"/>
      <w:szCs w:val="16"/>
    </w:rPr>
  </w:style>
  <w:style w:type="paragraph" w:styleId="Footer">
    <w:name w:val="footer"/>
    <w:basedOn w:val="Normal"/>
    <w:link w:val="FooterChar"/>
    <w:uiPriority w:val="59"/>
    <w:unhideWhenUsed/>
    <w:rsid w:val="001D4A71"/>
    <w:pPr>
      <w:tabs>
        <w:tab w:val="center" w:pos="4320"/>
        <w:tab w:val="right" w:pos="8640"/>
      </w:tabs>
      <w:spacing w:line="240" w:lineRule="auto"/>
    </w:pPr>
  </w:style>
  <w:style w:type="character" w:customStyle="1" w:styleId="FooterChar">
    <w:name w:val="Footer Char"/>
    <w:basedOn w:val="DefaultParagraphFont"/>
    <w:link w:val="Footer"/>
    <w:uiPriority w:val="59"/>
    <w:rsid w:val="001D4A71"/>
    <w:rPr>
      <w:rFonts w:ascii="Arial" w:eastAsia="Arial" w:hAnsi="Arial" w:cs="Arial"/>
      <w:bCs/>
    </w:rPr>
  </w:style>
  <w:style w:type="table" w:styleId="TableGrid">
    <w:name w:val="Table Grid"/>
    <w:basedOn w:val="TableNormal"/>
    <w:uiPriority w:val="59"/>
    <w:rsid w:val="00E60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64408"/>
    <w:pPr>
      <w:framePr w:w="7176" w:h="4672" w:hRule="exact" w:hSpace="180" w:wrap="around" w:vAnchor="text" w:hAnchor="page" w:x="912" w:y="2"/>
      <w:spacing w:before="120" w:line="240" w:lineRule="auto"/>
      <w:suppressOverlap/>
    </w:pPr>
    <w:rPr>
      <w:bCs w:val="0"/>
      <w:color w:val="8DB3E2" w:themeColor="text2" w:themeTint="66"/>
      <w:sz w:val="44"/>
      <w:szCs w:val="44"/>
    </w:rPr>
  </w:style>
  <w:style w:type="character" w:customStyle="1" w:styleId="TitleChar">
    <w:name w:val="Title Char"/>
    <w:basedOn w:val="DefaultParagraphFont"/>
    <w:link w:val="Title"/>
    <w:uiPriority w:val="10"/>
    <w:rsid w:val="00A64408"/>
    <w:rPr>
      <w:rFonts w:ascii="Arial" w:eastAsia="Arial" w:hAnsi="Arial" w:cs="Arial"/>
      <w:color w:val="8DB3E2" w:themeColor="text2" w:themeTint="66"/>
      <w:sz w:val="44"/>
      <w:szCs w:val="44"/>
    </w:rPr>
  </w:style>
  <w:style w:type="character" w:customStyle="1" w:styleId="Heading1Char">
    <w:name w:val="Heading 1 Char"/>
    <w:basedOn w:val="DefaultParagraphFont"/>
    <w:link w:val="Heading1"/>
    <w:uiPriority w:val="29"/>
    <w:rsid w:val="000F579A"/>
    <w:rPr>
      <w:rFonts w:ascii="Arial" w:eastAsia="Arial" w:hAnsi="Arial" w:cs="Arial"/>
      <w:b/>
      <w:bCs/>
      <w:color w:val="54301A"/>
    </w:rPr>
  </w:style>
  <w:style w:type="character" w:customStyle="1" w:styleId="Heading2Char">
    <w:name w:val="Heading 2 Char"/>
    <w:basedOn w:val="DefaultParagraphFont"/>
    <w:link w:val="Heading2"/>
    <w:uiPriority w:val="9"/>
    <w:rsid w:val="00826BD2"/>
    <w:rPr>
      <w:rFonts w:ascii="Arial" w:eastAsiaTheme="majorEastAsia" w:hAnsi="Arial" w:cstheme="majorBidi"/>
      <w:color w:val="404040" w:themeColor="text1" w:themeTint="BF"/>
      <w:sz w:val="18"/>
      <w:szCs w:val="26"/>
    </w:rPr>
  </w:style>
  <w:style w:type="paragraph" w:styleId="ListParagraph">
    <w:name w:val="List Paragraph"/>
    <w:basedOn w:val="Normal"/>
    <w:uiPriority w:val="34"/>
    <w:semiHidden/>
    <w:qFormat/>
    <w:rsid w:val="000438B8"/>
    <w:pPr>
      <w:ind w:left="720"/>
      <w:contextualSpacing/>
    </w:pPr>
  </w:style>
  <w:style w:type="paragraph" w:customStyle="1" w:styleId="TSBodyText8">
    <w:name w:val="TSBodyText8"/>
    <w:rsid w:val="0021312D"/>
    <w:rPr>
      <w:rFonts w:ascii="Arial" w:eastAsia="Arial" w:hAnsi="Arial" w:cs="Arial"/>
      <w:color w:val="404040" w:themeColor="text1" w:themeTint="BF"/>
      <w:sz w:val="16"/>
    </w:rPr>
  </w:style>
  <w:style w:type="paragraph" w:customStyle="1" w:styleId="TSBodyText95pt">
    <w:name w:val="TSBodyText9.5pt"/>
    <w:rsid w:val="0021312D"/>
    <w:rPr>
      <w:rFonts w:ascii="Arial" w:eastAsia="Arial" w:hAnsi="Arial" w:cs="Arial"/>
      <w:sz w:val="19"/>
    </w:rPr>
  </w:style>
  <w:style w:type="paragraph" w:customStyle="1" w:styleId="Default">
    <w:name w:val="Default"/>
    <w:rsid w:val="00A045D7"/>
    <w:pPr>
      <w:widowControl w:val="0"/>
      <w:autoSpaceDE w:val="0"/>
      <w:autoSpaceDN w:val="0"/>
      <w:adjustRightInd w:val="0"/>
    </w:pPr>
    <w:rPr>
      <w:rFonts w:ascii="Cambria Math" w:hAnsi="Cambria Math" w:cs="Cambria Math"/>
      <w:color w:val="000000"/>
      <w:sz w:val="24"/>
      <w:szCs w:val="24"/>
    </w:rPr>
  </w:style>
  <w:style w:type="character" w:styleId="FollowedHyperlink">
    <w:name w:val="FollowedHyperlink"/>
    <w:basedOn w:val="DefaultParagraphFont"/>
    <w:uiPriority w:val="99"/>
    <w:semiHidden/>
    <w:unhideWhenUsed/>
    <w:rsid w:val="00DA6BB0"/>
    <w:rPr>
      <w:color w:val="800080" w:themeColor="followedHyperlink"/>
      <w:u w:val="single"/>
    </w:rPr>
  </w:style>
  <w:style w:type="table" w:customStyle="1" w:styleId="TableGrid1">
    <w:name w:val="Table Grid1"/>
    <w:basedOn w:val="TableNormal"/>
    <w:next w:val="TableGrid"/>
    <w:uiPriority w:val="59"/>
    <w:rsid w:val="00AB68B4"/>
    <w:rPr>
      <w:rFonts w:ascii="Cambria" w:eastAsia="MS Mincho"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SPageTitle8">
    <w:name w:val="TSPageTitle_8"/>
    <w:rsid w:val="00CF3805"/>
    <w:rPr>
      <w:rFonts w:ascii="Arial" w:eastAsia="Arial" w:hAnsi="Arial" w:cs="Arial"/>
      <w:color w:val="4E8ABE"/>
      <w:sz w:val="16"/>
    </w:rPr>
  </w:style>
  <w:style w:type="paragraph" w:customStyle="1" w:styleId="Bullet">
    <w:name w:val="Bullet"/>
    <w:basedOn w:val="Normal"/>
    <w:link w:val="BulletChar"/>
    <w:uiPriority w:val="99"/>
    <w:rsid w:val="000D75A8"/>
    <w:pPr>
      <w:numPr>
        <w:numId w:val="23"/>
      </w:numPr>
      <w:spacing w:before="0" w:after="120" w:line="240" w:lineRule="auto"/>
      <w:contextualSpacing/>
    </w:pPr>
    <w:rPr>
      <w:rFonts w:ascii="Times New Roman" w:eastAsia="MS Mincho" w:hAnsi="Times New Roman" w:cs="Times New Roman"/>
      <w:bCs w:val="0"/>
      <w:sz w:val="20"/>
      <w:szCs w:val="24"/>
      <w:lang w:val="en-GB" w:eastAsia="en-GB"/>
    </w:rPr>
  </w:style>
  <w:style w:type="character" w:customStyle="1" w:styleId="BulletChar">
    <w:name w:val="Bullet Char"/>
    <w:basedOn w:val="DefaultParagraphFont"/>
    <w:link w:val="Bullet"/>
    <w:uiPriority w:val="99"/>
    <w:rsid w:val="000D75A8"/>
    <w:rPr>
      <w:rFonts w:ascii="Times New Roman" w:eastAsia="MS Mincho" w:hAnsi="Times New Roman"/>
      <w:szCs w:val="24"/>
      <w:lang w:val="en-GB" w:eastAsia="en-GB"/>
    </w:rPr>
  </w:style>
  <w:style w:type="paragraph" w:customStyle="1" w:styleId="TSBodyText">
    <w:name w:val="TS Body Text"/>
    <w:basedOn w:val="Normal"/>
    <w:link w:val="TSBodyTextChar"/>
    <w:rsid w:val="0078468C"/>
    <w:pPr>
      <w:spacing w:line="204" w:lineRule="auto"/>
    </w:pPr>
    <w:rPr>
      <w:rFonts w:ascii="MetaBook-Roman" w:eastAsia="Times New Roman" w:hAnsi="MetaBook-Roman"/>
      <w:bCs w:val="0"/>
      <w:sz w:val="20"/>
      <w:szCs w:val="18"/>
    </w:rPr>
  </w:style>
  <w:style w:type="character" w:customStyle="1" w:styleId="TSBodyTextChar">
    <w:name w:val="TS Body Text Char"/>
    <w:link w:val="TSBodyText"/>
    <w:rsid w:val="0078468C"/>
    <w:rPr>
      <w:rFonts w:ascii="MetaBook-Roman" w:eastAsia="Times New Roman" w:hAnsi="MetaBook-Roman" w:cs="Arial"/>
      <w:szCs w:val="18"/>
    </w:rPr>
  </w:style>
  <w:style w:type="paragraph" w:customStyle="1" w:styleId="UBSBullet">
    <w:name w:val="UBSBullet"/>
    <w:basedOn w:val="Normal"/>
    <w:link w:val="UBSBulletChar"/>
    <w:qFormat/>
    <w:rsid w:val="005C23B7"/>
    <w:pPr>
      <w:numPr>
        <w:numId w:val="24"/>
      </w:numPr>
      <w:spacing w:before="120" w:line="240" w:lineRule="auto"/>
    </w:pPr>
    <w:rPr>
      <w:rFonts w:ascii="Frutiger 45 Light" w:eastAsia="Times New Roman" w:hAnsi="Frutiger 45 Light" w:cs="Times New Roman"/>
      <w:bCs w:val="0"/>
      <w:sz w:val="16"/>
      <w:szCs w:val="24"/>
      <w:lang w:eastAsia="zh-TW" w:bidi="he-IL"/>
    </w:rPr>
  </w:style>
  <w:style w:type="character" w:customStyle="1" w:styleId="UBSBulletChar">
    <w:name w:val="UBSBullet Char"/>
    <w:basedOn w:val="DefaultParagraphFont"/>
    <w:link w:val="UBSBullet"/>
    <w:rsid w:val="005C23B7"/>
    <w:rPr>
      <w:rFonts w:ascii="Frutiger 45 Light" w:eastAsia="Times New Roman" w:hAnsi="Frutiger 45 Light"/>
      <w:sz w:val="16"/>
      <w:szCs w:val="24"/>
      <w:lang w:eastAsia="zh-TW" w:bidi="he-IL"/>
    </w:rPr>
  </w:style>
  <w:style w:type="paragraph" w:styleId="ListBullet">
    <w:name w:val="List Bullet"/>
    <w:basedOn w:val="Normal"/>
    <w:uiPriority w:val="39"/>
    <w:qFormat/>
    <w:rsid w:val="00EC4D07"/>
    <w:pPr>
      <w:numPr>
        <w:numId w:val="25"/>
      </w:numPr>
      <w:spacing w:before="0" w:after="240" w:line="240" w:lineRule="auto"/>
    </w:pPr>
    <w:rPr>
      <w:rFonts w:ascii="Times New Roman" w:eastAsiaTheme="minorEastAsia" w:hAnsi="Times New Roman" w:cstheme="minorBidi"/>
      <w:bCs w:val="0"/>
      <w:sz w:val="24"/>
      <w:szCs w:val="24"/>
      <w:lang w:eastAsia="zh-CN" w:bidi="he-IL"/>
    </w:rPr>
  </w:style>
  <w:style w:type="character" w:customStyle="1" w:styleId="Heading3Char">
    <w:name w:val="Heading 3 Char"/>
    <w:basedOn w:val="DefaultParagraphFont"/>
    <w:link w:val="Heading3"/>
    <w:uiPriority w:val="9"/>
    <w:rsid w:val="00723013"/>
    <w:rPr>
      <w:rFonts w:ascii="Arial" w:eastAsiaTheme="majorEastAsia" w:hAnsi="Arial" w:cstheme="majorBidi"/>
      <w:b/>
      <w:bCs/>
      <w:color w:val="404040" w:themeColor="text1" w:themeTint="BF"/>
      <w:sz w:val="18"/>
      <w:szCs w:val="26"/>
    </w:rPr>
  </w:style>
  <w:style w:type="character" w:customStyle="1" w:styleId="Heading4Char">
    <w:name w:val="Heading 4 Char"/>
    <w:basedOn w:val="DefaultParagraphFont"/>
    <w:link w:val="Heading4"/>
    <w:uiPriority w:val="9"/>
    <w:rsid w:val="00976FD2"/>
    <w:rPr>
      <w:rFonts w:asciiTheme="majorHAnsi" w:eastAsiaTheme="majorEastAsia" w:hAnsiTheme="majorHAnsi" w:cstheme="majorBidi"/>
      <w:b/>
      <w:i/>
      <w:iCs/>
      <w:color w:val="4F81BD" w:themeColor="accent1"/>
      <w:sz w:val="18"/>
    </w:rPr>
  </w:style>
  <w:style w:type="character" w:customStyle="1" w:styleId="Heading5Char">
    <w:name w:val="Heading 5 Char"/>
    <w:basedOn w:val="DefaultParagraphFont"/>
    <w:link w:val="Heading5"/>
    <w:uiPriority w:val="29"/>
    <w:rsid w:val="00DA6608"/>
    <w:rPr>
      <w:rFonts w:ascii="Arial" w:eastAsiaTheme="majorEastAsia" w:hAnsi="Arial" w:cstheme="majorBidi"/>
      <w:b/>
      <w:color w:val="54301A"/>
      <w:sz w:val="18"/>
      <w:szCs w:val="26"/>
    </w:rPr>
  </w:style>
  <w:style w:type="table" w:customStyle="1" w:styleId="JPMHypoTable">
    <w:name w:val="JPMHypoTable"/>
    <w:basedOn w:val="TableNormal"/>
    <w:uiPriority w:val="99"/>
    <w:rsid w:val="006D0416"/>
    <w:pPr>
      <w:spacing w:line="288" w:lineRule="auto"/>
    </w:pPr>
    <w:rPr>
      <w:rFonts w:ascii="Arial" w:hAnsi="Arial"/>
      <w:color w:val="404040"/>
      <w:sz w:val="18"/>
    </w:rPr>
    <w:tblPr>
      <w:jc w:val="center"/>
      <w:tblBorders>
        <w:bottom w:val="single" w:sz="4" w:space="0" w:color="808080"/>
        <w:insideH w:val="single" w:sz="4" w:space="0" w:color="808080"/>
      </w:tblBorders>
    </w:tblPr>
    <w:trPr>
      <w:jc w:val="center"/>
    </w:trPr>
    <w:tblStylePr w:type="firstRow">
      <w:rPr>
        <w:rFonts w:ascii="Arial" w:hAnsi="Arial"/>
        <w:sz w:val="18"/>
      </w:rPr>
      <w:tblPr/>
      <w:tcPr>
        <w:tcBorders>
          <w:top w:val="nil"/>
          <w:left w:val="nil"/>
          <w:bottom w:val="single" w:sz="4" w:space="0" w:color="6D6E71"/>
          <w:right w:val="nil"/>
          <w:insideH w:val="nil"/>
          <w:insideV w:val="nil"/>
          <w:tl2br w:val="nil"/>
          <w:tr2bl w:val="nil"/>
        </w:tcBorders>
        <w:shd w:val="clear" w:color="auto" w:fill="BFBFBF"/>
      </w:tcPr>
    </w:tblStylePr>
  </w:style>
  <w:style w:type="paragraph" w:customStyle="1" w:styleId="HypoNormal">
    <w:name w:val="HypoNormal"/>
    <w:basedOn w:val="Normal"/>
    <w:uiPriority w:val="49"/>
    <w:qFormat/>
    <w:rsid w:val="00786C57"/>
    <w:rPr>
      <w:color w:val="404040"/>
    </w:rPr>
  </w:style>
  <w:style w:type="paragraph" w:customStyle="1" w:styleId="CenterDiagram">
    <w:name w:val="CenterDiagram"/>
    <w:basedOn w:val="Normal"/>
    <w:uiPriority w:val="49"/>
    <w:qFormat/>
    <w:rsid w:val="00625858"/>
    <w:pPr>
      <w:jc w:val="center"/>
    </w:pPr>
  </w:style>
  <w:style w:type="character" w:customStyle="1" w:styleId="Heading7Char">
    <w:name w:val="Heading 7 Char"/>
    <w:basedOn w:val="DefaultParagraphFont"/>
    <w:link w:val="Heading7"/>
    <w:uiPriority w:val="29"/>
    <w:rsid w:val="005F356A"/>
    <w:rPr>
      <w:rFonts w:ascii="Times New Roman" w:eastAsiaTheme="majorEastAsia" w:hAnsi="Times New Roman" w:cstheme="majorBidi"/>
      <w:iCs/>
      <w:sz w:val="24"/>
      <w:szCs w:val="24"/>
      <w:lang w:eastAsia="zh-CN" w:bidi="he-IL"/>
    </w:rPr>
  </w:style>
  <w:style w:type="paragraph" w:styleId="BodyText">
    <w:name w:val="Body Text"/>
    <w:basedOn w:val="Normal"/>
    <w:link w:val="BodyTextChar"/>
    <w:uiPriority w:val="99"/>
    <w:semiHidden/>
    <w:unhideWhenUsed/>
    <w:rsid w:val="005F356A"/>
    <w:pPr>
      <w:spacing w:after="120"/>
    </w:pPr>
  </w:style>
  <w:style w:type="character" w:customStyle="1" w:styleId="BodyTextChar">
    <w:name w:val="Body Text Char"/>
    <w:basedOn w:val="DefaultParagraphFont"/>
    <w:link w:val="BodyText"/>
    <w:uiPriority w:val="99"/>
    <w:semiHidden/>
    <w:rsid w:val="005F356A"/>
    <w:rPr>
      <w:rFonts w:ascii="Arial" w:eastAsia="Arial" w:hAnsi="Arial" w:cs="Arial"/>
      <w:bCs/>
      <w:sz w:val="18"/>
    </w:rPr>
  </w:style>
  <w:style w:type="paragraph" w:customStyle="1" w:styleId="RFtitle">
    <w:name w:val="RFtitle"/>
    <w:basedOn w:val="Heading2"/>
    <w:next w:val="RFbody"/>
    <w:uiPriority w:val="49"/>
    <w:qFormat/>
    <w:rsid w:val="007E65D5"/>
    <w:pPr>
      <w:spacing w:line="288" w:lineRule="auto"/>
      <w:ind w:left="360" w:hanging="360"/>
    </w:pPr>
    <w:rPr>
      <w:b/>
      <w:bCs/>
      <w:szCs w:val="18"/>
    </w:rPr>
  </w:style>
  <w:style w:type="paragraph" w:customStyle="1" w:styleId="RFbody">
    <w:name w:val="RFbody"/>
    <w:basedOn w:val="ListParagraph"/>
    <w:next w:val="RFtitle"/>
    <w:qFormat/>
    <w:rsid w:val="007E65D5"/>
    <w:pPr>
      <w:ind w:left="360"/>
      <w:contextualSpacing w:val="0"/>
    </w:pPr>
    <w:rPr>
      <w:color w:val="404040" w:themeColor="text1" w:themeTint="BF"/>
      <w:szCs w:val="18"/>
    </w:rPr>
  </w:style>
  <w:style w:type="paragraph" w:customStyle="1" w:styleId="RFindent">
    <w:name w:val="RFindent"/>
    <w:basedOn w:val="Normal"/>
    <w:qFormat/>
    <w:rsid w:val="0019254B"/>
    <w:pPr>
      <w:numPr>
        <w:numId w:val="16"/>
      </w:numPr>
      <w:tabs>
        <w:tab w:val="left" w:pos="360"/>
      </w:tabs>
      <w:spacing w:before="120" w:line="240" w:lineRule="auto"/>
    </w:pPr>
    <w:rPr>
      <w:color w:val="404040" w:themeColor="text1" w:themeTint="BF"/>
      <w:szCs w:val="18"/>
    </w:rPr>
  </w:style>
  <w:style w:type="character" w:styleId="SubtleEmphasis">
    <w:name w:val="Subtle Emphasis"/>
    <w:basedOn w:val="DefaultParagraphFont"/>
    <w:uiPriority w:val="19"/>
    <w:semiHidden/>
    <w:qFormat/>
    <w:rsid w:val="004A4A66"/>
    <w:rPr>
      <w:i/>
      <w:iCs/>
      <w:color w:val="404040" w:themeColor="text1" w:themeTint="BF"/>
    </w:rPr>
  </w:style>
  <w:style w:type="character" w:styleId="Emphasis">
    <w:name w:val="Emphasis"/>
    <w:basedOn w:val="DefaultParagraphFont"/>
    <w:uiPriority w:val="20"/>
    <w:semiHidden/>
    <w:qFormat/>
    <w:rsid w:val="004A4A66"/>
    <w:rPr>
      <w:i/>
      <w:iCs/>
    </w:rPr>
  </w:style>
  <w:style w:type="character" w:styleId="IntenseEmphasis">
    <w:name w:val="Intense Emphasis"/>
    <w:basedOn w:val="DefaultParagraphFont"/>
    <w:uiPriority w:val="21"/>
    <w:semiHidden/>
    <w:qFormat/>
    <w:rsid w:val="004A4A66"/>
    <w:rPr>
      <w:i/>
      <w:iCs/>
      <w:color w:val="4F81BD" w:themeColor="accent1"/>
    </w:rPr>
  </w:style>
  <w:style w:type="character" w:styleId="Strong">
    <w:name w:val="Strong"/>
    <w:basedOn w:val="DefaultParagraphFont"/>
    <w:uiPriority w:val="22"/>
    <w:semiHidden/>
    <w:qFormat/>
    <w:rsid w:val="004A4A66"/>
    <w:rPr>
      <w:b/>
      <w:bCs/>
    </w:rPr>
  </w:style>
  <w:style w:type="paragraph" w:styleId="Quote">
    <w:name w:val="Quote"/>
    <w:basedOn w:val="Normal"/>
    <w:next w:val="Normal"/>
    <w:link w:val="QuoteChar"/>
    <w:uiPriority w:val="29"/>
    <w:semiHidden/>
    <w:qFormat/>
    <w:rsid w:val="004A4A6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4A66"/>
    <w:rPr>
      <w:rFonts w:ascii="Arial" w:eastAsia="Arial" w:hAnsi="Arial" w:cs="Arial"/>
      <w:bCs/>
      <w:i/>
      <w:iCs/>
      <w:color w:val="404040" w:themeColor="text1" w:themeTint="BF"/>
      <w:sz w:val="18"/>
    </w:rPr>
  </w:style>
  <w:style w:type="paragraph" w:styleId="IntenseQuote">
    <w:name w:val="Intense Quote"/>
    <w:basedOn w:val="Normal"/>
    <w:next w:val="Normal"/>
    <w:link w:val="IntenseQuoteChar"/>
    <w:uiPriority w:val="30"/>
    <w:semiHidden/>
    <w:qFormat/>
    <w:rsid w:val="004A4A6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A4A66"/>
    <w:rPr>
      <w:rFonts w:ascii="Arial" w:eastAsia="Arial" w:hAnsi="Arial" w:cs="Arial"/>
      <w:bCs/>
      <w:i/>
      <w:iCs/>
      <w:color w:val="4F81BD" w:themeColor="accent1"/>
      <w:sz w:val="18"/>
    </w:rPr>
  </w:style>
  <w:style w:type="character" w:styleId="SubtleReference">
    <w:name w:val="Subtle Reference"/>
    <w:basedOn w:val="DefaultParagraphFont"/>
    <w:uiPriority w:val="31"/>
    <w:semiHidden/>
    <w:qFormat/>
    <w:rsid w:val="004A4A66"/>
    <w:rPr>
      <w:smallCaps/>
      <w:color w:val="5A5A5A" w:themeColor="text1" w:themeTint="A5"/>
    </w:rPr>
  </w:style>
  <w:style w:type="character" w:styleId="IntenseReference">
    <w:name w:val="Intense Reference"/>
    <w:basedOn w:val="DefaultParagraphFont"/>
    <w:uiPriority w:val="32"/>
    <w:semiHidden/>
    <w:qFormat/>
    <w:rsid w:val="004A4A66"/>
    <w:rPr>
      <w:b/>
      <w:bCs/>
      <w:smallCaps/>
      <w:color w:val="4F81BD" w:themeColor="accent1"/>
      <w:spacing w:val="5"/>
    </w:rPr>
  </w:style>
  <w:style w:type="character" w:styleId="BookTitle">
    <w:name w:val="Book Title"/>
    <w:basedOn w:val="DefaultParagraphFont"/>
    <w:uiPriority w:val="33"/>
    <w:semiHidden/>
    <w:qFormat/>
    <w:rsid w:val="004A4A66"/>
    <w:rPr>
      <w:b/>
      <w:bCs/>
      <w:i/>
      <w:iCs/>
      <w:spacing w:val="5"/>
    </w:rPr>
  </w:style>
  <w:style w:type="character" w:customStyle="1" w:styleId="DPWfdPFChar">
    <w:name w:val="DPW fd PF Char"/>
    <w:aliases w:val="p + (Latin) Arial Char,(Asian) New MingLiu Char,(Complex) Ari... + Arial Char,Bla... Char,p Char1,p Char"/>
    <w:link w:val="DPWfdPF"/>
    <w:locked/>
    <w:rsid w:val="00CF3F8B"/>
    <w:rPr>
      <w:rFonts w:ascii="Arial" w:eastAsia="Times New Roman" w:hAnsi="Arial" w:cs="Arial"/>
    </w:rPr>
  </w:style>
  <w:style w:type="paragraph" w:customStyle="1" w:styleId="DPWfdPF">
    <w:name w:val="DPW fd PF"/>
    <w:aliases w:val="p + (Latin) Arial,(Asian) New MingLiu,(Complex) Ari... + Arial,Bla...,p,(Complex) A... + Arial"/>
    <w:basedOn w:val="Normal"/>
    <w:link w:val="DPWfdPFChar"/>
    <w:rsid w:val="00CF3F8B"/>
    <w:pPr>
      <w:spacing w:before="0" w:after="200" w:line="240" w:lineRule="auto"/>
    </w:pPr>
    <w:rPr>
      <w:rFonts w:eastAsia="Times New Roman"/>
      <w:bCs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98681">
      <w:bodyDiv w:val="1"/>
      <w:marLeft w:val="0"/>
      <w:marRight w:val="0"/>
      <w:marTop w:val="0"/>
      <w:marBottom w:val="0"/>
      <w:divBdr>
        <w:top w:val="none" w:sz="0" w:space="0" w:color="auto"/>
        <w:left w:val="none" w:sz="0" w:space="0" w:color="auto"/>
        <w:bottom w:val="none" w:sz="0" w:space="0" w:color="auto"/>
        <w:right w:val="none" w:sz="0" w:space="0" w:color="auto"/>
      </w:divBdr>
    </w:div>
    <w:div w:id="120924802">
      <w:bodyDiv w:val="1"/>
      <w:marLeft w:val="0"/>
      <w:marRight w:val="0"/>
      <w:marTop w:val="0"/>
      <w:marBottom w:val="0"/>
      <w:divBdr>
        <w:top w:val="none" w:sz="0" w:space="0" w:color="auto"/>
        <w:left w:val="none" w:sz="0" w:space="0" w:color="auto"/>
        <w:bottom w:val="none" w:sz="0" w:space="0" w:color="auto"/>
        <w:right w:val="none" w:sz="0" w:space="0" w:color="auto"/>
      </w:divBdr>
    </w:div>
    <w:div w:id="276446637">
      <w:bodyDiv w:val="1"/>
      <w:marLeft w:val="0"/>
      <w:marRight w:val="0"/>
      <w:marTop w:val="0"/>
      <w:marBottom w:val="0"/>
      <w:divBdr>
        <w:top w:val="none" w:sz="0" w:space="0" w:color="auto"/>
        <w:left w:val="none" w:sz="0" w:space="0" w:color="auto"/>
        <w:bottom w:val="none" w:sz="0" w:space="0" w:color="auto"/>
        <w:right w:val="none" w:sz="0" w:space="0" w:color="auto"/>
      </w:divBdr>
    </w:div>
    <w:div w:id="313872553">
      <w:bodyDiv w:val="1"/>
      <w:marLeft w:val="0"/>
      <w:marRight w:val="0"/>
      <w:marTop w:val="0"/>
      <w:marBottom w:val="0"/>
      <w:divBdr>
        <w:top w:val="none" w:sz="0" w:space="0" w:color="auto"/>
        <w:left w:val="none" w:sz="0" w:space="0" w:color="auto"/>
        <w:bottom w:val="none" w:sz="0" w:space="0" w:color="auto"/>
        <w:right w:val="none" w:sz="0" w:space="0" w:color="auto"/>
      </w:divBdr>
    </w:div>
    <w:div w:id="366301713">
      <w:bodyDiv w:val="1"/>
      <w:marLeft w:val="0"/>
      <w:marRight w:val="0"/>
      <w:marTop w:val="0"/>
      <w:marBottom w:val="0"/>
      <w:divBdr>
        <w:top w:val="none" w:sz="0" w:space="0" w:color="auto"/>
        <w:left w:val="none" w:sz="0" w:space="0" w:color="auto"/>
        <w:bottom w:val="none" w:sz="0" w:space="0" w:color="auto"/>
        <w:right w:val="none" w:sz="0" w:space="0" w:color="auto"/>
      </w:divBdr>
    </w:div>
    <w:div w:id="486825970">
      <w:bodyDiv w:val="1"/>
      <w:marLeft w:val="0"/>
      <w:marRight w:val="0"/>
      <w:marTop w:val="0"/>
      <w:marBottom w:val="0"/>
      <w:divBdr>
        <w:top w:val="none" w:sz="0" w:space="0" w:color="auto"/>
        <w:left w:val="none" w:sz="0" w:space="0" w:color="auto"/>
        <w:bottom w:val="none" w:sz="0" w:space="0" w:color="auto"/>
        <w:right w:val="none" w:sz="0" w:space="0" w:color="auto"/>
      </w:divBdr>
    </w:div>
    <w:div w:id="560097907">
      <w:bodyDiv w:val="1"/>
      <w:marLeft w:val="0"/>
      <w:marRight w:val="0"/>
      <w:marTop w:val="0"/>
      <w:marBottom w:val="0"/>
      <w:divBdr>
        <w:top w:val="none" w:sz="0" w:space="0" w:color="auto"/>
        <w:left w:val="none" w:sz="0" w:space="0" w:color="auto"/>
        <w:bottom w:val="none" w:sz="0" w:space="0" w:color="auto"/>
        <w:right w:val="none" w:sz="0" w:space="0" w:color="auto"/>
      </w:divBdr>
    </w:div>
    <w:div w:id="598950212">
      <w:bodyDiv w:val="1"/>
      <w:marLeft w:val="0"/>
      <w:marRight w:val="0"/>
      <w:marTop w:val="0"/>
      <w:marBottom w:val="0"/>
      <w:divBdr>
        <w:top w:val="none" w:sz="0" w:space="0" w:color="auto"/>
        <w:left w:val="none" w:sz="0" w:space="0" w:color="auto"/>
        <w:bottom w:val="none" w:sz="0" w:space="0" w:color="auto"/>
        <w:right w:val="none" w:sz="0" w:space="0" w:color="auto"/>
      </w:divBdr>
    </w:div>
    <w:div w:id="602609697">
      <w:bodyDiv w:val="1"/>
      <w:marLeft w:val="0"/>
      <w:marRight w:val="0"/>
      <w:marTop w:val="0"/>
      <w:marBottom w:val="0"/>
      <w:divBdr>
        <w:top w:val="none" w:sz="0" w:space="0" w:color="auto"/>
        <w:left w:val="none" w:sz="0" w:space="0" w:color="auto"/>
        <w:bottom w:val="none" w:sz="0" w:space="0" w:color="auto"/>
        <w:right w:val="none" w:sz="0" w:space="0" w:color="auto"/>
      </w:divBdr>
    </w:div>
    <w:div w:id="666715060">
      <w:bodyDiv w:val="1"/>
      <w:marLeft w:val="0"/>
      <w:marRight w:val="0"/>
      <w:marTop w:val="0"/>
      <w:marBottom w:val="0"/>
      <w:divBdr>
        <w:top w:val="none" w:sz="0" w:space="0" w:color="auto"/>
        <w:left w:val="none" w:sz="0" w:space="0" w:color="auto"/>
        <w:bottom w:val="none" w:sz="0" w:space="0" w:color="auto"/>
        <w:right w:val="none" w:sz="0" w:space="0" w:color="auto"/>
      </w:divBdr>
      <w:divsChild>
        <w:div w:id="1534075637">
          <w:marLeft w:val="0"/>
          <w:marRight w:val="0"/>
          <w:marTop w:val="0"/>
          <w:marBottom w:val="0"/>
          <w:divBdr>
            <w:top w:val="none" w:sz="0" w:space="0" w:color="auto"/>
            <w:left w:val="none" w:sz="0" w:space="0" w:color="auto"/>
            <w:bottom w:val="none" w:sz="0" w:space="0" w:color="auto"/>
            <w:right w:val="none" w:sz="0" w:space="0" w:color="auto"/>
          </w:divBdr>
        </w:div>
      </w:divsChild>
    </w:div>
    <w:div w:id="861557877">
      <w:bodyDiv w:val="1"/>
      <w:marLeft w:val="0"/>
      <w:marRight w:val="0"/>
      <w:marTop w:val="0"/>
      <w:marBottom w:val="0"/>
      <w:divBdr>
        <w:top w:val="none" w:sz="0" w:space="0" w:color="auto"/>
        <w:left w:val="none" w:sz="0" w:space="0" w:color="auto"/>
        <w:bottom w:val="none" w:sz="0" w:space="0" w:color="auto"/>
        <w:right w:val="none" w:sz="0" w:space="0" w:color="auto"/>
      </w:divBdr>
    </w:div>
    <w:div w:id="921840916">
      <w:bodyDiv w:val="1"/>
      <w:marLeft w:val="0"/>
      <w:marRight w:val="0"/>
      <w:marTop w:val="0"/>
      <w:marBottom w:val="0"/>
      <w:divBdr>
        <w:top w:val="none" w:sz="0" w:space="0" w:color="auto"/>
        <w:left w:val="none" w:sz="0" w:space="0" w:color="auto"/>
        <w:bottom w:val="none" w:sz="0" w:space="0" w:color="auto"/>
        <w:right w:val="none" w:sz="0" w:space="0" w:color="auto"/>
      </w:divBdr>
    </w:div>
    <w:div w:id="1084456692">
      <w:bodyDiv w:val="1"/>
      <w:marLeft w:val="0"/>
      <w:marRight w:val="0"/>
      <w:marTop w:val="0"/>
      <w:marBottom w:val="0"/>
      <w:divBdr>
        <w:top w:val="none" w:sz="0" w:space="0" w:color="auto"/>
        <w:left w:val="none" w:sz="0" w:space="0" w:color="auto"/>
        <w:bottom w:val="none" w:sz="0" w:space="0" w:color="auto"/>
        <w:right w:val="none" w:sz="0" w:space="0" w:color="auto"/>
      </w:divBdr>
    </w:div>
    <w:div w:id="1210803229">
      <w:bodyDiv w:val="1"/>
      <w:marLeft w:val="0"/>
      <w:marRight w:val="0"/>
      <w:marTop w:val="0"/>
      <w:marBottom w:val="0"/>
      <w:divBdr>
        <w:top w:val="none" w:sz="0" w:space="0" w:color="auto"/>
        <w:left w:val="none" w:sz="0" w:space="0" w:color="auto"/>
        <w:bottom w:val="none" w:sz="0" w:space="0" w:color="auto"/>
        <w:right w:val="none" w:sz="0" w:space="0" w:color="auto"/>
      </w:divBdr>
    </w:div>
    <w:div w:id="1225022990">
      <w:bodyDiv w:val="1"/>
      <w:marLeft w:val="0"/>
      <w:marRight w:val="0"/>
      <w:marTop w:val="0"/>
      <w:marBottom w:val="0"/>
      <w:divBdr>
        <w:top w:val="none" w:sz="0" w:space="0" w:color="auto"/>
        <w:left w:val="none" w:sz="0" w:space="0" w:color="auto"/>
        <w:bottom w:val="none" w:sz="0" w:space="0" w:color="auto"/>
        <w:right w:val="none" w:sz="0" w:space="0" w:color="auto"/>
      </w:divBdr>
      <w:divsChild>
        <w:div w:id="445344731">
          <w:marLeft w:val="0"/>
          <w:marRight w:val="0"/>
          <w:marTop w:val="0"/>
          <w:marBottom w:val="0"/>
          <w:divBdr>
            <w:top w:val="none" w:sz="0" w:space="0" w:color="auto"/>
            <w:left w:val="none" w:sz="0" w:space="0" w:color="auto"/>
            <w:bottom w:val="none" w:sz="0" w:space="0" w:color="auto"/>
            <w:right w:val="none" w:sz="0" w:space="0" w:color="auto"/>
          </w:divBdr>
        </w:div>
      </w:divsChild>
    </w:div>
    <w:div w:id="1623806118">
      <w:bodyDiv w:val="1"/>
      <w:marLeft w:val="0"/>
      <w:marRight w:val="0"/>
      <w:marTop w:val="0"/>
      <w:marBottom w:val="0"/>
      <w:divBdr>
        <w:top w:val="none" w:sz="0" w:space="0" w:color="auto"/>
        <w:left w:val="none" w:sz="0" w:space="0" w:color="auto"/>
        <w:bottom w:val="none" w:sz="0" w:space="0" w:color="auto"/>
        <w:right w:val="none" w:sz="0" w:space="0" w:color="auto"/>
      </w:divBdr>
    </w:div>
    <w:div w:id="1892842176">
      <w:bodyDiv w:val="1"/>
      <w:marLeft w:val="0"/>
      <w:marRight w:val="0"/>
      <w:marTop w:val="0"/>
      <w:marBottom w:val="0"/>
      <w:divBdr>
        <w:top w:val="none" w:sz="0" w:space="0" w:color="auto"/>
        <w:left w:val="none" w:sz="0" w:space="0" w:color="auto"/>
        <w:bottom w:val="none" w:sz="0" w:space="0" w:color="auto"/>
        <w:right w:val="none" w:sz="0" w:space="0" w:color="auto"/>
      </w:divBdr>
      <w:divsChild>
        <w:div w:id="1129594029">
          <w:marLeft w:val="0"/>
          <w:marRight w:val="1"/>
          <w:marTop w:val="0"/>
          <w:marBottom w:val="0"/>
          <w:divBdr>
            <w:top w:val="none" w:sz="0" w:space="0" w:color="auto"/>
            <w:left w:val="none" w:sz="0" w:space="0" w:color="auto"/>
            <w:bottom w:val="none" w:sz="0" w:space="0" w:color="auto"/>
            <w:right w:val="none" w:sz="0" w:space="0" w:color="auto"/>
          </w:divBdr>
        </w:div>
        <w:div w:id="1331058997">
          <w:marLeft w:val="0"/>
          <w:marRight w:val="0"/>
          <w:marTop w:val="0"/>
          <w:marBottom w:val="0"/>
          <w:divBdr>
            <w:top w:val="none" w:sz="0" w:space="0" w:color="auto"/>
            <w:left w:val="none" w:sz="0" w:space="0" w:color="auto"/>
            <w:bottom w:val="none" w:sz="0" w:space="0" w:color="auto"/>
            <w:right w:val="none" w:sz="0" w:space="0" w:color="auto"/>
          </w:divBdr>
        </w:div>
      </w:divsChild>
    </w:div>
    <w:div w:id="2050378103">
      <w:bodyDiv w:val="1"/>
      <w:marLeft w:val="0"/>
      <w:marRight w:val="0"/>
      <w:marTop w:val="0"/>
      <w:marBottom w:val="0"/>
      <w:divBdr>
        <w:top w:val="none" w:sz="0" w:space="0" w:color="auto"/>
        <w:left w:val="none" w:sz="0" w:space="0" w:color="auto"/>
        <w:bottom w:val="none" w:sz="0" w:space="0" w:color="auto"/>
        <w:right w:val="none" w:sz="0" w:space="0" w:color="auto"/>
      </w:divBdr>
      <w:divsChild>
        <w:div w:id="396361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yperlink" Target="http://www.sec.gov/Archives/edgar/data/19617/000095010320021467/crt_dp139322-424b2.pdf"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www.sec.gov/Archives/edgar/data/19617/000095010320007214/crt_dp124361-424b2.pdf" TargetMode="Externa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http://www.sec.gov/Archives/edgar/data/19617/000095010320021471/crt_dp139381-424b2.pdf"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romberg\Desktop\nydata01\cwcd\_JPM.SP.TEMPLATES\3P.NOTES\3P.wof.coupon.xlsm"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romberg\Desktop\nydata01\cwcd\_JPM.SP.TEMPLATES\3P.NOTES\3P.wof.coupon.xlsm"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romberg\Desktop\nydata01\cwcd\_JPM.SP.TEMPLATES\3P.NOTES\3P.wof.coupon.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dLbls>
          <c:showLegendKey val="0"/>
          <c:showVal val="0"/>
          <c:showCatName val="0"/>
          <c:showSerName val="0"/>
          <c:showPercent val="0"/>
          <c:showBubbleSize val="0"/>
        </c:dLbls>
        <c:marker val="1"/>
        <c:smooth val="0"/>
        <c:axId val="130172416"/>
        <c:axId val="130470272"/>
      </c:lineChart>
      <c:catAx>
        <c:axId val="130172416"/>
        <c:scaling>
          <c:orientation val="minMax"/>
        </c:scaling>
        <c:delete val="0"/>
        <c:axPos val="b"/>
        <c:majorTickMark val="out"/>
        <c:minorTickMark val="none"/>
        <c:tickLblPos val="nextTo"/>
        <c:crossAx val="130470272"/>
        <c:crosses val="autoZero"/>
        <c:auto val="1"/>
        <c:lblAlgn val="ctr"/>
        <c:lblOffset val="100"/>
        <c:noMultiLvlLbl val="0"/>
      </c:catAx>
      <c:valAx>
        <c:axId val="130470272"/>
        <c:scaling>
          <c:orientation val="minMax"/>
        </c:scaling>
        <c:delete val="0"/>
        <c:axPos val="l"/>
        <c:majorGridlines/>
        <c:numFmt formatCode="General" sourceLinked="1"/>
        <c:majorTickMark val="out"/>
        <c:minorTickMark val="none"/>
        <c:tickLblPos val="nextTo"/>
        <c:crossAx val="130172416"/>
        <c:crosses val="autoZero"/>
        <c:crossBetween val="between"/>
      </c:valAx>
      <c:spPr>
        <a:noFill/>
        <a:ln w="25400">
          <a:noFill/>
        </a:ln>
      </c:spPr>
    </c:plotArea>
    <c:legend>
      <c:legendPos val="r"/>
      <c:layout/>
      <c:overlay val="0"/>
    </c:legend>
    <c:plotVisOnly val="1"/>
    <c:dispBlanksAs val="gap"/>
    <c:showDLblsOverMax val="0"/>
  </c:chart>
  <c:spPr>
    <a:noFill/>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dLbls>
          <c:showLegendKey val="0"/>
          <c:showVal val="0"/>
          <c:showCatName val="0"/>
          <c:showSerName val="0"/>
          <c:showPercent val="0"/>
          <c:showBubbleSize val="0"/>
        </c:dLbls>
        <c:marker val="1"/>
        <c:smooth val="0"/>
        <c:axId val="135116672"/>
        <c:axId val="135118208"/>
      </c:lineChart>
      <c:catAx>
        <c:axId val="135116672"/>
        <c:scaling>
          <c:orientation val="minMax"/>
        </c:scaling>
        <c:delete val="0"/>
        <c:axPos val="b"/>
        <c:majorTickMark val="out"/>
        <c:minorTickMark val="none"/>
        <c:tickLblPos val="nextTo"/>
        <c:crossAx val="135118208"/>
        <c:crosses val="autoZero"/>
        <c:auto val="1"/>
        <c:lblAlgn val="ctr"/>
        <c:lblOffset val="100"/>
        <c:noMultiLvlLbl val="0"/>
      </c:catAx>
      <c:valAx>
        <c:axId val="135118208"/>
        <c:scaling>
          <c:orientation val="minMax"/>
        </c:scaling>
        <c:delete val="0"/>
        <c:axPos val="l"/>
        <c:majorGridlines/>
        <c:numFmt formatCode="General" sourceLinked="1"/>
        <c:majorTickMark val="out"/>
        <c:minorTickMark val="none"/>
        <c:tickLblPos val="nextTo"/>
        <c:crossAx val="135116672"/>
        <c:crosses val="autoZero"/>
        <c:crossBetween val="between"/>
      </c:valAx>
      <c:spPr>
        <a:noFill/>
        <a:ln w="25400">
          <a:noFill/>
        </a:ln>
      </c:spPr>
    </c:plotArea>
    <c:legend>
      <c:legendPos val="r"/>
      <c:layout/>
      <c:overlay val="0"/>
    </c:legend>
    <c:plotVisOnly val="1"/>
    <c:dispBlanksAs val="gap"/>
    <c:showDLblsOverMax val="0"/>
  </c:chart>
  <c:spPr>
    <a:noFill/>
    <a:ln>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dLbls>
          <c:showLegendKey val="0"/>
          <c:showVal val="0"/>
          <c:showCatName val="0"/>
          <c:showSerName val="0"/>
          <c:showPercent val="0"/>
          <c:showBubbleSize val="0"/>
        </c:dLbls>
        <c:marker val="1"/>
        <c:smooth val="0"/>
        <c:axId val="138804224"/>
        <c:axId val="238486272"/>
      </c:lineChart>
      <c:catAx>
        <c:axId val="138804224"/>
        <c:scaling>
          <c:orientation val="minMax"/>
        </c:scaling>
        <c:delete val="0"/>
        <c:axPos val="b"/>
        <c:majorTickMark val="out"/>
        <c:minorTickMark val="none"/>
        <c:tickLblPos val="nextTo"/>
        <c:crossAx val="238486272"/>
        <c:crosses val="autoZero"/>
        <c:auto val="1"/>
        <c:lblAlgn val="ctr"/>
        <c:lblOffset val="100"/>
        <c:noMultiLvlLbl val="0"/>
      </c:catAx>
      <c:valAx>
        <c:axId val="238486272"/>
        <c:scaling>
          <c:orientation val="minMax"/>
        </c:scaling>
        <c:delete val="0"/>
        <c:axPos val="l"/>
        <c:majorGridlines/>
        <c:numFmt formatCode="General" sourceLinked="1"/>
        <c:majorTickMark val="out"/>
        <c:minorTickMark val="none"/>
        <c:tickLblPos val="nextTo"/>
        <c:crossAx val="138804224"/>
        <c:crosses val="autoZero"/>
        <c:crossBetween val="between"/>
      </c:valAx>
      <c:spPr>
        <a:noFill/>
        <a:ln w="25400">
          <a:noFill/>
        </a:ln>
      </c:spPr>
    </c:plotArea>
    <c:legend>
      <c:legendPos val="r"/>
      <c:layout/>
      <c:overlay val="0"/>
    </c:legend>
    <c:plotVisOnly val="1"/>
    <c:dispBlanksAs val="gap"/>
    <c:showDLblsOverMax val="0"/>
  </c:chart>
  <c:spPr>
    <a:noFill/>
    <a:ln>
      <a:noFill/>
    </a:ln>
    <a:effectLst>
      <a:outerShdw blurRad="50800" dist="50800" dir="5400000" algn="ctr" rotWithShape="0">
        <a:srgbClr val="FFFFFF">
          <a:alpha val="0"/>
        </a:srgbClr>
      </a:outerShdw>
    </a:effectLst>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0.00566</cdr:x>
      <cdr:y>0.24223</cdr:y>
    </cdr:from>
    <cdr:to>
      <cdr:x>0.45858</cdr:x>
      <cdr:y>0.5969</cdr:y>
    </cdr:to>
    <cdr:sp macro="" textlink="">
      <cdr:nvSpPr>
        <cdr:cNvPr id="6" name="ncb3"/>
        <cdr:cNvSpPr>
          <a:spLocks xmlns:a="http://schemas.openxmlformats.org/drawingml/2006/main" noChangeArrowheads="1"/>
        </cdr:cNvSpPr>
      </cdr:nvSpPr>
      <cdr:spPr bwMode="auto">
        <a:xfrm xmlns:a="http://schemas.openxmlformats.org/drawingml/2006/main">
          <a:off x="31651" y="665827"/>
          <a:ext cx="2532772" cy="974885"/>
        </a:xfrm>
        <a:prstGeom xmlns:a="http://schemas.openxmlformats.org/drawingml/2006/main" prst="homePlate">
          <a:avLst>
            <a:gd name="adj" fmla="val 40862"/>
          </a:avLst>
        </a:prstGeom>
        <a:solidFill xmlns:a="http://schemas.openxmlformats.org/drawingml/2006/main">
          <a:srgbClr val="C6D8F0"/>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vertOverflow="clip" horzOverflow="clip" wrap="square" lIns="228600" anchor="ctr"/>
        <a:lstStyle xmlns:a="http://schemas.openxmlformats.org/drawingml/2006/main"/>
        <a:p xmlns:a="http://schemas.openxmlformats.org/drawingml/2006/main">
          <a:pPr algn="l" eaLnBrk="1" hangingPunct="1">
            <a:lnSpc>
              <a:spcPct val="100000"/>
            </a:lnSpc>
          </a:pPr>
          <a:r>
            <a:rPr lang="en-US" altLang="en-US" sz="700" b="0" i="0" u="none" strike="noStrike" dirty="0">
              <a:solidFill>
                <a:srgbClr val="000000"/>
              </a:solidFill>
              <a:latin typeface="Arial"/>
              <a:cs typeface="Arial" panose="020B0604020202020204" pitchFamily="34" charset="0"/>
            </a:rPr>
            <a:t>The closing level of the Index </a:t>
          </a:r>
          <a:r>
            <a:rPr lang="en-US" altLang="en-US" sz="700" b="0" i="0" u="none" strike="noStrike" dirty="0" smtClean="0">
              <a:solidFill>
                <a:srgbClr val="000000"/>
              </a:solidFill>
              <a:latin typeface="Arial"/>
              <a:cs typeface="Arial" panose="020B0604020202020204" pitchFamily="34" charset="0"/>
            </a:rPr>
            <a:t>is </a:t>
          </a:r>
          <a:r>
            <a:rPr lang="en-US" altLang="en-US" sz="700" b="1" i="0" u="none" strike="noStrike" dirty="0">
              <a:solidFill>
                <a:srgbClr val="000000"/>
              </a:solidFill>
              <a:latin typeface="Arial"/>
              <a:cs typeface="Arial" panose="020B0604020202020204" pitchFamily="34" charset="0"/>
            </a:rPr>
            <a:t>greater than or equal to </a:t>
          </a:r>
          <a:r>
            <a:rPr lang="en-US" altLang="en-US" sz="700" b="0" i="0" u="none" strike="noStrike" dirty="0" smtClean="0">
              <a:solidFill>
                <a:srgbClr val="000000"/>
              </a:solidFill>
              <a:latin typeface="Arial"/>
              <a:cs typeface="Arial" panose="020B0604020202020204" pitchFamily="34" charset="0"/>
            </a:rPr>
            <a:t>the </a:t>
          </a:r>
          <a:r>
            <a:rPr lang="en-US" altLang="en-US" sz="700" b="0" i="0" u="none" strike="noStrike" dirty="0">
              <a:solidFill>
                <a:srgbClr val="000000"/>
              </a:solidFill>
              <a:latin typeface="Arial"/>
              <a:cs typeface="Arial" panose="020B0604020202020204" pitchFamily="34" charset="0"/>
            </a:rPr>
            <a:t>Interest Barrier.</a:t>
          </a:r>
        </a:p>
      </cdr:txBody>
    </cdr:sp>
  </cdr:relSizeAnchor>
  <cdr:relSizeAnchor xmlns:cdr="http://schemas.openxmlformats.org/drawingml/2006/chartDrawing">
    <cdr:from>
      <cdr:x>0.00566</cdr:x>
      <cdr:y>0.61639</cdr:y>
    </cdr:from>
    <cdr:to>
      <cdr:x>0.4612</cdr:x>
      <cdr:y>0.983</cdr:y>
    </cdr:to>
    <cdr:sp macro="" textlink="">
      <cdr:nvSpPr>
        <cdr:cNvPr id="7" name="ncb4"/>
        <cdr:cNvSpPr>
          <a:spLocks xmlns:a="http://schemas.openxmlformats.org/drawingml/2006/main" noChangeArrowheads="1"/>
        </cdr:cNvSpPr>
      </cdr:nvSpPr>
      <cdr:spPr bwMode="auto">
        <a:xfrm xmlns:a="http://schemas.openxmlformats.org/drawingml/2006/main">
          <a:off x="31652" y="1694291"/>
          <a:ext cx="2547426" cy="1007704"/>
        </a:xfrm>
        <a:prstGeom xmlns:a="http://schemas.openxmlformats.org/drawingml/2006/main" prst="homePlate">
          <a:avLst>
            <a:gd name="adj" fmla="val 40754"/>
          </a:avLst>
        </a:prstGeom>
        <a:solidFill xmlns:a="http://schemas.openxmlformats.org/drawingml/2006/main">
          <a:srgbClr val="C6D8F0"/>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vertOverflow="clip" horzOverflow="clip" wrap="square" lIns="228600" anchor="ctr"/>
        <a:lstStyle xmlns:a="http://schemas.openxmlformats.org/drawingml/2006/main"/>
        <a:p xmlns:a="http://schemas.openxmlformats.org/drawingml/2006/main">
          <a:pPr algn="l" eaLnBrk="1" hangingPunct="1">
            <a:lnSpc>
              <a:spcPct val="100000"/>
            </a:lnSpc>
          </a:pPr>
          <a:r>
            <a:rPr lang="en-US" altLang="en-US" sz="700" b="0" i="0" dirty="0">
              <a:latin typeface="Arial"/>
              <a:cs typeface="Arial" panose="020B0604020202020204" pitchFamily="34" charset="0"/>
            </a:rPr>
            <a:t>The </a:t>
          </a:r>
          <a:r>
            <a:rPr lang="en-US" altLang="en-US" sz="700" b="0" i="0" u="none" strike="noStrike" dirty="0">
              <a:solidFill>
                <a:srgbClr val="000000"/>
              </a:solidFill>
              <a:latin typeface="Arial"/>
              <a:cs typeface="Arial" panose="020B0604020202020204" pitchFamily="34" charset="0"/>
            </a:rPr>
            <a:t>closing level of the Index</a:t>
          </a:r>
          <a:r>
            <a:rPr lang="en-US" altLang="en-US" sz="700" b="0" i="0" dirty="0" smtClean="0">
              <a:latin typeface="Arial"/>
              <a:cs typeface="Arial" panose="020B0604020202020204" pitchFamily="34" charset="0"/>
            </a:rPr>
            <a:t> is </a:t>
          </a:r>
          <a:r>
            <a:rPr lang="en-US" altLang="en-US" sz="700" b="1" i="0" dirty="0">
              <a:latin typeface="Arial"/>
              <a:cs typeface="Arial" panose="020B0604020202020204" pitchFamily="34" charset="0"/>
            </a:rPr>
            <a:t>less than </a:t>
          </a:r>
          <a:r>
            <a:rPr lang="en-US" altLang="en-US" sz="700" b="0" i="0" dirty="0" smtClean="0">
              <a:latin typeface="Arial"/>
              <a:cs typeface="Arial" panose="020B0604020202020204" pitchFamily="34" charset="0"/>
            </a:rPr>
            <a:t>the </a:t>
          </a:r>
          <a:r>
            <a:rPr lang="en-US" altLang="en-US" sz="700" b="0" i="0" dirty="0">
              <a:latin typeface="Arial"/>
              <a:cs typeface="Arial" panose="020B0604020202020204" pitchFamily="34" charset="0"/>
            </a:rPr>
            <a:t>Interest Barrier.</a:t>
          </a:r>
        </a:p>
      </cdr:txBody>
    </cdr:sp>
  </cdr:relSizeAnchor>
  <cdr:relSizeAnchor xmlns:cdr="http://schemas.openxmlformats.org/drawingml/2006/chartDrawing">
    <cdr:from>
      <cdr:x>0.34792</cdr:x>
      <cdr:y>0.21528</cdr:y>
    </cdr:from>
    <cdr:to>
      <cdr:x>0.54792</cdr:x>
      <cdr:y>0.54861</cdr:y>
    </cdr:to>
    <cdr:sp macro="" textlink="">
      <cdr:nvSpPr>
        <cdr:cNvPr id="2" name="TextBox 1"/>
        <cdr:cNvSpPr txBox="1"/>
      </cdr:nvSpPr>
      <cdr:spPr>
        <a:xfrm xmlns:a="http://schemas.openxmlformats.org/drawingml/2006/main">
          <a:off x="1590675" y="5905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0.0105</cdr:x>
      <cdr:y>0.01027</cdr:y>
    </cdr:from>
    <cdr:to>
      <cdr:x>1</cdr:x>
      <cdr:y>0.09289</cdr:y>
    </cdr:to>
    <cdr:sp macro="" textlink="">
      <cdr:nvSpPr>
        <cdr:cNvPr id="4" name="ncb1"/>
        <cdr:cNvSpPr>
          <a:spLocks xmlns:a="http://schemas.openxmlformats.org/drawingml/2006/main" noChangeArrowheads="1"/>
        </cdr:cNvSpPr>
      </cdr:nvSpPr>
      <cdr:spPr bwMode="auto">
        <a:xfrm xmlns:a="http://schemas.openxmlformats.org/drawingml/2006/main">
          <a:off x="62423" y="29865"/>
          <a:ext cx="5882648" cy="240309"/>
        </a:xfrm>
        <a:prstGeom xmlns:a="http://schemas.openxmlformats.org/drawingml/2006/main" prst="rect">
          <a:avLst/>
        </a:prstGeom>
        <a:solidFill xmlns:a="http://schemas.openxmlformats.org/drawingml/2006/main">
          <a:srgbClr val="8DB1E2"/>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12700" algn="ctr">
              <a:solidFill>
                <a:schemeClr val="bg1"/>
              </a:solidFill>
              <a:miter lim="800000"/>
              <a:headEnd/>
              <a:tailEnd/>
            </a14:hiddenLine>
          </a:ext>
          <a:ext uri="{AF507438-7753-43E0-B8FC-AC1667EBCBE1}">
            <a14:hiddenEffects xmlns:a14="http://schemas.microsoft.com/office/drawing/2010/main">
              <a:effectLst>
                <a:outerShdw dist="17961" dir="2700000" algn="ctr" rotWithShape="0">
                  <a:srgbClr val="92503B"/>
                </a:outerShdw>
              </a:effectLst>
            </a14:hiddenEffects>
          </a:ext>
        </a:extLst>
      </cdr:spPr>
      <cdr:txBody>
        <a:bodyPr xmlns:a="http://schemas.openxmlformats.org/drawingml/2006/main" lIns="0" tIns="0" rIns="0" bIns="0" anchor="ctr" anchorCtr="1"/>
        <a:lstStyle xmlns:a="http://schemas.openxmlformats.org/drawingml/2006/main"/>
        <a:p xmlns:a="http://schemas.openxmlformats.org/drawingml/2006/main">
          <a:pPr algn="ctr">
            <a:lnSpc>
              <a:spcPct val="80000"/>
            </a:lnSpc>
          </a:pPr>
          <a:r>
            <a:rPr lang="en-US" altLang="en-US" sz="800" b="1" i="0" dirty="0">
              <a:latin typeface="Arial"/>
              <a:cs typeface="Arial" panose="020B0604020202020204" pitchFamily="34" charset="0"/>
            </a:rPr>
            <a:t>First</a:t>
          </a:r>
          <a:r>
            <a:rPr lang="en-US" altLang="en-US" sz="800" b="1" i="0" baseline="0" dirty="0">
              <a:latin typeface="Arial"/>
              <a:cs typeface="Arial" panose="020B0604020202020204" pitchFamily="34" charset="0"/>
            </a:rPr>
            <a:t> through Fifth </a:t>
          </a:r>
          <a:r>
            <a:rPr lang="en-US" altLang="en-US" sz="800" b="1" i="0" dirty="0">
              <a:latin typeface="Arial"/>
              <a:cs typeface="Arial" panose="020B0604020202020204" pitchFamily="34" charset="0"/>
            </a:rPr>
            <a:t>Review </a:t>
          </a:r>
          <a:r>
            <a:rPr lang="en-US" altLang="en-US" sz="800" b="1" i="0" dirty="0" smtClean="0">
              <a:latin typeface="Arial"/>
              <a:cs typeface="Arial" panose="020B0604020202020204" pitchFamily="34" charset="0"/>
            </a:rPr>
            <a:t>Dates</a:t>
          </a:r>
          <a:endParaRPr lang="en-US" altLang="en-US" sz="800" b="1" i="0" dirty="0">
            <a:latin typeface="Arial"/>
            <a:cs typeface="Arial" panose="020B0604020202020204" pitchFamily="34" charset="0"/>
          </a:endParaRPr>
        </a:p>
      </cdr:txBody>
    </cdr:sp>
  </cdr:relSizeAnchor>
  <cdr:relSizeAnchor xmlns:cdr="http://schemas.openxmlformats.org/drawingml/2006/chartDrawing">
    <cdr:from>
      <cdr:x>0.01334</cdr:x>
      <cdr:y>0.09462</cdr:y>
    </cdr:from>
    <cdr:to>
      <cdr:x>0.98791</cdr:x>
      <cdr:y>0.16262</cdr:y>
    </cdr:to>
    <cdr:sp macro="" textlink="">
      <cdr:nvSpPr>
        <cdr:cNvPr id="5" name="ncb2"/>
        <cdr:cNvSpPr txBox="1">
          <a:spLocks xmlns:a="http://schemas.openxmlformats.org/drawingml/2006/main" noChangeArrowheads="1"/>
        </cdr:cNvSpPr>
      </cdr:nvSpPr>
      <cdr:spPr bwMode="auto">
        <a:xfrm xmlns:a="http://schemas.openxmlformats.org/drawingml/2006/main">
          <a:off x="79005" y="278369"/>
          <a:ext cx="5771791" cy="200055"/>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9050" algn="ctr">
              <a:solidFill>
                <a:schemeClr val="accent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wrap="square" lIns="0">
          <a:spAutoFit/>
        </a:bodyPr>
        <a:lstStyle xmlns:a="http://schemas.openxmlformats.org/drawingml/2006/main"/>
        <a:p xmlns:a="http://schemas.openxmlformats.org/drawingml/2006/main">
          <a:pPr rtl="0"/>
          <a:r>
            <a:rPr lang="en-US" altLang="en-US" sz="700" b="0" i="0" dirty="0">
              <a:latin typeface="Arial"/>
              <a:cs typeface="Arial" panose="020B0604020202020204" pitchFamily="34" charset="0"/>
            </a:rPr>
            <a:t>Compare the closing level of the Index </a:t>
          </a:r>
          <a:r>
            <a:rPr lang="en-US" altLang="en-US" sz="700" b="0" i="0" dirty="0" smtClean="0">
              <a:latin typeface="Arial"/>
              <a:cs typeface="Arial" panose="020B0604020202020204" pitchFamily="34" charset="0"/>
            </a:rPr>
            <a:t>to the </a:t>
          </a:r>
          <a:r>
            <a:rPr lang="en-US" altLang="en-US" sz="700" b="0" i="0" dirty="0">
              <a:latin typeface="Arial"/>
              <a:cs typeface="Arial" panose="020B0604020202020204" pitchFamily="34" charset="0"/>
            </a:rPr>
            <a:t>Interest Barrier on </a:t>
          </a:r>
          <a:r>
            <a:rPr lang="en-US" altLang="en-US" sz="700" b="0" i="0" dirty="0" smtClean="0">
              <a:latin typeface="Arial"/>
              <a:cs typeface="Arial" panose="020B0604020202020204" pitchFamily="34" charset="0"/>
            </a:rPr>
            <a:t>each </a:t>
          </a:r>
          <a:r>
            <a:rPr lang="en-US" altLang="en-US" sz="700" b="0" i="0" dirty="0">
              <a:latin typeface="Arial"/>
              <a:cs typeface="Arial" panose="020B0604020202020204" pitchFamily="34" charset="0"/>
            </a:rPr>
            <a:t>Review Date.</a:t>
          </a:r>
        </a:p>
      </cdr:txBody>
    </cdr:sp>
  </cdr:relSizeAnchor>
  <cdr:relSizeAnchor xmlns:cdr="http://schemas.openxmlformats.org/drawingml/2006/chartDrawing">
    <cdr:from>
      <cdr:x>0.46499</cdr:x>
      <cdr:y>0.25902</cdr:y>
    </cdr:from>
    <cdr:to>
      <cdr:x>0.99126</cdr:x>
      <cdr:y>0.60252</cdr:y>
    </cdr:to>
    <cdr:sp macro="" textlink="">
      <cdr:nvSpPr>
        <cdr:cNvPr id="8" name="ncb0"/>
        <cdr:cNvSpPr>
          <a:spLocks xmlns:a="http://schemas.openxmlformats.org/drawingml/2006/main" noChangeArrowheads="1"/>
        </cdr:cNvSpPr>
      </cdr:nvSpPr>
      <cdr:spPr bwMode="auto">
        <a:xfrm xmlns:a="http://schemas.openxmlformats.org/drawingml/2006/main">
          <a:off x="2600263" y="711972"/>
          <a:ext cx="2942945" cy="944182"/>
        </a:xfrm>
        <a:prstGeom xmlns:a="http://schemas.openxmlformats.org/drawingml/2006/main" prst="rect">
          <a:avLst/>
        </a:prstGeom>
        <a:solidFill xmlns:a="http://schemas.openxmlformats.org/drawingml/2006/main">
          <a:srgbClr val="C6D8F0"/>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anchor="ctr"/>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ctr"/>
          <a:r>
            <a:rPr lang="en-US" altLang="en-US" sz="700" b="0" i="0">
              <a:latin typeface="Arial"/>
            </a:rPr>
            <a:t>You will receive a Contingent Interest Payment on the</a:t>
          </a:r>
        </a:p>
        <a:p xmlns:a="http://schemas.openxmlformats.org/drawingml/2006/main">
          <a:pPr algn="ctr"/>
          <a:r>
            <a:rPr lang="en-US" altLang="en-US" sz="700" b="0" i="0">
              <a:latin typeface="Arial"/>
            </a:rPr>
            <a:t> applicable Interest Payment Date.</a:t>
          </a:r>
        </a:p>
        <a:p xmlns:a="http://schemas.openxmlformats.org/drawingml/2006/main">
          <a:pPr algn="ctr"/>
          <a:endParaRPr lang="en-US" altLang="en-US" sz="700" b="0" i="0">
            <a:latin typeface="Arial"/>
          </a:endParaRPr>
        </a:p>
        <a:p xmlns:a="http://schemas.openxmlformats.org/drawingml/2006/main">
          <a:pPr algn="ctr"/>
          <a:r>
            <a:rPr lang="en-US" altLang="en-US" sz="700" b="0" i="0">
              <a:latin typeface="Arial"/>
            </a:rPr>
            <a:t>Proceed to the next Review Date.</a:t>
          </a:r>
        </a:p>
      </cdr:txBody>
    </cdr:sp>
  </cdr:relSizeAnchor>
  <cdr:relSizeAnchor xmlns:cdr="http://schemas.openxmlformats.org/drawingml/2006/chartDrawing">
    <cdr:from>
      <cdr:x>0.4623</cdr:x>
      <cdr:y>0.61122</cdr:y>
    </cdr:from>
    <cdr:to>
      <cdr:x>0.98905</cdr:x>
      <cdr:y>0.97904</cdr:y>
    </cdr:to>
    <cdr:sp macro="" textlink="">
      <cdr:nvSpPr>
        <cdr:cNvPr id="9" name="ncb5"/>
        <cdr:cNvSpPr>
          <a:spLocks xmlns:a="http://schemas.openxmlformats.org/drawingml/2006/main" noChangeArrowheads="1"/>
        </cdr:cNvSpPr>
      </cdr:nvSpPr>
      <cdr:spPr bwMode="auto">
        <a:xfrm xmlns:a="http://schemas.openxmlformats.org/drawingml/2006/main">
          <a:off x="2749840" y="1797162"/>
          <a:ext cx="3133200" cy="1081496"/>
        </a:xfrm>
        <a:prstGeom xmlns:a="http://schemas.openxmlformats.org/drawingml/2006/main" prst="rect">
          <a:avLst/>
        </a:prstGeom>
        <a:solidFill xmlns:a="http://schemas.openxmlformats.org/drawingml/2006/main">
          <a:srgbClr val="C6D8F0"/>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anchor="ctr"/>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ctr" eaLnBrk="1" hangingPunct="1">
            <a:lnSpc>
              <a:spcPct val="100000"/>
            </a:lnSpc>
          </a:pPr>
          <a:r>
            <a:rPr lang="en-US" altLang="en-US" sz="700" b="0" i="0">
              <a:solidFill>
                <a:schemeClr val="tx1"/>
              </a:solidFill>
              <a:latin typeface="Arial"/>
            </a:rPr>
            <a:t>No Contingent Interest Payment will be made with respect to</a:t>
          </a:r>
        </a:p>
        <a:p xmlns:a="http://schemas.openxmlformats.org/drawingml/2006/main">
          <a:pPr algn="ctr" eaLnBrk="1" hangingPunct="1">
            <a:lnSpc>
              <a:spcPct val="100000"/>
            </a:lnSpc>
          </a:pPr>
          <a:r>
            <a:rPr lang="en-US" altLang="en-US" sz="700" b="0" i="0">
              <a:solidFill>
                <a:schemeClr val="tx1"/>
              </a:solidFill>
              <a:latin typeface="Arial"/>
            </a:rPr>
            <a:t> the applicable Review Date.</a:t>
          </a:r>
        </a:p>
        <a:p xmlns:a="http://schemas.openxmlformats.org/drawingml/2006/main">
          <a:pPr algn="ctr" eaLnBrk="1" hangingPunct="1">
            <a:lnSpc>
              <a:spcPct val="100000"/>
            </a:lnSpc>
          </a:pPr>
          <a:endParaRPr lang="en-US" altLang="en-US" sz="700" b="0" i="0">
            <a:solidFill>
              <a:schemeClr val="tx1"/>
            </a:solidFill>
            <a:latin typeface="Arial"/>
          </a:endParaRPr>
        </a:p>
        <a:p xmlns:a="http://schemas.openxmlformats.org/drawingml/2006/main">
          <a:pPr algn="ctr" eaLnBrk="1" hangingPunct="1">
            <a:lnSpc>
              <a:spcPct val="100000"/>
            </a:lnSpc>
          </a:pPr>
          <a:r>
            <a:rPr lang="en-US" altLang="en-US" sz="700" b="0" i="0">
              <a:solidFill>
                <a:schemeClr val="tx1"/>
              </a:solidFill>
              <a:latin typeface="Arial"/>
            </a:rPr>
            <a:t>Proceed to the next Review Date.</a:t>
          </a:r>
        </a:p>
      </cdr:txBody>
    </cdr:sp>
  </cdr:relSizeAnchor>
</c:userShapes>
</file>

<file path=word/drawings/drawing2.xml><?xml version="1.0" encoding="utf-8"?>
<c:userShapes xmlns:c="http://schemas.openxmlformats.org/drawingml/2006/chart">
  <cdr:relSizeAnchor xmlns:cdr="http://schemas.openxmlformats.org/drawingml/2006/chartDrawing">
    <cdr:from>
      <cdr:x>0.34792</cdr:x>
      <cdr:y>0.21528</cdr:y>
    </cdr:from>
    <cdr:to>
      <cdr:x>0.54792</cdr:x>
      <cdr:y>0.54861</cdr:y>
    </cdr:to>
    <cdr:sp macro="" textlink="">
      <cdr:nvSpPr>
        <cdr:cNvPr id="2" name="TextBox 1"/>
        <cdr:cNvSpPr txBox="1"/>
      </cdr:nvSpPr>
      <cdr:spPr>
        <a:xfrm xmlns:a="http://schemas.openxmlformats.org/drawingml/2006/main">
          <a:off x="1590675" y="5905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0.33892</cdr:x>
      <cdr:y>0.26377</cdr:y>
    </cdr:from>
    <cdr:to>
      <cdr:x>0.9809</cdr:x>
      <cdr:y>0.50935</cdr:y>
    </cdr:to>
    <cdr:sp macro="" textlink="">
      <cdr:nvSpPr>
        <cdr:cNvPr id="10" name="rd6"/>
        <cdr:cNvSpPr>
          <a:spLocks xmlns:a="http://schemas.openxmlformats.org/drawingml/2006/main" noChangeArrowheads="1"/>
        </cdr:cNvSpPr>
      </cdr:nvSpPr>
      <cdr:spPr bwMode="auto">
        <a:xfrm xmlns:a="http://schemas.openxmlformats.org/drawingml/2006/main">
          <a:off x="2020032" y="776636"/>
          <a:ext cx="3826332" cy="723085"/>
        </a:xfrm>
        <a:prstGeom xmlns:a="http://schemas.openxmlformats.org/drawingml/2006/main" prst="rect">
          <a:avLst/>
        </a:prstGeom>
        <a:solidFill xmlns:a="http://schemas.openxmlformats.org/drawingml/2006/main">
          <a:srgbClr val="C6D8F0"/>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anchor="ctr"/>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ctr"/>
          <a:r>
            <a:rPr lang="en-US" altLang="en-US" sz="700" b="0" i="0" dirty="0">
              <a:latin typeface="Arial"/>
            </a:rPr>
            <a:t>The notes will be automatically called on the applicable Call Settlement Date and you will receive (a) $1,000 </a:t>
          </a:r>
          <a:r>
            <a:rPr lang="en-US" altLang="en-US" sz="700" b="0" i="1" dirty="0">
              <a:latin typeface="Arial"/>
            </a:rPr>
            <a:t>plus </a:t>
          </a:r>
          <a:r>
            <a:rPr lang="en-US" altLang="en-US" sz="700" b="0" i="0" dirty="0">
              <a:latin typeface="Arial"/>
            </a:rPr>
            <a:t>(b) the Contingent Interest Payment applicable to that Review Date. 
  </a:t>
          </a:r>
          <a:r>
            <a:rPr lang="en-US" altLang="en-US" sz="700" b="0" i="1" dirty="0">
              <a:latin typeface="Arial"/>
            </a:rPr>
            <a:t>No further payments will be made on the notes.</a:t>
          </a:r>
        </a:p>
      </cdr:txBody>
    </cdr:sp>
  </cdr:relSizeAnchor>
  <cdr:relSizeAnchor xmlns:cdr="http://schemas.openxmlformats.org/drawingml/2006/chartDrawing">
    <cdr:from>
      <cdr:x>0.08723</cdr:x>
      <cdr:y>0.00593</cdr:y>
    </cdr:from>
    <cdr:to>
      <cdr:x>0.97355</cdr:x>
      <cdr:y>0.08932</cdr:y>
    </cdr:to>
    <cdr:sp macro="" textlink="">
      <cdr:nvSpPr>
        <cdr:cNvPr id="12" name="rd1"/>
        <cdr:cNvSpPr>
          <a:spLocks xmlns:a="http://schemas.openxmlformats.org/drawingml/2006/main" noChangeArrowheads="1"/>
        </cdr:cNvSpPr>
      </cdr:nvSpPr>
      <cdr:spPr bwMode="auto">
        <a:xfrm xmlns:a="http://schemas.openxmlformats.org/drawingml/2006/main">
          <a:off x="490610" y="17460"/>
          <a:ext cx="4984949" cy="245531"/>
        </a:xfrm>
        <a:prstGeom xmlns:a="http://schemas.openxmlformats.org/drawingml/2006/main" prst="rect">
          <a:avLst/>
        </a:prstGeom>
        <a:solidFill xmlns:a="http://schemas.openxmlformats.org/drawingml/2006/main">
          <a:srgbClr val="8DB1E2"/>
        </a:solidFill>
        <a:ln xmlns:a="http://schemas.openxmlformats.org/drawingml/2006/main" w="12700" algn="ctr">
          <a:solidFill>
            <a:schemeClr val="bg1"/>
          </a:solidFill>
          <a:miter lim="800000"/>
          <a:headEnd/>
          <a:tailEnd/>
        </a:ln>
        <a:effectLst xmlns:a="http://schemas.openxmlformats.org/drawingml/2006/main"/>
        <a:extLst xmlns:a="http://schemas.openxmlformats.org/drawingml/2006/main">
          <a:ext uri="{AF507438-7753-43E0-B8FC-AC1667EBCBE1}">
            <a14:hiddenEffects xmlns:a14="http://schemas.microsoft.com/office/drawing/2010/main">
              <a:effectLst>
                <a:outerShdw dist="17961" dir="2700000" algn="ctr" rotWithShape="0">
                  <a:srgbClr val="92503B"/>
                </a:outerShdw>
              </a:effectLst>
            </a14:hiddenEffects>
          </a:ext>
        </a:extLst>
      </cdr:spPr>
      <cdr:txBody>
        <a:bodyPr xmlns:a="http://schemas.openxmlformats.org/drawingml/2006/main" lIns="0" tIns="0" rIns="0" bIns="0" anchor="ctr" anchorCtr="1"/>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ctr">
            <a:lnSpc>
              <a:spcPct val="80000"/>
            </a:lnSpc>
          </a:pPr>
          <a:r>
            <a:rPr lang="en-US" altLang="en-US" sz="800" b="1" i="0" dirty="0">
              <a:solidFill>
                <a:srgbClr val="061F3F"/>
              </a:solidFill>
              <a:latin typeface="Arial"/>
            </a:rPr>
            <a:t>Review Dates </a:t>
          </a:r>
          <a:r>
            <a:rPr lang="en-US" altLang="en-US" sz="800" b="1" i="0" dirty="0" smtClean="0">
              <a:solidFill>
                <a:srgbClr val="061F3F"/>
              </a:solidFill>
              <a:latin typeface="Arial"/>
            </a:rPr>
            <a:t>(Other than the First through Fifth and Final Review Dates)</a:t>
          </a:r>
          <a:endParaRPr lang="en-US" altLang="en-US" sz="800" b="1" i="0" dirty="0">
            <a:solidFill>
              <a:srgbClr val="061F3F"/>
            </a:solidFill>
            <a:latin typeface="Arial"/>
          </a:endParaRPr>
        </a:p>
      </cdr:txBody>
    </cdr:sp>
  </cdr:relSizeAnchor>
  <cdr:relSizeAnchor xmlns:cdr="http://schemas.openxmlformats.org/drawingml/2006/chartDrawing">
    <cdr:from>
      <cdr:x>0.33745</cdr:x>
      <cdr:y>0.18313</cdr:y>
    </cdr:from>
    <cdr:to>
      <cdr:x>0.97943</cdr:x>
      <cdr:y>0.26651</cdr:y>
    </cdr:to>
    <cdr:sp macro="" textlink="">
      <cdr:nvSpPr>
        <cdr:cNvPr id="13" name="Rectangle 12"/>
        <cdr:cNvSpPr>
          <a:spLocks xmlns:a="http://schemas.openxmlformats.org/drawingml/2006/main" noChangeArrowheads="1"/>
        </cdr:cNvSpPr>
      </cdr:nvSpPr>
      <cdr:spPr bwMode="auto">
        <a:xfrm xmlns:a="http://schemas.openxmlformats.org/drawingml/2006/main">
          <a:off x="1901998" y="500680"/>
          <a:ext cx="3618450" cy="227984"/>
        </a:xfrm>
        <a:prstGeom xmlns:a="http://schemas.openxmlformats.org/drawingml/2006/main" prst="rect">
          <a:avLst/>
        </a:prstGeom>
        <a:solidFill xmlns:a="http://schemas.openxmlformats.org/drawingml/2006/main">
          <a:srgbClr val="003399"/>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12700" algn="ctr">
              <a:solidFill>
                <a:schemeClr val="bg1"/>
              </a:solidFill>
              <a:miter lim="800000"/>
              <a:headEnd/>
              <a:tailEnd/>
            </a14:hiddenLine>
          </a:ext>
          <a:ext uri="{AF507438-7753-43E0-B8FC-AC1667EBCBE1}">
            <a14:hiddenEffects xmlns:a14="http://schemas.microsoft.com/office/drawing/2010/main">
              <a:effectLst>
                <a:outerShdw dist="17961" dir="2700000" algn="ctr" rotWithShape="0">
                  <a:srgbClr val="194174"/>
                </a:outerShdw>
              </a:effectLst>
            </a14:hiddenEffects>
          </a:ext>
        </a:extLst>
      </cdr:spPr>
      <cdr:txBody>
        <a:bodyPr xmlns:a="http://schemas.openxmlformats.org/drawingml/2006/main" lIns="0" tIns="0" rIns="0" bIns="0" anchor="ctr" anchorCtr="1"/>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ctr">
            <a:lnSpc>
              <a:spcPct val="80000"/>
            </a:lnSpc>
          </a:pPr>
          <a:r>
            <a:rPr lang="en-US" altLang="en-US" sz="700" b="1">
              <a:solidFill>
                <a:srgbClr val="DCE0E3"/>
              </a:solidFill>
            </a:rPr>
            <a:t>Automatic Call</a:t>
          </a:r>
        </a:p>
      </cdr:txBody>
    </cdr:sp>
  </cdr:relSizeAnchor>
  <cdr:relSizeAnchor xmlns:cdr="http://schemas.openxmlformats.org/drawingml/2006/chartDrawing">
    <cdr:from>
      <cdr:x>0.09507</cdr:x>
      <cdr:y>0.18313</cdr:y>
    </cdr:from>
    <cdr:to>
      <cdr:x>0.33213</cdr:x>
      <cdr:y>0.54721</cdr:y>
    </cdr:to>
    <cdr:sp macro="" textlink="">
      <cdr:nvSpPr>
        <cdr:cNvPr id="14" name="rd4"/>
        <cdr:cNvSpPr>
          <a:spLocks xmlns:a="http://schemas.openxmlformats.org/drawingml/2006/main" noChangeArrowheads="1"/>
        </cdr:cNvSpPr>
      </cdr:nvSpPr>
      <cdr:spPr bwMode="auto">
        <a:xfrm xmlns:a="http://schemas.openxmlformats.org/drawingml/2006/main">
          <a:off x="533018" y="500688"/>
          <a:ext cx="1329097" cy="995415"/>
        </a:xfrm>
        <a:prstGeom xmlns:a="http://schemas.openxmlformats.org/drawingml/2006/main" prst="homePlate">
          <a:avLst>
            <a:gd name="adj" fmla="val 40858"/>
          </a:avLst>
        </a:prstGeom>
        <a:solidFill xmlns:a="http://schemas.openxmlformats.org/drawingml/2006/main">
          <a:srgbClr val="8DB1E2"/>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vertOverflow="clip" horzOverflow="clip" wrap="square" anchor="ctr"/>
        <a:lstStyle xmlns:a="http://schemas.openxmlformats.org/drawingml/2006/main"/>
        <a:p xmlns:a="http://schemas.openxmlformats.org/drawingml/2006/main">
          <a:pPr eaLnBrk="1" hangingPunct="1">
            <a:lnSpc>
              <a:spcPct val="100000"/>
            </a:lnSpc>
          </a:pPr>
          <a:r>
            <a:rPr lang="en-US" altLang="en-US" sz="700" b="0" i="0" dirty="0">
              <a:latin typeface="Arial"/>
              <a:cs typeface="Arial" panose="020B0604020202020204" pitchFamily="34" charset="0"/>
            </a:rPr>
            <a:t>The </a:t>
          </a:r>
          <a:r>
            <a:rPr lang="en-US" altLang="en-US" sz="700" b="0" i="0" u="none" strike="noStrike" dirty="0">
              <a:solidFill>
                <a:srgbClr val="000000"/>
              </a:solidFill>
              <a:latin typeface="Arial"/>
              <a:cs typeface="Arial" panose="020B0604020202020204" pitchFamily="34" charset="0"/>
            </a:rPr>
            <a:t>closing level of the Index</a:t>
          </a:r>
          <a:r>
            <a:rPr lang="en-US" altLang="en-US" sz="700" b="0" i="0" dirty="0" smtClean="0">
              <a:latin typeface="Arial"/>
              <a:cs typeface="Arial" panose="020B0604020202020204" pitchFamily="34" charset="0"/>
            </a:rPr>
            <a:t> </a:t>
          </a:r>
          <a:r>
            <a:rPr lang="en-US" altLang="en-US" sz="700" b="0" i="0" dirty="0">
              <a:latin typeface="Arial"/>
              <a:cs typeface="Arial" panose="020B0604020202020204" pitchFamily="34" charset="0"/>
            </a:rPr>
            <a:t>is </a:t>
          </a:r>
          <a:r>
            <a:rPr lang="en-US" altLang="en-US" sz="700" b="1" i="0" dirty="0">
              <a:latin typeface="Arial"/>
              <a:cs typeface="Arial" panose="020B0604020202020204" pitchFamily="34" charset="0"/>
            </a:rPr>
            <a:t>greater than or equal to </a:t>
          </a:r>
          <a:r>
            <a:rPr lang="en-US" altLang="en-US" sz="700" b="0" i="0" dirty="0" smtClean="0">
              <a:latin typeface="Arial"/>
              <a:cs typeface="Arial" panose="020B0604020202020204" pitchFamily="34" charset="0"/>
            </a:rPr>
            <a:t>the Initial </a:t>
          </a:r>
          <a:r>
            <a:rPr lang="en-US" altLang="en-US" sz="700" b="0" i="0" dirty="0">
              <a:latin typeface="Arial"/>
              <a:cs typeface="Arial" panose="020B0604020202020204" pitchFamily="34" charset="0"/>
            </a:rPr>
            <a:t>Value.</a:t>
          </a:r>
        </a:p>
      </cdr:txBody>
    </cdr:sp>
  </cdr:relSizeAnchor>
  <cdr:relSizeAnchor xmlns:cdr="http://schemas.openxmlformats.org/drawingml/2006/chartDrawing">
    <cdr:from>
      <cdr:x>0.09507</cdr:x>
      <cdr:y>0.5542</cdr:y>
    </cdr:from>
    <cdr:to>
      <cdr:x>0.33213</cdr:x>
      <cdr:y>0.95429</cdr:y>
    </cdr:to>
    <cdr:sp macro="" textlink="">
      <cdr:nvSpPr>
        <cdr:cNvPr id="15" name="rd5"/>
        <cdr:cNvSpPr>
          <a:spLocks xmlns:a="http://schemas.openxmlformats.org/drawingml/2006/main" noChangeArrowheads="1"/>
        </cdr:cNvSpPr>
      </cdr:nvSpPr>
      <cdr:spPr bwMode="auto">
        <a:xfrm xmlns:a="http://schemas.openxmlformats.org/drawingml/2006/main">
          <a:off x="535857" y="1515215"/>
          <a:ext cx="1336147" cy="1093873"/>
        </a:xfrm>
        <a:prstGeom xmlns:a="http://schemas.openxmlformats.org/drawingml/2006/main" prst="homePlate">
          <a:avLst>
            <a:gd name="adj" fmla="val 40756"/>
          </a:avLst>
        </a:prstGeom>
        <a:solidFill xmlns:a="http://schemas.openxmlformats.org/drawingml/2006/main">
          <a:srgbClr val="8DB1E2"/>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vertOverflow="clip" horzOverflow="clip" wrap="square" anchor="ctr"/>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eaLnBrk="1" hangingPunct="1">
            <a:lnSpc>
              <a:spcPct val="100000"/>
            </a:lnSpc>
          </a:pPr>
          <a:r>
            <a:rPr lang="en-US" altLang="en-US" sz="700" b="0" i="0" dirty="0">
              <a:latin typeface="Arial"/>
            </a:rPr>
            <a:t>The </a:t>
          </a:r>
          <a:r>
            <a:rPr lang="en-US" altLang="en-US" sz="700" b="0" i="0" u="none" strike="noStrike" dirty="0">
              <a:solidFill>
                <a:srgbClr val="000000"/>
              </a:solidFill>
              <a:latin typeface="Arial"/>
              <a:cs typeface="Arial" panose="020B0604020202020204" pitchFamily="34" charset="0"/>
            </a:rPr>
            <a:t>closing level of the Index</a:t>
          </a:r>
          <a:r>
            <a:rPr lang="en-US" altLang="en-US" sz="700" b="0" i="0" dirty="0" smtClean="0">
              <a:latin typeface="Arial"/>
            </a:rPr>
            <a:t> is </a:t>
          </a:r>
          <a:r>
            <a:rPr lang="en-US" altLang="en-US" sz="700" b="1" i="0" dirty="0">
              <a:latin typeface="Arial"/>
            </a:rPr>
            <a:t>less than </a:t>
          </a:r>
          <a:r>
            <a:rPr lang="en-US" altLang="en-US" sz="700" b="0" i="0" dirty="0" smtClean="0">
              <a:latin typeface="Arial"/>
            </a:rPr>
            <a:t>the Initial </a:t>
          </a:r>
          <a:r>
            <a:rPr lang="en-US" altLang="en-US" sz="700" b="0" i="0" dirty="0">
              <a:latin typeface="Arial"/>
            </a:rPr>
            <a:t>Value.</a:t>
          </a:r>
        </a:p>
      </cdr:txBody>
    </cdr:sp>
  </cdr:relSizeAnchor>
  <cdr:relSizeAnchor xmlns:cdr="http://schemas.openxmlformats.org/drawingml/2006/chartDrawing">
    <cdr:from>
      <cdr:x>0.00784</cdr:x>
      <cdr:y>0.08072</cdr:y>
    </cdr:from>
    <cdr:to>
      <cdr:x>0.08204</cdr:x>
      <cdr:y>0.95648</cdr:y>
    </cdr:to>
    <cdr:sp macro="" textlink="">
      <cdr:nvSpPr>
        <cdr:cNvPr id="16" name="rd2"/>
        <cdr:cNvSpPr>
          <a:spLocks xmlns:a="http://schemas.openxmlformats.org/drawingml/2006/main" noChangeArrowheads="1"/>
        </cdr:cNvSpPr>
      </cdr:nvSpPr>
      <cdr:spPr bwMode="auto">
        <a:xfrm xmlns:a="http://schemas.openxmlformats.org/drawingml/2006/main">
          <a:off x="44057" y="220693"/>
          <a:ext cx="416969" cy="2394369"/>
        </a:xfrm>
        <a:prstGeom xmlns:a="http://schemas.openxmlformats.org/drawingml/2006/main" prst="rect">
          <a:avLst/>
        </a:prstGeom>
        <a:solidFill xmlns:a="http://schemas.openxmlformats.org/drawingml/2006/main">
          <a:srgbClr val="003399"/>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12700" algn="ctr">
              <a:solidFill>
                <a:schemeClr val="bg1"/>
              </a:solidFill>
              <a:miter lim="800000"/>
              <a:headEnd/>
              <a:tailEnd/>
            </a14:hiddenLine>
          </a:ext>
          <a:ext uri="{AF507438-7753-43E0-B8FC-AC1667EBCBE1}">
            <a14:hiddenEffects xmlns:a14="http://schemas.microsoft.com/office/drawing/2010/main">
              <a:effectLst>
                <a:outerShdw dist="17961" dir="2700000" algn="ctr" rotWithShape="0">
                  <a:srgbClr val="194174"/>
                </a:outerShdw>
              </a:effectLst>
            </a14:hiddenEffects>
          </a:ext>
        </a:extLst>
      </cdr:spPr>
      <cdr:txBody>
        <a:bodyPr xmlns:a="http://schemas.openxmlformats.org/drawingml/2006/main" lIns="0" tIns="0" rIns="0" bIns="0" anchor="ctr" anchorCtr="1"/>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ctr">
            <a:lnSpc>
              <a:spcPct val="100000"/>
            </a:lnSpc>
          </a:pPr>
          <a:r>
            <a:rPr lang="en-US" altLang="en-US" sz="800" b="1" i="0" u="none" strike="noStrike" dirty="0" smtClean="0">
              <a:solidFill>
                <a:schemeClr val="bg1"/>
              </a:solidFill>
              <a:latin typeface="Arial"/>
              <a:cs typeface="Arial" panose="020B0604020202020204" pitchFamily="34" charset="0"/>
            </a:rPr>
            <a:t>Initial </a:t>
          </a:r>
          <a:r>
            <a:rPr lang="en-US" altLang="en-US" sz="800" b="1" i="0" u="none" strike="noStrike" dirty="0">
              <a:solidFill>
                <a:schemeClr val="bg1"/>
              </a:solidFill>
              <a:latin typeface="Arial"/>
              <a:cs typeface="Arial" panose="020B0604020202020204" pitchFamily="34" charset="0"/>
            </a:rPr>
            <a:t>Value</a:t>
          </a:r>
          <a:endParaRPr lang="en-US" altLang="en-US" sz="800" b="1" i="0" dirty="0">
            <a:solidFill>
              <a:schemeClr val="bg1"/>
            </a:solidFill>
            <a:latin typeface="Arial"/>
            <a:cs typeface="Arial" panose="020B0604020202020204" pitchFamily="34" charset="0"/>
          </a:endParaRPr>
        </a:p>
      </cdr:txBody>
    </cdr:sp>
  </cdr:relSizeAnchor>
  <cdr:relSizeAnchor xmlns:cdr="http://schemas.openxmlformats.org/drawingml/2006/chartDrawing">
    <cdr:from>
      <cdr:x>0.69835</cdr:x>
      <cdr:y>0.52297</cdr:y>
    </cdr:from>
    <cdr:to>
      <cdr:x>0.97943</cdr:x>
      <cdr:y>0.75425</cdr:y>
    </cdr:to>
    <cdr:sp macro="" textlink="">
      <cdr:nvSpPr>
        <cdr:cNvPr id="17" name="rd9"/>
        <cdr:cNvSpPr>
          <a:spLocks xmlns:a="http://schemas.openxmlformats.org/drawingml/2006/main" noChangeArrowheads="1"/>
        </cdr:cNvSpPr>
      </cdr:nvSpPr>
      <cdr:spPr bwMode="auto">
        <a:xfrm xmlns:a="http://schemas.openxmlformats.org/drawingml/2006/main">
          <a:off x="4162308" y="1539827"/>
          <a:ext cx="1675295" cy="680964"/>
        </a:xfrm>
        <a:prstGeom xmlns:a="http://schemas.openxmlformats.org/drawingml/2006/main" prst="rect">
          <a:avLst/>
        </a:prstGeom>
        <a:solidFill xmlns:a="http://schemas.openxmlformats.org/drawingml/2006/main">
          <a:srgbClr val="C6D8F0"/>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anchor="ctr"/>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ctr">
            <a:lnSpc>
              <a:spcPct val="80000"/>
            </a:lnSpc>
          </a:pPr>
          <a:r>
            <a:rPr lang="en-US" altLang="en-US" sz="700" b="0" i="0">
              <a:latin typeface="Arial"/>
            </a:rPr>
            <a:t>You will receive a Contingent Interest Payment on the applicable Interest Payment Date. </a:t>
          </a:r>
        </a:p>
        <a:p xmlns:a="http://schemas.openxmlformats.org/drawingml/2006/main">
          <a:pPr algn="ctr">
            <a:lnSpc>
              <a:spcPct val="80000"/>
            </a:lnSpc>
          </a:pPr>
          <a:endParaRPr lang="en-US" altLang="en-US" sz="700" b="0" i="0">
            <a:latin typeface="Arial"/>
          </a:endParaRPr>
        </a:p>
        <a:p xmlns:a="http://schemas.openxmlformats.org/drawingml/2006/main">
          <a:pPr algn="ctr">
            <a:lnSpc>
              <a:spcPct val="80000"/>
            </a:lnSpc>
          </a:pPr>
          <a:r>
            <a:rPr lang="en-US" altLang="en-US" sz="700" b="0" i="0">
              <a:latin typeface="Arial"/>
            </a:rPr>
            <a:t>Proceed to the next Review Date.</a:t>
          </a:r>
        </a:p>
      </cdr:txBody>
    </cdr:sp>
  </cdr:relSizeAnchor>
  <cdr:relSizeAnchor xmlns:cdr="http://schemas.openxmlformats.org/drawingml/2006/chartDrawing">
    <cdr:from>
      <cdr:x>0.45427</cdr:x>
      <cdr:y>0.52808</cdr:y>
    </cdr:from>
    <cdr:to>
      <cdr:x>0.69579</cdr:x>
      <cdr:y>0.75425</cdr:y>
    </cdr:to>
    <cdr:sp macro="" textlink="">
      <cdr:nvSpPr>
        <cdr:cNvPr id="18" name="rd7"/>
        <cdr:cNvSpPr>
          <a:spLocks xmlns:a="http://schemas.openxmlformats.org/drawingml/2006/main" noChangeArrowheads="1"/>
        </cdr:cNvSpPr>
      </cdr:nvSpPr>
      <cdr:spPr bwMode="auto">
        <a:xfrm xmlns:a="http://schemas.openxmlformats.org/drawingml/2006/main">
          <a:off x="2707542" y="1554867"/>
          <a:ext cx="1439508" cy="665924"/>
        </a:xfrm>
        <a:prstGeom xmlns:a="http://schemas.openxmlformats.org/drawingml/2006/main" prst="homePlate">
          <a:avLst>
            <a:gd name="adj" fmla="val 77048"/>
          </a:avLst>
        </a:prstGeom>
        <a:solidFill xmlns:a="http://schemas.openxmlformats.org/drawingml/2006/main">
          <a:srgbClr val="C6D8F0"/>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lIns="45720" anchor="ctr"/>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l" eaLnBrk="1" hangingPunct="1">
            <a:lnSpc>
              <a:spcPct val="75000"/>
            </a:lnSpc>
          </a:pPr>
          <a:r>
            <a:rPr lang="en-US" altLang="en-US" sz="700" b="0" i="0" dirty="0">
              <a:solidFill>
                <a:srgbClr val="061F3F"/>
              </a:solidFill>
              <a:latin typeface="Arial"/>
            </a:rPr>
            <a:t>The </a:t>
          </a:r>
          <a:r>
            <a:rPr lang="en-US" altLang="en-US" sz="700" b="0" i="0" u="none" strike="noStrike" dirty="0">
              <a:solidFill>
                <a:srgbClr val="000000"/>
              </a:solidFill>
              <a:latin typeface="Arial"/>
              <a:cs typeface="Arial" panose="020B0604020202020204" pitchFamily="34" charset="0"/>
            </a:rPr>
            <a:t>closing level of the Index</a:t>
          </a:r>
          <a:r>
            <a:rPr lang="en-US" altLang="en-US" sz="700" b="0" i="0" dirty="0" smtClean="0">
              <a:solidFill>
                <a:srgbClr val="061F3F"/>
              </a:solidFill>
              <a:latin typeface="Arial"/>
            </a:rPr>
            <a:t> is </a:t>
          </a:r>
          <a:r>
            <a:rPr lang="en-US" altLang="en-US" sz="700" b="1" i="0" dirty="0">
              <a:solidFill>
                <a:srgbClr val="061F3F"/>
              </a:solidFill>
              <a:latin typeface="Arial"/>
            </a:rPr>
            <a:t>greater than or equal to </a:t>
          </a:r>
          <a:r>
            <a:rPr lang="en-US" altLang="en-US" sz="700" b="0" i="0" dirty="0" smtClean="0">
              <a:solidFill>
                <a:srgbClr val="061F3F"/>
              </a:solidFill>
              <a:latin typeface="Arial"/>
            </a:rPr>
            <a:t>the </a:t>
          </a:r>
          <a:r>
            <a:rPr lang="en-US" altLang="en-US" sz="700" b="0" i="0" dirty="0">
              <a:solidFill>
                <a:srgbClr val="061F3F"/>
              </a:solidFill>
              <a:latin typeface="Arial"/>
            </a:rPr>
            <a:t>Interest Barrier.</a:t>
          </a:r>
        </a:p>
      </cdr:txBody>
    </cdr:sp>
  </cdr:relSizeAnchor>
  <cdr:relSizeAnchor xmlns:cdr="http://schemas.openxmlformats.org/drawingml/2006/chartDrawing">
    <cdr:from>
      <cdr:x>0.33681</cdr:x>
      <cdr:y>0.52638</cdr:y>
    </cdr:from>
    <cdr:to>
      <cdr:x>0.44966</cdr:x>
      <cdr:y>0.96358</cdr:y>
    </cdr:to>
    <cdr:sp macro="" textlink="">
      <cdr:nvSpPr>
        <cdr:cNvPr id="19" name="Rectangle 18"/>
        <cdr:cNvSpPr>
          <a:spLocks xmlns:a="http://schemas.openxmlformats.org/drawingml/2006/main" noChangeArrowheads="1"/>
        </cdr:cNvSpPr>
      </cdr:nvSpPr>
      <cdr:spPr bwMode="auto">
        <a:xfrm xmlns:a="http://schemas.openxmlformats.org/drawingml/2006/main">
          <a:off x="2007456" y="1549853"/>
          <a:ext cx="672609" cy="1287281"/>
        </a:xfrm>
        <a:prstGeom xmlns:a="http://schemas.openxmlformats.org/drawingml/2006/main" prst="rect">
          <a:avLst/>
        </a:prstGeom>
        <a:solidFill xmlns:a="http://schemas.openxmlformats.org/drawingml/2006/main">
          <a:srgbClr val="C6D8F0"/>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anchor="ctr"/>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ctr" eaLnBrk="1" hangingPunct="1">
            <a:lnSpc>
              <a:spcPct val="100000"/>
            </a:lnSpc>
          </a:pPr>
          <a:r>
            <a:rPr lang="en-US" altLang="en-US" sz="700">
              <a:solidFill>
                <a:srgbClr val="061F3F"/>
              </a:solidFill>
            </a:rPr>
            <a:t>No</a:t>
          </a:r>
          <a:br>
            <a:rPr lang="en-US" altLang="en-US" sz="700">
              <a:solidFill>
                <a:srgbClr val="061F3F"/>
              </a:solidFill>
            </a:rPr>
          </a:br>
          <a:r>
            <a:rPr lang="en-US" altLang="en-US" sz="700">
              <a:solidFill>
                <a:srgbClr val="061F3F"/>
              </a:solidFill>
            </a:rPr>
            <a:t>Automatic</a:t>
          </a:r>
          <a:br>
            <a:rPr lang="en-US" altLang="en-US" sz="700">
              <a:solidFill>
                <a:srgbClr val="061F3F"/>
              </a:solidFill>
            </a:rPr>
          </a:br>
          <a:r>
            <a:rPr lang="en-US" altLang="en-US" sz="700">
              <a:solidFill>
                <a:srgbClr val="061F3F"/>
              </a:solidFill>
            </a:rPr>
            <a:t>Call</a:t>
          </a:r>
        </a:p>
      </cdr:txBody>
    </cdr:sp>
  </cdr:relSizeAnchor>
  <cdr:relSizeAnchor xmlns:cdr="http://schemas.openxmlformats.org/drawingml/2006/chartDrawing">
    <cdr:from>
      <cdr:x>0.69835</cdr:x>
      <cdr:y>0.76636</cdr:y>
    </cdr:from>
    <cdr:to>
      <cdr:x>0.97943</cdr:x>
      <cdr:y>0.96668</cdr:y>
    </cdr:to>
    <cdr:sp macro="" textlink="">
      <cdr:nvSpPr>
        <cdr:cNvPr id="20" name="rd10"/>
        <cdr:cNvSpPr>
          <a:spLocks xmlns:a="http://schemas.openxmlformats.org/drawingml/2006/main" noChangeArrowheads="1"/>
        </cdr:cNvSpPr>
      </cdr:nvSpPr>
      <cdr:spPr bwMode="auto">
        <a:xfrm xmlns:a="http://schemas.openxmlformats.org/drawingml/2006/main">
          <a:off x="3936162" y="2095261"/>
          <a:ext cx="1584325" cy="547688"/>
        </a:xfrm>
        <a:prstGeom xmlns:a="http://schemas.openxmlformats.org/drawingml/2006/main" prst="rect">
          <a:avLst/>
        </a:prstGeom>
        <a:solidFill xmlns:a="http://schemas.openxmlformats.org/drawingml/2006/main">
          <a:srgbClr val="C6D8F0"/>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anchor="ctr"/>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ctr"/>
          <a:r>
            <a:rPr lang="en-US" altLang="en-US" sz="700" b="0" i="0">
              <a:latin typeface="Arial"/>
            </a:rPr>
            <a:t>No Contingent Interest Payment will be made with respect to the applicable Review Date.</a:t>
          </a:r>
        </a:p>
        <a:p xmlns:a="http://schemas.openxmlformats.org/drawingml/2006/main">
          <a:pPr algn="ctr"/>
          <a:endParaRPr lang="en-US" altLang="en-US" sz="700" b="0" i="0">
            <a:latin typeface="Arial"/>
          </a:endParaRPr>
        </a:p>
        <a:p xmlns:a="http://schemas.openxmlformats.org/drawingml/2006/main">
          <a:pPr algn="ctr"/>
          <a:r>
            <a:rPr lang="en-US" altLang="en-US" sz="700" b="0" i="0">
              <a:latin typeface="Arial"/>
            </a:rPr>
            <a:t>Proceed to the next Review Date.</a:t>
          </a:r>
        </a:p>
      </cdr:txBody>
    </cdr:sp>
  </cdr:relSizeAnchor>
  <cdr:relSizeAnchor xmlns:cdr="http://schemas.openxmlformats.org/drawingml/2006/chartDrawing">
    <cdr:from>
      <cdr:x>0.45427</cdr:x>
      <cdr:y>0.75727</cdr:y>
    </cdr:from>
    <cdr:to>
      <cdr:x>0.69592</cdr:x>
      <cdr:y>0.95759</cdr:y>
    </cdr:to>
    <cdr:sp macro="" textlink="">
      <cdr:nvSpPr>
        <cdr:cNvPr id="21" name="rd8"/>
        <cdr:cNvSpPr>
          <a:spLocks xmlns:a="http://schemas.openxmlformats.org/drawingml/2006/main" noChangeArrowheads="1"/>
        </cdr:cNvSpPr>
      </cdr:nvSpPr>
      <cdr:spPr bwMode="auto">
        <a:xfrm xmlns:a="http://schemas.openxmlformats.org/drawingml/2006/main">
          <a:off x="2560430" y="2070413"/>
          <a:ext cx="1362075" cy="547688"/>
        </a:xfrm>
        <a:prstGeom xmlns:a="http://schemas.openxmlformats.org/drawingml/2006/main" prst="homePlate">
          <a:avLst>
            <a:gd name="adj" fmla="val 76992"/>
          </a:avLst>
        </a:prstGeom>
        <a:solidFill xmlns:a="http://schemas.openxmlformats.org/drawingml/2006/main">
          <a:srgbClr val="C6D8F0"/>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9525" algn="ctr">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lIns="45720" rIns="0" anchor="ctr"/>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l" eaLnBrk="1" hangingPunct="1">
            <a:lnSpc>
              <a:spcPct val="75000"/>
            </a:lnSpc>
          </a:pPr>
          <a:r>
            <a:rPr lang="en-US" altLang="en-US" sz="700" b="0" i="0" dirty="0">
              <a:solidFill>
                <a:srgbClr val="061F3F"/>
              </a:solidFill>
              <a:latin typeface="Arial"/>
            </a:rPr>
            <a:t>The </a:t>
          </a:r>
          <a:r>
            <a:rPr lang="en-US" altLang="en-US" sz="700" b="0" i="0" u="none" strike="noStrike" dirty="0">
              <a:solidFill>
                <a:srgbClr val="000000"/>
              </a:solidFill>
              <a:latin typeface="Arial"/>
              <a:cs typeface="Arial" panose="020B0604020202020204" pitchFamily="34" charset="0"/>
            </a:rPr>
            <a:t>closing level of the Index</a:t>
          </a:r>
          <a:r>
            <a:rPr lang="en-US" altLang="en-US" sz="700" b="0" i="0" dirty="0" smtClean="0">
              <a:solidFill>
                <a:srgbClr val="061F3F"/>
              </a:solidFill>
              <a:latin typeface="Arial"/>
            </a:rPr>
            <a:t> is </a:t>
          </a:r>
          <a:r>
            <a:rPr lang="en-US" altLang="en-US" sz="700" b="1" i="0" dirty="0">
              <a:solidFill>
                <a:srgbClr val="061F3F"/>
              </a:solidFill>
              <a:latin typeface="Arial"/>
            </a:rPr>
            <a:t>less than </a:t>
          </a:r>
          <a:r>
            <a:rPr lang="en-US" altLang="en-US" sz="700" b="0" i="0" dirty="0" smtClean="0">
              <a:solidFill>
                <a:srgbClr val="061F3F"/>
              </a:solidFill>
              <a:latin typeface="Arial"/>
            </a:rPr>
            <a:t>the </a:t>
          </a:r>
          <a:r>
            <a:rPr lang="en-US" altLang="en-US" sz="700" b="0" i="0" dirty="0">
              <a:solidFill>
                <a:srgbClr val="061F3F"/>
              </a:solidFill>
              <a:latin typeface="Arial"/>
            </a:rPr>
            <a:t>Interest Barrier.</a:t>
          </a:r>
        </a:p>
      </cdr:txBody>
    </cdr:sp>
  </cdr:relSizeAnchor>
  <cdr:relSizeAnchor xmlns:cdr="http://schemas.openxmlformats.org/drawingml/2006/chartDrawing">
    <cdr:from>
      <cdr:x>0.10148</cdr:x>
      <cdr:y>0.08649</cdr:y>
    </cdr:from>
    <cdr:to>
      <cdr:x>0.97126</cdr:x>
      <cdr:y>0.2162</cdr:y>
    </cdr:to>
    <cdr:sp macro="" textlink="">
      <cdr:nvSpPr>
        <cdr:cNvPr id="3" name="rd3"/>
        <cdr:cNvSpPr txBox="1"/>
      </cdr:nvSpPr>
      <cdr:spPr>
        <a:xfrm xmlns:a="http://schemas.openxmlformats.org/drawingml/2006/main">
          <a:off x="601460" y="254658"/>
          <a:ext cx="5155082" cy="381915"/>
        </a:xfrm>
        <a:prstGeom xmlns:a="http://schemas.openxmlformats.org/drawingml/2006/main" prst="rect">
          <a:avLst/>
        </a:prstGeom>
      </cdr:spPr>
      <cdr:txBody>
        <a:bodyPr xmlns:a="http://schemas.openxmlformats.org/drawingml/2006/main" vertOverflow="clip" horzOverflow="clip" wrap="square" rtlCol="0"/>
        <a:lstStyle xmlns:a="http://schemas.openxmlformats.org/drawingml/2006/main"/>
        <a:p xmlns:a="http://schemas.openxmlformats.org/drawingml/2006/main">
          <a:r>
            <a:rPr lang="en-US" sz="700" b="0" i="0" dirty="0">
              <a:latin typeface="Arial"/>
              <a:cs typeface="Arial" panose="020B0604020202020204" pitchFamily="34" charset="0"/>
            </a:rPr>
            <a:t>Compare the </a:t>
          </a:r>
          <a:r>
            <a:rPr lang="en-US" altLang="en-US" sz="700" b="0" i="0" u="none" strike="noStrike" dirty="0">
              <a:solidFill>
                <a:srgbClr val="000000"/>
              </a:solidFill>
              <a:latin typeface="Arial"/>
              <a:cs typeface="Arial" panose="020B0604020202020204" pitchFamily="34" charset="0"/>
            </a:rPr>
            <a:t>closing level of the Index</a:t>
          </a:r>
          <a:r>
            <a:rPr lang="en-US" sz="700" b="0" i="0" dirty="0" smtClean="0">
              <a:latin typeface="Arial"/>
              <a:cs typeface="Arial" panose="020B0604020202020204" pitchFamily="34" charset="0"/>
            </a:rPr>
            <a:t> </a:t>
          </a:r>
          <a:r>
            <a:rPr lang="en-US" sz="700" b="0" i="0" dirty="0">
              <a:latin typeface="Arial"/>
              <a:cs typeface="Arial" panose="020B0604020202020204" pitchFamily="34" charset="0"/>
            </a:rPr>
            <a:t>to </a:t>
          </a:r>
          <a:r>
            <a:rPr lang="en-US" sz="700" b="0" i="0" dirty="0" smtClean="0">
              <a:latin typeface="Arial"/>
              <a:cs typeface="Arial" panose="020B0604020202020204" pitchFamily="34" charset="0"/>
            </a:rPr>
            <a:t>the Initial </a:t>
          </a:r>
          <a:r>
            <a:rPr lang="en-US" sz="700" b="0" i="0" dirty="0">
              <a:latin typeface="Arial"/>
              <a:cs typeface="Arial" panose="020B0604020202020204" pitchFamily="34" charset="0"/>
            </a:rPr>
            <a:t>Value and </a:t>
          </a:r>
          <a:r>
            <a:rPr lang="en-US" sz="700" b="0" i="0" dirty="0" smtClean="0">
              <a:latin typeface="Arial"/>
              <a:cs typeface="Arial" panose="020B0604020202020204" pitchFamily="34" charset="0"/>
            </a:rPr>
            <a:t>the </a:t>
          </a:r>
          <a:r>
            <a:rPr lang="en-US" sz="700" b="0" i="0" dirty="0">
              <a:latin typeface="Arial"/>
              <a:cs typeface="Arial" panose="020B0604020202020204" pitchFamily="34" charset="0"/>
            </a:rPr>
            <a:t>Interest Barrier on each Review Date until the final Review Date or any earlier automatic call.</a:t>
          </a:r>
        </a:p>
      </cdr:txBody>
    </cdr:sp>
  </cdr:relSizeAnchor>
</c:userShapes>
</file>

<file path=word/drawings/drawing3.xml><?xml version="1.0" encoding="utf-8"?>
<c:userShapes xmlns:c="http://schemas.openxmlformats.org/drawingml/2006/chart">
  <cdr:relSizeAnchor xmlns:cdr="http://schemas.openxmlformats.org/drawingml/2006/chartDrawing">
    <cdr:from>
      <cdr:x>0.34792</cdr:x>
      <cdr:y>0.21528</cdr:y>
    </cdr:from>
    <cdr:to>
      <cdr:x>0.54792</cdr:x>
      <cdr:y>0.54861</cdr:y>
    </cdr:to>
    <cdr:sp macro="" textlink="">
      <cdr:nvSpPr>
        <cdr:cNvPr id="2" name="TextBox 1"/>
        <cdr:cNvSpPr txBox="1"/>
      </cdr:nvSpPr>
      <cdr:spPr>
        <a:xfrm xmlns:a="http://schemas.openxmlformats.org/drawingml/2006/main">
          <a:off x="1590675" y="5905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0.0107</cdr:x>
      <cdr:y>0.01734</cdr:y>
    </cdr:from>
    <cdr:to>
      <cdr:x>0.21575</cdr:x>
      <cdr:y>0.12766</cdr:y>
    </cdr:to>
    <cdr:sp macro="" textlink="">
      <cdr:nvSpPr>
        <cdr:cNvPr id="15" name="fd2"/>
        <cdr:cNvSpPr>
          <a:spLocks xmlns:a="http://schemas.openxmlformats.org/drawingml/2006/main" noChangeArrowheads="1"/>
        </cdr:cNvSpPr>
      </cdr:nvSpPr>
      <cdr:spPr bwMode="auto">
        <a:xfrm xmlns:a="http://schemas.openxmlformats.org/drawingml/2006/main">
          <a:off x="60333" y="47404"/>
          <a:ext cx="1155704" cy="301635"/>
        </a:xfrm>
        <a:prstGeom xmlns:a="http://schemas.openxmlformats.org/drawingml/2006/main" prst="rect">
          <a:avLst/>
        </a:prstGeom>
        <a:solidFill xmlns:a="http://schemas.openxmlformats.org/drawingml/2006/main">
          <a:srgbClr val="8DB1E2"/>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12700" algn="ctr">
              <a:solidFill>
                <a:schemeClr val="bg1"/>
              </a:solidFill>
              <a:miter lim="800000"/>
              <a:headEnd/>
              <a:tailEnd/>
            </a14:hiddenLine>
          </a:ext>
          <a:ext uri="{AF507438-7753-43E0-B8FC-AC1667EBCBE1}">
            <a14:hiddenEffects xmlns:a14="http://schemas.microsoft.com/office/drawing/2010/main">
              <a:effectLst>
                <a:outerShdw dist="17961" dir="2700000" algn="ctr" rotWithShape="0">
                  <a:srgbClr val="92503B"/>
                </a:outerShdw>
              </a:effectLst>
            </a14:hiddenEffects>
          </a:ext>
        </a:extLst>
      </cdr:spPr>
      <cdr:txBody>
        <a:bodyPr xmlns:a="http://schemas.openxmlformats.org/drawingml/2006/main" vertOverflow="clip" horzOverflow="clip" wrap="square" lIns="0" tIns="0" rIns="0" bIns="0" anchor="ctr" anchorCtr="1"/>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ctr">
            <a:lnSpc>
              <a:spcPct val="80000"/>
            </a:lnSpc>
          </a:pPr>
          <a:r>
            <a:rPr lang="en-US" altLang="en-US" sz="700" b="1" i="0">
              <a:solidFill>
                <a:srgbClr val="061F3F"/>
              </a:solidFill>
              <a:latin typeface="Arial"/>
            </a:rPr>
            <a:t>Review Dates Preceding the Final Review Date</a:t>
          </a:r>
        </a:p>
      </cdr:txBody>
    </cdr:sp>
  </cdr:relSizeAnchor>
  <cdr:relSizeAnchor xmlns:cdr="http://schemas.openxmlformats.org/drawingml/2006/chartDrawing">
    <cdr:from>
      <cdr:x>0.0141</cdr:x>
      <cdr:y>0.24216</cdr:y>
    </cdr:from>
    <cdr:to>
      <cdr:x>0.23768</cdr:x>
      <cdr:y>0.95457</cdr:y>
    </cdr:to>
    <cdr:sp macro="" textlink="">
      <cdr:nvSpPr>
        <cdr:cNvPr id="16" name="AutoShape 8"/>
        <cdr:cNvSpPr>
          <a:spLocks xmlns:a="http://schemas.openxmlformats.org/drawingml/2006/main" noChangeArrowheads="1"/>
        </cdr:cNvSpPr>
      </cdr:nvSpPr>
      <cdr:spPr bwMode="auto">
        <a:xfrm xmlns:a="http://schemas.openxmlformats.org/drawingml/2006/main">
          <a:off x="83868" y="713014"/>
          <a:ext cx="1329913" cy="2097591"/>
        </a:xfrm>
        <a:prstGeom xmlns:a="http://schemas.openxmlformats.org/drawingml/2006/main" prst="homePlate">
          <a:avLst>
            <a:gd name="adj" fmla="val 25000"/>
          </a:avLst>
        </a:prstGeom>
        <a:solidFill xmlns:a="http://schemas.openxmlformats.org/drawingml/2006/main">
          <a:srgbClr val="8DB1E2"/>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wrap="none" anchor="ctr"/>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ctr" eaLnBrk="1" hangingPunct="1">
            <a:lnSpc>
              <a:spcPct val="100000"/>
            </a:lnSpc>
          </a:pPr>
          <a:endParaRPr lang="en-US" altLang="en-US" sz="1100"/>
        </a:p>
      </cdr:txBody>
    </cdr:sp>
  </cdr:relSizeAnchor>
  <cdr:relSizeAnchor xmlns:cdr="http://schemas.openxmlformats.org/drawingml/2006/chartDrawing">
    <cdr:from>
      <cdr:x>0.70334</cdr:x>
      <cdr:y>0.12542</cdr:y>
    </cdr:from>
    <cdr:to>
      <cdr:x>0.99385</cdr:x>
      <cdr:y>0.53651</cdr:y>
    </cdr:to>
    <cdr:sp macro="" textlink="">
      <cdr:nvSpPr>
        <cdr:cNvPr id="17" name="fd5"/>
        <cdr:cNvSpPr>
          <a:spLocks xmlns:a="http://schemas.openxmlformats.org/drawingml/2006/main" noChangeArrowheads="1"/>
        </cdr:cNvSpPr>
      </cdr:nvSpPr>
      <cdr:spPr bwMode="auto">
        <a:xfrm xmlns:a="http://schemas.openxmlformats.org/drawingml/2006/main">
          <a:off x="3943350" y="342900"/>
          <a:ext cx="1628775" cy="1123950"/>
        </a:xfrm>
        <a:prstGeom xmlns:a="http://schemas.openxmlformats.org/drawingml/2006/main" prst="rect">
          <a:avLst/>
        </a:prstGeom>
        <a:solidFill xmlns:a="http://schemas.openxmlformats.org/drawingml/2006/main">
          <a:srgbClr val="C6D8F0"/>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anchor="ctr"/>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ctr" eaLnBrk="1" hangingPunct="1">
            <a:lnSpc>
              <a:spcPct val="100000"/>
            </a:lnSpc>
          </a:pPr>
          <a:r>
            <a:rPr lang="en-US" altLang="en-US" sz="700" b="0" i="0">
              <a:solidFill>
                <a:srgbClr val="061F3F"/>
              </a:solidFill>
              <a:latin typeface="Arial"/>
            </a:rPr>
            <a:t>You will receive (a) $1,000 </a:t>
          </a:r>
          <a:r>
            <a:rPr lang="en-US" altLang="en-US" sz="700" b="0" i="1">
              <a:solidFill>
                <a:srgbClr val="061F3F"/>
              </a:solidFill>
              <a:latin typeface="Arial"/>
            </a:rPr>
            <a:t>plus </a:t>
          </a:r>
          <a:r>
            <a:rPr lang="en-US" altLang="en-US" sz="700" b="0" i="0">
              <a:solidFill>
                <a:srgbClr val="061F3F"/>
              </a:solidFill>
              <a:latin typeface="Arial"/>
            </a:rPr>
            <a:t>(b) the Contingent Interest Payment applicable to the final Review Date.</a:t>
          </a:r>
          <a:endParaRPr lang="en-US" altLang="en-US" sz="700" b="0" i="0" u="none">
            <a:solidFill>
              <a:srgbClr val="061F3F"/>
            </a:solidFill>
            <a:latin typeface="Arial"/>
          </a:endParaRPr>
        </a:p>
      </cdr:txBody>
    </cdr:sp>
  </cdr:relSizeAnchor>
  <cdr:relSizeAnchor xmlns:cdr="http://schemas.openxmlformats.org/drawingml/2006/chartDrawing">
    <cdr:from>
      <cdr:x>0.0143</cdr:x>
      <cdr:y>0.12569</cdr:y>
    </cdr:from>
    <cdr:to>
      <cdr:x>0.22968</cdr:x>
      <cdr:y>0.22016</cdr:y>
    </cdr:to>
    <cdr:sp macro="" textlink="">
      <cdr:nvSpPr>
        <cdr:cNvPr id="18" name="fd7"/>
        <cdr:cNvSpPr txBox="1">
          <a:spLocks xmlns:a="http://schemas.openxmlformats.org/drawingml/2006/main" noChangeArrowheads="1"/>
        </cdr:cNvSpPr>
      </cdr:nvSpPr>
      <cdr:spPr bwMode="auto">
        <a:xfrm xmlns:a="http://schemas.openxmlformats.org/drawingml/2006/main">
          <a:off x="84754" y="370078"/>
          <a:ext cx="1276532" cy="278153"/>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9050" algn="ctr">
              <a:solidFill>
                <a:schemeClr val="accent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wrap="square" lIns="0">
          <a:spAutoFit/>
        </a:bodyPr>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spcBef>
              <a:spcPct val="50000"/>
            </a:spcBef>
          </a:pPr>
          <a:r>
            <a:rPr lang="en-US" altLang="en-US" sz="700" b="0" i="0">
              <a:solidFill>
                <a:srgbClr val="061F3F"/>
              </a:solidFill>
              <a:latin typeface="Arial"/>
            </a:rPr>
            <a:t>The notes are not automatically called.</a:t>
          </a:r>
        </a:p>
      </cdr:txBody>
    </cdr:sp>
  </cdr:relSizeAnchor>
  <cdr:relSizeAnchor xmlns:cdr="http://schemas.openxmlformats.org/drawingml/2006/chartDrawing">
    <cdr:from>
      <cdr:x>0.01878</cdr:x>
      <cdr:y>0.55746</cdr:y>
    </cdr:from>
    <cdr:to>
      <cdr:x>0.20409</cdr:x>
      <cdr:y>0.62037</cdr:y>
    </cdr:to>
    <cdr:sp macro="" textlink="">
      <cdr:nvSpPr>
        <cdr:cNvPr id="19" name="Text Box 53"/>
        <cdr:cNvSpPr txBox="1">
          <a:spLocks xmlns:a="http://schemas.openxmlformats.org/drawingml/2006/main" noChangeArrowheads="1"/>
        </cdr:cNvSpPr>
      </cdr:nvSpPr>
      <cdr:spPr bwMode="auto">
        <a:xfrm xmlns:a="http://schemas.openxmlformats.org/drawingml/2006/main">
          <a:off x="104909" y="1641354"/>
          <a:ext cx="1035183" cy="185244"/>
        </a:xfrm>
        <a:prstGeom xmlns:a="http://schemas.openxmlformats.org/drawingml/2006/main" prst="rect">
          <a:avLst/>
        </a:prstGeom>
        <a:noFill xmlns:a="http://schemas.openxmlformats.org/drawingml/2006/main"/>
        <a:ln xmlns:a="http://schemas.openxmlformats.org/drawingml/2006/main">
          <a:noFill/>
        </a:ln>
        <a:effectLst xmlns:a="http://schemas.openxmlformats.org/drawingml/2006/main"/>
        <a:extLst xmlns:a="http://schemas.openxmlformats.org/drawingml/2006/main">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9050">
              <a:solidFill>
                <a:schemeClr val="accent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anchor="b">
          <a:spAutoFit/>
        </a:bodyPr>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r>
            <a:rPr lang="en-US" altLang="en-US" sz="700"/>
            <a:t>Proceed to maturity</a:t>
          </a:r>
        </a:p>
      </cdr:txBody>
    </cdr:sp>
  </cdr:relSizeAnchor>
  <cdr:relSizeAnchor xmlns:cdr="http://schemas.openxmlformats.org/drawingml/2006/chartDrawing">
    <cdr:from>
      <cdr:x>0.24599</cdr:x>
      <cdr:y>0.01431</cdr:y>
    </cdr:from>
    <cdr:to>
      <cdr:x>0.68634</cdr:x>
      <cdr:y>0.09058</cdr:y>
    </cdr:to>
    <cdr:sp macro="" textlink="">
      <cdr:nvSpPr>
        <cdr:cNvPr id="20" name="fd1"/>
        <cdr:cNvSpPr>
          <a:spLocks xmlns:a="http://schemas.openxmlformats.org/drawingml/2006/main" noChangeArrowheads="1"/>
        </cdr:cNvSpPr>
      </cdr:nvSpPr>
      <cdr:spPr bwMode="auto">
        <a:xfrm xmlns:a="http://schemas.openxmlformats.org/drawingml/2006/main">
          <a:off x="1379164" y="39124"/>
          <a:ext cx="2468880" cy="208526"/>
        </a:xfrm>
        <a:prstGeom xmlns:a="http://schemas.openxmlformats.org/drawingml/2006/main" prst="rect">
          <a:avLst/>
        </a:prstGeom>
        <a:solidFill xmlns:a="http://schemas.openxmlformats.org/drawingml/2006/main">
          <a:srgbClr val="BFBFBF"/>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12700" algn="ctr">
              <a:solidFill>
                <a:schemeClr val="bg1"/>
              </a:solidFill>
              <a:miter lim="800000"/>
              <a:headEnd/>
              <a:tailEnd/>
            </a14:hiddenLine>
          </a:ext>
          <a:ext uri="{AF507438-7753-43E0-B8FC-AC1667EBCBE1}">
            <a14:hiddenEffects xmlns:a14="http://schemas.microsoft.com/office/drawing/2010/main">
              <a:effectLst>
                <a:outerShdw dist="17961" dir="2700000" algn="ctr" rotWithShape="0">
                  <a:srgbClr val="5B876A"/>
                </a:outerShdw>
              </a:effectLst>
            </a14:hiddenEffects>
          </a:ext>
        </a:extLst>
      </cdr:spPr>
      <cdr:txBody>
        <a:bodyPr xmlns:a="http://schemas.openxmlformats.org/drawingml/2006/main" vertOverflow="clip" horzOverflow="clip" wrap="square" lIns="0" tIns="0" rIns="0" bIns="0" anchor="ctr" anchorCtr="1"/>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ctr">
            <a:lnSpc>
              <a:spcPct val="80000"/>
            </a:lnSpc>
          </a:pPr>
          <a:r>
            <a:rPr lang="en-US" altLang="en-US" sz="800" b="1" i="0">
              <a:solidFill>
                <a:srgbClr val="061F3F"/>
              </a:solidFill>
              <a:latin typeface="Arial"/>
            </a:rPr>
            <a:t>Final Review Date</a:t>
          </a:r>
        </a:p>
      </cdr:txBody>
    </cdr:sp>
  </cdr:relSizeAnchor>
  <cdr:relSizeAnchor xmlns:cdr="http://schemas.openxmlformats.org/drawingml/2006/chartDrawing">
    <cdr:from>
      <cdr:x>0.70164</cdr:x>
      <cdr:y>0.01431</cdr:y>
    </cdr:from>
    <cdr:to>
      <cdr:x>0.99195</cdr:x>
      <cdr:y>0.09123</cdr:y>
    </cdr:to>
    <cdr:sp macro="" textlink="">
      <cdr:nvSpPr>
        <cdr:cNvPr id="21" name="Rectangle 20"/>
        <cdr:cNvSpPr>
          <a:spLocks xmlns:a="http://schemas.openxmlformats.org/drawingml/2006/main" noChangeArrowheads="1"/>
        </cdr:cNvSpPr>
      </cdr:nvSpPr>
      <cdr:spPr bwMode="auto">
        <a:xfrm xmlns:a="http://schemas.openxmlformats.org/drawingml/2006/main">
          <a:off x="3933824" y="39124"/>
          <a:ext cx="1627632" cy="210312"/>
        </a:xfrm>
        <a:prstGeom xmlns:a="http://schemas.openxmlformats.org/drawingml/2006/main" prst="rect">
          <a:avLst/>
        </a:prstGeom>
        <a:solidFill xmlns:a="http://schemas.openxmlformats.org/drawingml/2006/main">
          <a:srgbClr val="003399"/>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12700" algn="ctr">
              <a:solidFill>
                <a:schemeClr val="bg1"/>
              </a:solidFill>
              <a:miter lim="800000"/>
              <a:headEnd/>
              <a:tailEnd/>
            </a14:hiddenLine>
          </a:ext>
          <a:ext uri="{AF507438-7753-43E0-B8FC-AC1667EBCBE1}">
            <a14:hiddenEffects xmlns:a14="http://schemas.microsoft.com/office/drawing/2010/main">
              <a:effectLst>
                <a:outerShdw dist="17961" dir="2700000" algn="ctr" rotWithShape="0">
                  <a:srgbClr val="194174"/>
                </a:outerShdw>
              </a:effectLst>
            </a14:hiddenEffects>
          </a:ext>
        </a:extLst>
      </cdr:spPr>
      <cdr:txBody>
        <a:bodyPr xmlns:a="http://schemas.openxmlformats.org/drawingml/2006/main" lIns="0" tIns="0" rIns="0" bIns="0" anchor="ctr" anchorCtr="1"/>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ctr">
            <a:lnSpc>
              <a:spcPct val="80000"/>
            </a:lnSpc>
          </a:pPr>
          <a:r>
            <a:rPr lang="en-US" altLang="en-US" sz="800" b="1">
              <a:solidFill>
                <a:srgbClr val="DCE0E3"/>
              </a:solidFill>
            </a:rPr>
            <a:t>Payment at Maturity</a:t>
          </a:r>
        </a:p>
      </cdr:txBody>
    </cdr:sp>
  </cdr:relSizeAnchor>
  <cdr:relSizeAnchor xmlns:cdr="http://schemas.openxmlformats.org/drawingml/2006/chartDrawing">
    <cdr:from>
      <cdr:x>0.24478</cdr:x>
      <cdr:y>0.14284</cdr:y>
    </cdr:from>
    <cdr:to>
      <cdr:x>0.69744</cdr:x>
      <cdr:y>0.53821</cdr:y>
    </cdr:to>
    <cdr:sp macro="" textlink="">
      <cdr:nvSpPr>
        <cdr:cNvPr id="22" name="fd3"/>
        <cdr:cNvSpPr>
          <a:spLocks xmlns:a="http://schemas.openxmlformats.org/drawingml/2006/main" noChangeArrowheads="1"/>
        </cdr:cNvSpPr>
      </cdr:nvSpPr>
      <cdr:spPr bwMode="auto">
        <a:xfrm xmlns:a="http://schemas.openxmlformats.org/drawingml/2006/main">
          <a:off x="1374963" y="420574"/>
          <a:ext cx="2542649" cy="1164114"/>
        </a:xfrm>
        <a:prstGeom xmlns:a="http://schemas.openxmlformats.org/drawingml/2006/main" prst="homePlate">
          <a:avLst>
            <a:gd name="adj" fmla="val 80694"/>
          </a:avLst>
        </a:prstGeom>
        <a:solidFill xmlns:a="http://schemas.openxmlformats.org/drawingml/2006/main">
          <a:srgbClr val="BFBFBF"/>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vertOverflow="clip" horzOverflow="clip" wrap="square" lIns="182880" anchor="ctr"/>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l" eaLnBrk="1" hangingPunct="1">
            <a:lnSpc>
              <a:spcPct val="100000"/>
            </a:lnSpc>
          </a:pPr>
          <a:r>
            <a:rPr lang="en-US" altLang="en-US" sz="700" b="0" i="0" dirty="0">
              <a:latin typeface="Arial"/>
            </a:rPr>
            <a:t>The Final Value </a:t>
          </a:r>
          <a:r>
            <a:rPr lang="en-US" altLang="en-US" sz="700" b="0" i="0" dirty="0" smtClean="0">
              <a:latin typeface="Arial"/>
            </a:rPr>
            <a:t>is </a:t>
          </a:r>
          <a:r>
            <a:rPr lang="en-US" altLang="en-US" sz="700" b="1" i="0" dirty="0">
              <a:latin typeface="Arial"/>
            </a:rPr>
            <a:t>greater than or equal to </a:t>
          </a:r>
          <a:r>
            <a:rPr lang="en-US" altLang="en-US" sz="700" b="0" i="0" dirty="0" smtClean="0">
              <a:latin typeface="Arial"/>
            </a:rPr>
            <a:t>the </a:t>
          </a:r>
          <a:r>
            <a:rPr lang="en-US" altLang="en-US" sz="700" b="0" i="0" dirty="0">
              <a:latin typeface="Arial"/>
            </a:rPr>
            <a:t>Buffer Threshold.</a:t>
          </a:r>
        </a:p>
      </cdr:txBody>
    </cdr:sp>
  </cdr:relSizeAnchor>
  <cdr:relSizeAnchor xmlns:cdr="http://schemas.openxmlformats.org/drawingml/2006/chartDrawing">
    <cdr:from>
      <cdr:x>0.70164</cdr:x>
      <cdr:y>0.57832</cdr:y>
    </cdr:from>
    <cdr:to>
      <cdr:x>0.99385</cdr:x>
      <cdr:y>0.98969</cdr:y>
    </cdr:to>
    <cdr:sp macro="" textlink="">
      <cdr:nvSpPr>
        <cdr:cNvPr id="24" name="fd6"/>
        <cdr:cNvSpPr>
          <a:spLocks xmlns:a="http://schemas.openxmlformats.org/drawingml/2006/main" noChangeArrowheads="1"/>
        </cdr:cNvSpPr>
      </cdr:nvSpPr>
      <cdr:spPr bwMode="auto">
        <a:xfrm xmlns:a="http://schemas.openxmlformats.org/drawingml/2006/main">
          <a:off x="3933825" y="1581151"/>
          <a:ext cx="1638300" cy="1124712"/>
        </a:xfrm>
        <a:prstGeom xmlns:a="http://schemas.openxmlformats.org/drawingml/2006/main" prst="rect">
          <a:avLst/>
        </a:prstGeom>
        <a:solidFill xmlns:a="http://schemas.openxmlformats.org/drawingml/2006/main">
          <a:srgbClr val="C6D8F0"/>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lIns="91440" tIns="0" rIns="91440" bIns="0" anchor="ctr"/>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ctr"/>
          <a:r>
            <a:rPr lang="en-US" altLang="en-US" sz="700" b="0" i="0" dirty="0">
              <a:latin typeface="Arial"/>
            </a:rPr>
            <a:t>You will receive:
$1,000 + </a:t>
          </a:r>
          <a:r>
            <a:rPr lang="en-US" sz="700" b="0" i="0" u="none" strike="noStrike" kern="1200" baseline="0" smtClean="0">
              <a:solidFill>
                <a:schemeClr val="tx1"/>
              </a:solidFill>
              <a:latin typeface="Arial" charset="0"/>
              <a:ea typeface="+mn-ea"/>
              <a:cs typeface="Arial" charset="0"/>
            </a:rPr>
            <a:t>$1,000 + [$1,000 ×(Index Return + Buffer Amount)]</a:t>
          </a:r>
          <a:r>
            <a:rPr lang="en-US" altLang="en-US" sz="700" b="0" i="0" dirty="0">
              <a:latin typeface="Arial"/>
            </a:rPr>
            <a:t>
</a:t>
          </a:r>
          <a:r>
            <a:rPr lang="en-US" altLang="en-US" sz="700" b="0" i="1" dirty="0">
              <a:latin typeface="Arial"/>
            </a:rPr>
            <a:t>Under these circumstances, you will lose some or most of your principal amount at maturity.</a:t>
          </a:r>
        </a:p>
      </cdr:txBody>
    </cdr:sp>
  </cdr:relSizeAnchor>
  <cdr:relSizeAnchor xmlns:cdr="http://schemas.openxmlformats.org/drawingml/2006/chartDrawing">
    <cdr:from>
      <cdr:x>0.24286</cdr:x>
      <cdr:y>0.58479</cdr:y>
    </cdr:from>
    <cdr:to>
      <cdr:x>0.69841</cdr:x>
      <cdr:y>0.97944</cdr:y>
    </cdr:to>
    <cdr:sp macro="" textlink="">
      <cdr:nvSpPr>
        <cdr:cNvPr id="25" name="fd4"/>
        <cdr:cNvSpPr>
          <a:spLocks xmlns:a="http://schemas.openxmlformats.org/drawingml/2006/main" noChangeArrowheads="1"/>
        </cdr:cNvSpPr>
      </cdr:nvSpPr>
      <cdr:spPr bwMode="auto">
        <a:xfrm xmlns:a="http://schemas.openxmlformats.org/drawingml/2006/main">
          <a:off x="1364180" y="1721837"/>
          <a:ext cx="2558881" cy="1161995"/>
        </a:xfrm>
        <a:prstGeom xmlns:a="http://schemas.openxmlformats.org/drawingml/2006/main" prst="homePlate">
          <a:avLst>
            <a:gd name="adj" fmla="val 80695"/>
          </a:avLst>
        </a:prstGeom>
        <a:solidFill xmlns:a="http://schemas.openxmlformats.org/drawingml/2006/main">
          <a:srgbClr val="BFBFBF"/>
        </a:solidFill>
        <a:ln xmlns:a="http://schemas.openxmlformats.org/drawingml/2006/main">
          <a:noFill/>
        </a:ln>
        <a:effectLst xmlns:a="http://schemas.openxmlformats.org/drawingml/2006/main"/>
        <a:extLst xmlns:a="http://schemas.openxmlformats.org/drawingml/2006/main">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cdr:spPr>
      <cdr:txBody>
        <a:bodyPr xmlns:a="http://schemas.openxmlformats.org/drawingml/2006/main" vertOverflow="clip" horzOverflow="clip" wrap="square" lIns="182880" anchor="ctr"/>
        <a:lstStyle xmlns:a="http://schemas.openxmlformats.org/drawingml/2006/main">
          <a:defPPr>
            <a:defRPr lang="en-US"/>
          </a:defPPr>
          <a:lvl1pPr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1pPr>
          <a:lvl2pPr marL="4572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2pPr>
          <a:lvl3pPr marL="9144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3pPr>
          <a:lvl4pPr marL="13716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4pPr>
          <a:lvl5pPr marL="1828800" algn="l" rtl="0" eaLnBrk="0" fontAlgn="base" hangingPunct="0">
            <a:lnSpc>
              <a:spcPct val="90000"/>
            </a:lnSpc>
            <a:spcBef>
              <a:spcPct val="0"/>
            </a:spcBef>
            <a:spcAft>
              <a:spcPct val="0"/>
            </a:spcAft>
            <a:defRPr sz="1600" kern="1200">
              <a:solidFill>
                <a:schemeClr val="tx1"/>
              </a:solidFill>
              <a:latin typeface="Arial" charset="0"/>
              <a:ea typeface="+mn-ea"/>
              <a:cs typeface="Arial" charset="0"/>
            </a:defRPr>
          </a:lvl5pPr>
          <a:lvl6pPr marL="2286000" algn="l" defTabSz="914400" rtl="0" eaLnBrk="1" latinLnBrk="0" hangingPunct="1">
            <a:defRPr sz="1600" kern="1200">
              <a:solidFill>
                <a:schemeClr val="tx1"/>
              </a:solidFill>
              <a:latin typeface="Arial" charset="0"/>
              <a:ea typeface="+mn-ea"/>
              <a:cs typeface="Arial" charset="0"/>
            </a:defRPr>
          </a:lvl6pPr>
          <a:lvl7pPr marL="2743200" algn="l" defTabSz="914400" rtl="0" eaLnBrk="1" latinLnBrk="0" hangingPunct="1">
            <a:defRPr sz="1600" kern="1200">
              <a:solidFill>
                <a:schemeClr val="tx1"/>
              </a:solidFill>
              <a:latin typeface="Arial" charset="0"/>
              <a:ea typeface="+mn-ea"/>
              <a:cs typeface="Arial" charset="0"/>
            </a:defRPr>
          </a:lvl7pPr>
          <a:lvl8pPr marL="3200400" algn="l" defTabSz="914400" rtl="0" eaLnBrk="1" latinLnBrk="0" hangingPunct="1">
            <a:defRPr sz="1600" kern="1200">
              <a:solidFill>
                <a:schemeClr val="tx1"/>
              </a:solidFill>
              <a:latin typeface="Arial" charset="0"/>
              <a:ea typeface="+mn-ea"/>
              <a:cs typeface="Arial" charset="0"/>
            </a:defRPr>
          </a:lvl8pPr>
          <a:lvl9pPr marL="3657600" algn="l" defTabSz="914400" rtl="0" eaLnBrk="1" latinLnBrk="0" hangingPunct="1">
            <a:defRPr sz="1600" kern="1200">
              <a:solidFill>
                <a:schemeClr val="tx1"/>
              </a:solidFill>
              <a:latin typeface="Arial" charset="0"/>
              <a:ea typeface="+mn-ea"/>
              <a:cs typeface="Arial" charset="0"/>
            </a:defRPr>
          </a:lvl9pPr>
        </a:lstStyle>
        <a:p xmlns:a="http://schemas.openxmlformats.org/drawingml/2006/main">
          <a:pPr algn="l" eaLnBrk="1" hangingPunct="1">
            <a:lnSpc>
              <a:spcPct val="100000"/>
            </a:lnSpc>
          </a:pPr>
          <a:r>
            <a:rPr lang="en-US" altLang="en-US" sz="700" b="0" i="0" dirty="0">
              <a:latin typeface="Arial"/>
            </a:rPr>
            <a:t>The Final Value </a:t>
          </a:r>
          <a:r>
            <a:rPr lang="en-US" altLang="en-US" sz="700" b="0" i="0" dirty="0" smtClean="0">
              <a:latin typeface="Arial"/>
            </a:rPr>
            <a:t>is </a:t>
          </a:r>
          <a:r>
            <a:rPr lang="en-US" altLang="en-US" sz="700" b="1" i="0" dirty="0">
              <a:latin typeface="Arial"/>
            </a:rPr>
            <a:t>less than </a:t>
          </a:r>
          <a:r>
            <a:rPr lang="en-US" altLang="en-US" sz="700" b="0" i="0" dirty="0" smtClean="0">
              <a:latin typeface="Arial"/>
            </a:rPr>
            <a:t>the </a:t>
          </a:r>
          <a:r>
            <a:rPr lang="en-US" altLang="en-US" sz="700" b="0" i="0" dirty="0">
              <a:latin typeface="Arial"/>
            </a:rPr>
            <a:t>Buffer Threshold.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FA901-FED8-408C-B183-23E2A677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4687</Words>
  <Characters>35252</Characters>
  <Application>Microsoft Office Word</Application>
  <DocSecurity>0</DocSecurity>
  <Lines>1410</Lines>
  <Paragraphs>1536</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JPMorgan Chase &amp; Co.</dc:creator>
  <cp:keywords>DPW-27950-049</cp:keywords>
  <cp:lastModifiedBy>Im, Karen</cp:lastModifiedBy>
  <cp:revision>13</cp:revision>
  <cp:lastPrinted>2015-02-06T18:46:00Z</cp:lastPrinted>
  <dcterms:created xsi:type="dcterms:W3CDTF">2022-05-27T22:22:00Z</dcterms:created>
  <dcterms:modified xsi:type="dcterms:W3CDTF">2022-06-22T15:36:00Z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oFAAspTNh41gn7BX+qx6WNUSk0DquByQ/ngq/O3USuD9nuKFQ+e5dQG8cQAhXpCMHzk/4DNCtHNGBJTV
sT3e2zF9fqyilvvun2b7rw10VBgx/QhWwN6w4NDBY3HOyVR6nj+ZQLD3YN9S99CSpb9uZftM11O5
oRLhr9ko3EvVG06vzSZBA71S7mreYe8YbBQ/0NXZY59t4fvR/MkMayT4MPZ/THIbrHx0ukOd+GE4
SIV9MQoiHnb9misNK</vt:lpwstr>
  </property>
  <property fmtid="{D5CDD505-2E9C-101B-9397-08002B2CF9AE}" pid="3" name="MAIL_MSG_ID2">
    <vt:lpwstr>fZT0wTTzJ1tQmuL+IBxd2/qKaoR85f/ZWIi+YtqHdspxadGUrLL+AWMBqV/
pkyCY38IL7i+vmFvcDL2/4ziVUG0lY1b6DZBGIKHkr3lVmz7</vt:lpwstr>
  </property>
  <property fmtid="{D5CDD505-2E9C-101B-9397-08002B2CF9AE}" pid="4" name="RESPONSE_SENDER_NAME">
    <vt:lpwstr>sAAAGYoQX4c3X/JMpeYTq2npZBq9NZsKkwvuipIsPi68czI=</vt:lpwstr>
  </property>
  <property fmtid="{D5CDD505-2E9C-101B-9397-08002B2CF9AE}" pid="5" name="EMAIL_OWNER_ADDRESS">
    <vt:lpwstr>4AAA9DNYQidmug7zhIIjm8LUUHUbcEXHyZBy/zQxMl5N6+LtbK0aso4f5g==</vt:lpwstr>
  </property>
  <property fmtid="{D5CDD505-2E9C-101B-9397-08002B2CF9AE}" pid="6" name="DPWPathText">
    <vt:lpwstr>#95868207v4</vt:lpwstr>
  </property>
  <property fmtid="{D5CDD505-2E9C-101B-9397-08002B2CF9AE}" pid="7" name="Client-Matter">
    <vt:lpwstr>DPW-27950-00049</vt:lpwstr>
  </property>
</Properties>
</file>