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911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Whastz the fuck you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Xdddddd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2024.07.01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2024.07.01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2024.07.01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