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4B" w:rsidRDefault="00244E4B" w:rsidP="0060558B">
      <w:pPr>
        <w:pStyle w:val="Listenabsatz"/>
        <w:numPr>
          <w:ilvl w:val="0"/>
          <w:numId w:val="1"/>
        </w:numPr>
      </w:pPr>
      <w:r>
        <w:t>Definition</w:t>
      </w:r>
    </w:p>
    <w:p w:rsidR="00244E4B" w:rsidRDefault="007F3CA1" w:rsidP="00244E4B">
      <w:pPr>
        <w:pStyle w:val="Listenabsatz"/>
        <w:numPr>
          <w:ilvl w:val="0"/>
          <w:numId w:val="1"/>
        </w:numPr>
      </w:pPr>
      <w:r>
        <w:t>Gesetzliche Einordnung</w:t>
      </w:r>
    </w:p>
    <w:p w:rsidR="00244E4B" w:rsidRDefault="00244E4B" w:rsidP="00244E4B">
      <w:pPr>
        <w:pStyle w:val="Listenabsatz"/>
        <w:numPr>
          <w:ilvl w:val="0"/>
          <w:numId w:val="1"/>
        </w:numPr>
      </w:pPr>
      <w:r>
        <w:t>Ermessens</w:t>
      </w:r>
      <w:r w:rsidR="007F3CA1">
        <w:t>grenzen</w:t>
      </w:r>
    </w:p>
    <w:p w:rsidR="00F55932" w:rsidRDefault="00F55932" w:rsidP="00F55932"/>
    <w:p w:rsidR="00F55932" w:rsidRDefault="00F55932" w:rsidP="00F55932"/>
    <w:p w:rsidR="00F55932" w:rsidRDefault="00F55932" w:rsidP="00F55932">
      <w:r>
        <w:t>Definition</w:t>
      </w:r>
    </w:p>
    <w:p w:rsidR="00F55932" w:rsidRDefault="00F55932" w:rsidP="00F55932"/>
    <w:p w:rsidR="00F55932" w:rsidRDefault="00F55932" w:rsidP="00F55932">
      <w:r>
        <w:t xml:space="preserve">Von (..) Ermessen spricht man dann, wenn die gesetzlichen </w:t>
      </w:r>
      <w:proofErr w:type="spellStart"/>
      <w:r>
        <w:t>Tatbestandsvorraussetzungen</w:t>
      </w:r>
      <w:proofErr w:type="spellEnd"/>
      <w:r>
        <w:t xml:space="preserve"> zwar erfüllt sind, der Behörde aber gleichwohl die Wahl zwischen verschiedenen Verhaltensmöglichkeiten bleibt.</w:t>
      </w:r>
    </w:p>
    <w:p w:rsidR="007B46CA" w:rsidRDefault="007B46CA" w:rsidP="00F55932">
      <w:bookmarkStart w:id="0" w:name="_GoBack"/>
      <w:bookmarkEnd w:id="0"/>
    </w:p>
    <w:p w:rsidR="007B46CA" w:rsidRDefault="007B46CA" w:rsidP="00F55932">
      <w:r>
        <w:t>Zitat:</w:t>
      </w:r>
      <w:r w:rsidR="00120289">
        <w:t xml:space="preserve"> S.201 </w:t>
      </w:r>
    </w:p>
    <w:p w:rsidR="00F55932" w:rsidRDefault="00F55932" w:rsidP="00F55932"/>
    <w:tbl>
      <w:tblPr>
        <w:tblStyle w:val="Tabellenraster"/>
        <w:tblW w:w="0" w:type="auto"/>
        <w:tblLook w:val="04A0" w:firstRow="1" w:lastRow="0" w:firstColumn="1" w:lastColumn="0" w:noHBand="0" w:noVBand="1"/>
      </w:tblPr>
      <w:tblGrid>
        <w:gridCol w:w="4531"/>
        <w:gridCol w:w="4531"/>
      </w:tblGrid>
      <w:tr w:rsidR="00F55932" w:rsidTr="00F55932">
        <w:tc>
          <w:tcPr>
            <w:tcW w:w="4531" w:type="dxa"/>
          </w:tcPr>
          <w:p w:rsidR="00F55932" w:rsidRDefault="00F55932" w:rsidP="00F55932">
            <w:r>
              <w:t>Gebunde Verwaltung</w:t>
            </w:r>
          </w:p>
        </w:tc>
        <w:tc>
          <w:tcPr>
            <w:tcW w:w="4531" w:type="dxa"/>
          </w:tcPr>
          <w:p w:rsidR="00F55932" w:rsidRDefault="00F55932" w:rsidP="00F55932">
            <w:r>
              <w:t>Ungebundene Verwaltung</w:t>
            </w:r>
          </w:p>
        </w:tc>
      </w:tr>
      <w:tr w:rsidR="00F55932" w:rsidTr="00F55932">
        <w:tc>
          <w:tcPr>
            <w:tcW w:w="4531" w:type="dxa"/>
          </w:tcPr>
          <w:p w:rsidR="00F55932" w:rsidRDefault="00F55932" w:rsidP="00F55932">
            <w:r>
              <w:t>Tatbestand: Voraussetzungen erfüllt</w:t>
            </w:r>
          </w:p>
        </w:tc>
        <w:tc>
          <w:tcPr>
            <w:tcW w:w="4531" w:type="dxa"/>
          </w:tcPr>
          <w:p w:rsidR="00F55932" w:rsidRDefault="00F55932" w:rsidP="00F55932">
            <w:r>
              <w:t>Tatbestand: Voraussetzungen erfüllt</w:t>
            </w:r>
          </w:p>
        </w:tc>
      </w:tr>
      <w:tr w:rsidR="00F55932" w:rsidTr="00F55932">
        <w:tc>
          <w:tcPr>
            <w:tcW w:w="4531" w:type="dxa"/>
          </w:tcPr>
          <w:p w:rsidR="00F55932" w:rsidRPr="00F55932" w:rsidRDefault="00F55932" w:rsidP="00F55932">
            <w:pPr>
              <w:rPr>
                <w:caps/>
              </w:rPr>
            </w:pPr>
            <w:r>
              <w:t xml:space="preserve">Rechtsfolge: Behörde </w:t>
            </w:r>
            <w:r w:rsidRPr="00F55932">
              <w:rPr>
                <w:b/>
              </w:rPr>
              <w:t>muss</w:t>
            </w:r>
            <w:r>
              <w:rPr>
                <w:b/>
              </w:rPr>
              <w:t xml:space="preserve"> </w:t>
            </w:r>
            <w:r>
              <w:t>Maßnahme X treffen</w:t>
            </w:r>
          </w:p>
        </w:tc>
        <w:tc>
          <w:tcPr>
            <w:tcW w:w="4531" w:type="dxa"/>
          </w:tcPr>
          <w:p w:rsidR="00F55932" w:rsidRDefault="00F55932" w:rsidP="00F55932">
            <w:r>
              <w:t>Rechtsfolge: Behörde kann Maßnahme X oder Y treffen</w:t>
            </w:r>
          </w:p>
        </w:tc>
      </w:tr>
    </w:tbl>
    <w:p w:rsidR="00F55932" w:rsidRDefault="00F55932" w:rsidP="00F55932"/>
    <w:p w:rsidR="00F55932" w:rsidRDefault="007F3CA1" w:rsidP="00F55932">
      <w:r>
        <w:t>Gesetzliche Einordnung</w:t>
      </w:r>
    </w:p>
    <w:p w:rsidR="007F3CA1" w:rsidRDefault="007F3CA1" w:rsidP="00F55932"/>
    <w:p w:rsidR="007F3CA1" w:rsidRDefault="007F3CA1" w:rsidP="007F3CA1">
      <w:r>
        <w:t>Einräumung des Ermessens gesetzliche Formulierungen</w:t>
      </w:r>
    </w:p>
    <w:tbl>
      <w:tblPr>
        <w:tblStyle w:val="Tabellenraster"/>
        <w:tblW w:w="0" w:type="auto"/>
        <w:tblInd w:w="720" w:type="dxa"/>
        <w:tblLook w:val="04A0" w:firstRow="1" w:lastRow="0" w:firstColumn="1" w:lastColumn="0" w:noHBand="0" w:noVBand="1"/>
      </w:tblPr>
      <w:tblGrid>
        <w:gridCol w:w="4171"/>
        <w:gridCol w:w="4171"/>
      </w:tblGrid>
      <w:tr w:rsidR="007F3CA1" w:rsidTr="007F3CA1">
        <w:tc>
          <w:tcPr>
            <w:tcW w:w="4171" w:type="dxa"/>
          </w:tcPr>
          <w:p w:rsidR="007F3CA1" w:rsidRDefault="007F3CA1" w:rsidP="007F3CA1">
            <w:r>
              <w:t>Gebunde Verwaltung</w:t>
            </w:r>
          </w:p>
        </w:tc>
        <w:tc>
          <w:tcPr>
            <w:tcW w:w="4171" w:type="dxa"/>
          </w:tcPr>
          <w:p w:rsidR="007F3CA1" w:rsidRDefault="007F3CA1" w:rsidP="007F3CA1">
            <w:r>
              <w:t>Ermessen</w:t>
            </w:r>
          </w:p>
        </w:tc>
      </w:tr>
      <w:tr w:rsidR="007F3CA1" w:rsidTr="007F3CA1">
        <w:tc>
          <w:tcPr>
            <w:tcW w:w="4171" w:type="dxa"/>
          </w:tcPr>
          <w:p w:rsidR="007F3CA1" w:rsidRDefault="007F3CA1" w:rsidP="007F3CA1">
            <w:pPr>
              <w:pStyle w:val="Listenabsatz"/>
              <w:ind w:left="0"/>
            </w:pPr>
            <w:r>
              <w:t>„muss“, darf nicht, „ist zu ersteilen“</w:t>
            </w:r>
          </w:p>
        </w:tc>
        <w:tc>
          <w:tcPr>
            <w:tcW w:w="4171" w:type="dxa"/>
          </w:tcPr>
          <w:p w:rsidR="007F3CA1" w:rsidRDefault="007F3CA1" w:rsidP="007F3CA1">
            <w:pPr>
              <w:pStyle w:val="Listenabsatz"/>
              <w:ind w:left="0"/>
            </w:pPr>
            <w:r>
              <w:t>„kann“, „darf“, „ist befugt“</w:t>
            </w:r>
          </w:p>
        </w:tc>
      </w:tr>
      <w:tr w:rsidR="007F3CA1" w:rsidTr="007F3CA1">
        <w:tc>
          <w:tcPr>
            <w:tcW w:w="4171" w:type="dxa"/>
          </w:tcPr>
          <w:p w:rsidR="007F3CA1" w:rsidRDefault="007F3CA1" w:rsidP="007F3CA1">
            <w:pPr>
              <w:pStyle w:val="Listenabsatz"/>
              <w:ind w:left="0"/>
            </w:pPr>
            <w:r>
              <w:t>„Muss“-Vorschriften</w:t>
            </w:r>
          </w:p>
        </w:tc>
        <w:tc>
          <w:tcPr>
            <w:tcW w:w="4171" w:type="dxa"/>
          </w:tcPr>
          <w:p w:rsidR="007F3CA1" w:rsidRDefault="007F3CA1" w:rsidP="007F3CA1">
            <w:pPr>
              <w:pStyle w:val="Listenabsatz"/>
              <w:ind w:left="0"/>
            </w:pPr>
            <w:r>
              <w:t>„Kann“-Vorschriften</w:t>
            </w:r>
          </w:p>
        </w:tc>
      </w:tr>
    </w:tbl>
    <w:p w:rsidR="007F3CA1" w:rsidRDefault="007F3CA1" w:rsidP="007F3CA1"/>
    <w:p w:rsidR="007F3CA1" w:rsidRDefault="007F3CA1" w:rsidP="007F3CA1">
      <w:r>
        <w:t>Zwischen Form: „Soll“-Vorschriften</w:t>
      </w:r>
    </w:p>
    <w:p w:rsidR="007F3CA1" w:rsidRDefault="007F3CA1" w:rsidP="007F3CA1">
      <w:pPr>
        <w:pStyle w:val="Listenabsatz"/>
        <w:numPr>
          <w:ilvl w:val="0"/>
          <w:numId w:val="3"/>
        </w:numPr>
      </w:pPr>
      <w:r>
        <w:t>Durch „soll“ oder „in der Regel“ indiziert</w:t>
      </w:r>
    </w:p>
    <w:p w:rsidR="007F3CA1" w:rsidRDefault="007F3CA1" w:rsidP="007F3CA1">
      <w:pPr>
        <w:pStyle w:val="Listenabsatz"/>
        <w:numPr>
          <w:ilvl w:val="0"/>
          <w:numId w:val="3"/>
        </w:numPr>
      </w:pPr>
      <w:r>
        <w:t>Entscheidungsspielraum nur im Ausnahmefall</w:t>
      </w:r>
    </w:p>
    <w:p w:rsidR="007F3CA1" w:rsidRDefault="007F3CA1" w:rsidP="007F3CA1"/>
    <w:p w:rsidR="007F3CA1" w:rsidRDefault="00E07313" w:rsidP="007F3CA1">
      <w:r>
        <w:t>Ermessengrenzen</w:t>
      </w:r>
    </w:p>
    <w:p w:rsidR="007F3CA1" w:rsidRDefault="007F3CA1" w:rsidP="007F3CA1">
      <w:r>
        <w:t>§ 40 VwVfG</w:t>
      </w:r>
    </w:p>
    <w:p w:rsidR="007F3CA1" w:rsidRDefault="007F3CA1" w:rsidP="007F3CA1">
      <w:r>
        <w:t>Ist die Behörde ermächtigt, nach ihrem Ermessen zu handeln, hat sie ihr</w:t>
      </w:r>
      <w:r>
        <w:t xml:space="preserve"> </w:t>
      </w:r>
      <w:r>
        <w:t xml:space="preserve">Ermessen entsprechend dem </w:t>
      </w:r>
      <w:r w:rsidRPr="007F3CA1">
        <w:rPr>
          <w:b/>
        </w:rPr>
        <w:t>Zweck der Ermächtigung</w:t>
      </w:r>
      <w:r>
        <w:t xml:space="preserve"> auszuüben und die</w:t>
      </w:r>
      <w:r>
        <w:t xml:space="preserve"> </w:t>
      </w:r>
      <w:r w:rsidRPr="007F3CA1">
        <w:rPr>
          <w:b/>
        </w:rPr>
        <w:t>gesetzlichen Grenzen</w:t>
      </w:r>
      <w:r>
        <w:t xml:space="preserve"> des Ermessens </w:t>
      </w:r>
      <w:r w:rsidRPr="007F3CA1">
        <w:rPr>
          <w:b/>
        </w:rPr>
        <w:t>einzuhalten</w:t>
      </w:r>
      <w:r>
        <w:t>.</w:t>
      </w:r>
    </w:p>
    <w:p w:rsidR="007F3CA1" w:rsidRDefault="007F3CA1" w:rsidP="007F3CA1"/>
    <w:p w:rsidR="00E07313" w:rsidRDefault="00E07313" w:rsidP="00E07313"/>
    <w:p w:rsidR="00E07313" w:rsidRDefault="00E07313" w:rsidP="00E07313"/>
    <w:p w:rsidR="00E07313" w:rsidRDefault="00E07313" w:rsidP="00E07313"/>
    <w:p w:rsidR="00E07313" w:rsidRDefault="00E07313" w:rsidP="00E07313"/>
    <w:p w:rsidR="00E07313" w:rsidRDefault="00E07313" w:rsidP="00E07313">
      <w:r>
        <w:t>§ 114</w:t>
      </w:r>
      <w:r>
        <w:t xml:space="preserve"> VwGO</w:t>
      </w:r>
    </w:p>
    <w:p w:rsidR="00E07313" w:rsidRDefault="00E07313" w:rsidP="00E07313"/>
    <w:p w:rsidR="007F3CA1" w:rsidRDefault="00E07313" w:rsidP="00E07313">
      <w:r>
        <w:t>Soweit die Verwaltungsbehörde ermächtigt ist, nach ihrem Ermessen zu handeln, prüft das Gericht auch, ob der Verwaltungsakt oder die Ablehnung oder Unterlassung des Verwaltungsakts rechtswidrig ist, weil die gesetzlichen Grenzen des Ermessens überschritten sind oder von dem Ermessen in einer dem Zweck der Ermächtigung nicht entsprechenden Weise Gebrauch gemacht ist. Die Verwaltungsbehörde kann ihre Ermessenserwägungen hinsichtlich des Verwaltungsaktes auch noch im verwaltungsgerichtlichen Verfahren ergänzen.</w:t>
      </w:r>
    </w:p>
    <w:p w:rsidR="00E07313" w:rsidRDefault="00E07313" w:rsidP="00E07313"/>
    <w:p w:rsidR="00E07313" w:rsidRDefault="00E07313" w:rsidP="00E07313">
      <w:r>
        <w:t>Ermessensfehler</w:t>
      </w:r>
    </w:p>
    <w:p w:rsidR="00E07313" w:rsidRDefault="00E07313" w:rsidP="00E07313"/>
    <w:p w:rsidR="00E07313" w:rsidRDefault="00E07313" w:rsidP="00E07313">
      <w:r>
        <w:t>Fallgruppen:</w:t>
      </w:r>
    </w:p>
    <w:p w:rsidR="00E07313" w:rsidRDefault="00E07313" w:rsidP="00E07313"/>
    <w:p w:rsidR="00E07313" w:rsidRDefault="00E07313" w:rsidP="00E07313">
      <w:pPr>
        <w:pStyle w:val="Listenabsatz"/>
        <w:numPr>
          <w:ilvl w:val="0"/>
          <w:numId w:val="4"/>
        </w:numPr>
      </w:pPr>
      <w:r w:rsidRPr="00E07313">
        <w:t>Ermessensunterschreitung</w:t>
      </w:r>
    </w:p>
    <w:p w:rsidR="00DB2CFA" w:rsidRDefault="00DB2CFA" w:rsidP="00DB2CFA">
      <w:pPr>
        <w:pStyle w:val="Listenabsatz"/>
        <w:numPr>
          <w:ilvl w:val="1"/>
          <w:numId w:val="4"/>
        </w:numPr>
      </w:pPr>
      <w:r>
        <w:t>Behörde stellt keine Ermessenerwägung an</w:t>
      </w:r>
    </w:p>
    <w:p w:rsidR="00DB2CFA" w:rsidRDefault="00DB2CFA" w:rsidP="00DB2CFA">
      <w:pPr>
        <w:pStyle w:val="Listenabsatz"/>
        <w:numPr>
          <w:ilvl w:val="1"/>
          <w:numId w:val="4"/>
        </w:numPr>
      </w:pPr>
      <w:proofErr w:type="spellStart"/>
      <w:r>
        <w:t>Bsp</w:t>
      </w:r>
      <w:proofErr w:type="spellEnd"/>
      <w:r>
        <w:t xml:space="preserve">: Behörde glaubt Versammlung gefährdet öffentliche Sicherheit und </w:t>
      </w:r>
      <w:r w:rsidRPr="00DB2CFA">
        <w:rPr>
          <w:b/>
        </w:rPr>
        <w:t>muss</w:t>
      </w:r>
      <w:r>
        <w:t xml:space="preserve"> deshalb Versammlung verbieten. Jedoch nach 15 I VersG </w:t>
      </w:r>
      <w:r w:rsidRPr="00DB2CFA">
        <w:rPr>
          <w:b/>
        </w:rPr>
        <w:t>kann</w:t>
      </w:r>
      <w:r>
        <w:t xml:space="preserve"> sie verbieten.</w:t>
      </w:r>
    </w:p>
    <w:p w:rsidR="00E07313" w:rsidRDefault="00E07313" w:rsidP="00E07313">
      <w:pPr>
        <w:pStyle w:val="Listenabsatz"/>
        <w:numPr>
          <w:ilvl w:val="0"/>
          <w:numId w:val="4"/>
        </w:numPr>
      </w:pPr>
      <w:r w:rsidRPr="00E07313">
        <w:t>Ermessensüberschreitung</w:t>
      </w:r>
    </w:p>
    <w:p w:rsidR="0060558B" w:rsidRDefault="00DB2CFA" w:rsidP="00DB2CFA">
      <w:pPr>
        <w:pStyle w:val="Listenabsatz"/>
        <w:numPr>
          <w:ilvl w:val="1"/>
          <w:numId w:val="4"/>
        </w:numPr>
      </w:pPr>
      <w:r>
        <w:t>Entscheidung liegt außerhalb des gesetzlichen Rechtsfolgerahmens</w:t>
      </w:r>
    </w:p>
    <w:p w:rsidR="00DB2CFA" w:rsidRDefault="0060558B" w:rsidP="00DB2CFA">
      <w:pPr>
        <w:pStyle w:val="Listenabsatz"/>
        <w:numPr>
          <w:ilvl w:val="1"/>
          <w:numId w:val="4"/>
        </w:numPr>
      </w:pPr>
      <w:proofErr w:type="spellStart"/>
      <w:r>
        <w:t>Bsp</w:t>
      </w:r>
      <w:proofErr w:type="spellEnd"/>
      <w:r>
        <w:t xml:space="preserve">: Gebühr höher als Rechtsrahmens </w:t>
      </w:r>
      <w:proofErr w:type="spellStart"/>
      <w:r>
        <w:t>zulääst</w:t>
      </w:r>
      <w:proofErr w:type="spellEnd"/>
      <w:r w:rsidR="00DB2CFA">
        <w:t xml:space="preserve"> </w:t>
      </w:r>
    </w:p>
    <w:p w:rsidR="00E07313" w:rsidRDefault="00E07313" w:rsidP="00E07313">
      <w:pPr>
        <w:pStyle w:val="Listenabsatz"/>
        <w:numPr>
          <w:ilvl w:val="0"/>
          <w:numId w:val="4"/>
        </w:numPr>
      </w:pPr>
      <w:r>
        <w:t>Ermessenfehlgebrauch</w:t>
      </w:r>
    </w:p>
    <w:p w:rsidR="00DB2CFA" w:rsidRDefault="0060558B" w:rsidP="0060558B">
      <w:pPr>
        <w:pStyle w:val="Listenabsatz"/>
        <w:numPr>
          <w:ilvl w:val="1"/>
          <w:numId w:val="4"/>
        </w:numPr>
      </w:pPr>
      <w:r>
        <w:t>Zweck der gesetzlichen Ermesseneinräumung nicht hinreichend beachtet</w:t>
      </w:r>
    </w:p>
    <w:p w:rsidR="0060558B" w:rsidRDefault="0060558B" w:rsidP="0060558B">
      <w:pPr>
        <w:pStyle w:val="Listenabsatz"/>
        <w:numPr>
          <w:ilvl w:val="2"/>
          <w:numId w:val="4"/>
        </w:numPr>
      </w:pPr>
      <w:r>
        <w:t>Nicht alle relevanten Umstände berücksichtigt</w:t>
      </w:r>
    </w:p>
    <w:p w:rsidR="0060558B" w:rsidRDefault="0060558B" w:rsidP="0060558B">
      <w:pPr>
        <w:pStyle w:val="Listenabsatz"/>
        <w:numPr>
          <w:ilvl w:val="2"/>
          <w:numId w:val="4"/>
        </w:numPr>
      </w:pPr>
      <w:r>
        <w:t>Sachfremde Erwägungen angestellt (Ermessenmissbrauch)</w:t>
      </w:r>
    </w:p>
    <w:p w:rsidR="00E07313" w:rsidRDefault="00E07313" w:rsidP="00E07313">
      <w:pPr>
        <w:pStyle w:val="Listenabsatz"/>
        <w:numPr>
          <w:ilvl w:val="0"/>
          <w:numId w:val="4"/>
        </w:numPr>
      </w:pPr>
      <w:r>
        <w:t>Verstoß gegen Grundrechte und allgemeine Rechtsgruppen</w:t>
      </w:r>
    </w:p>
    <w:p w:rsidR="0060558B" w:rsidRDefault="0060558B" w:rsidP="0060558B">
      <w:pPr>
        <w:pStyle w:val="Listenabsatz"/>
        <w:numPr>
          <w:ilvl w:val="1"/>
          <w:numId w:val="4"/>
        </w:numPr>
      </w:pPr>
      <w:r>
        <w:t>(Überschneidungen zum Ermessenfehlgebrauch)</w:t>
      </w:r>
    </w:p>
    <w:p w:rsidR="0060558B" w:rsidRDefault="0060558B" w:rsidP="0060558B">
      <w:pPr>
        <w:pStyle w:val="Listenabsatz"/>
        <w:numPr>
          <w:ilvl w:val="1"/>
          <w:numId w:val="4"/>
        </w:numPr>
      </w:pPr>
      <w:r>
        <w:t>Gleichheitssätze</w:t>
      </w:r>
    </w:p>
    <w:p w:rsidR="0060558B" w:rsidRDefault="0060558B" w:rsidP="0060558B">
      <w:pPr>
        <w:pStyle w:val="Listenabsatz"/>
        <w:numPr>
          <w:ilvl w:val="1"/>
          <w:numId w:val="4"/>
        </w:numPr>
      </w:pPr>
      <w:proofErr w:type="spellStart"/>
      <w:r>
        <w:t>Verhaltnismäßigkeitsgrundsatz</w:t>
      </w:r>
      <w:proofErr w:type="spellEnd"/>
    </w:p>
    <w:p w:rsidR="00E07313" w:rsidRDefault="00E07313" w:rsidP="00E07313">
      <w:pPr>
        <w:pStyle w:val="Listenabsatz"/>
        <w:numPr>
          <w:ilvl w:val="0"/>
          <w:numId w:val="4"/>
        </w:numPr>
      </w:pPr>
      <w:r>
        <w:t>Missachtung einer Ermessenreduzierung auf Null</w:t>
      </w:r>
    </w:p>
    <w:p w:rsidR="00E07313" w:rsidRDefault="00E07313" w:rsidP="00DB2CFA">
      <w:pPr>
        <w:ind w:left="360"/>
      </w:pPr>
    </w:p>
    <w:sectPr w:rsidR="00E07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F1AD7"/>
    <w:multiLevelType w:val="hybridMultilevel"/>
    <w:tmpl w:val="B5947E36"/>
    <w:lvl w:ilvl="0" w:tplc="DC4A82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261B85"/>
    <w:multiLevelType w:val="hybridMultilevel"/>
    <w:tmpl w:val="7098FF34"/>
    <w:lvl w:ilvl="0" w:tplc="DC4A82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8A3CD9"/>
    <w:multiLevelType w:val="hybridMultilevel"/>
    <w:tmpl w:val="0AA6051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CB30E0D"/>
    <w:multiLevelType w:val="hybridMultilevel"/>
    <w:tmpl w:val="9A74C4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A9"/>
    <w:rsid w:val="00120289"/>
    <w:rsid w:val="0017082A"/>
    <w:rsid w:val="00244E4B"/>
    <w:rsid w:val="0060558B"/>
    <w:rsid w:val="007B46CA"/>
    <w:rsid w:val="007F3CA1"/>
    <w:rsid w:val="00842CA9"/>
    <w:rsid w:val="009112BC"/>
    <w:rsid w:val="00DB2CFA"/>
    <w:rsid w:val="00E07313"/>
    <w:rsid w:val="00F559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F43A"/>
  <w15:chartTrackingRefBased/>
  <w15:docId w15:val="{E752E19A-71CF-486E-9581-6AF2C612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E4B"/>
    <w:pPr>
      <w:ind w:left="720"/>
      <w:contextualSpacing/>
    </w:pPr>
  </w:style>
  <w:style w:type="table" w:styleId="Tabellenraster">
    <w:name w:val="Table Grid"/>
    <w:basedOn w:val="NormaleTabelle"/>
    <w:uiPriority w:val="39"/>
    <w:rsid w:val="00F5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80423">
      <w:bodyDiv w:val="1"/>
      <w:marLeft w:val="0"/>
      <w:marRight w:val="0"/>
      <w:marTop w:val="0"/>
      <w:marBottom w:val="0"/>
      <w:divBdr>
        <w:top w:val="none" w:sz="0" w:space="0" w:color="auto"/>
        <w:left w:val="none" w:sz="0" w:space="0" w:color="auto"/>
        <w:bottom w:val="none" w:sz="0" w:space="0" w:color="auto"/>
        <w:right w:val="none" w:sz="0" w:space="0" w:color="auto"/>
      </w:divBdr>
      <w:divsChild>
        <w:div w:id="104424960">
          <w:marLeft w:val="0"/>
          <w:marRight w:val="0"/>
          <w:marTop w:val="0"/>
          <w:marBottom w:val="0"/>
          <w:divBdr>
            <w:top w:val="none" w:sz="0" w:space="0" w:color="auto"/>
            <w:left w:val="none" w:sz="0" w:space="0" w:color="auto"/>
            <w:bottom w:val="none" w:sz="0" w:space="0" w:color="auto"/>
            <w:right w:val="none" w:sz="0" w:space="0" w:color="auto"/>
          </w:divBdr>
        </w:div>
        <w:div w:id="1873418579">
          <w:marLeft w:val="0"/>
          <w:marRight w:val="0"/>
          <w:marTop w:val="0"/>
          <w:marBottom w:val="0"/>
          <w:divBdr>
            <w:top w:val="none" w:sz="0" w:space="0" w:color="auto"/>
            <w:left w:val="none" w:sz="0" w:space="0" w:color="auto"/>
            <w:bottom w:val="none" w:sz="0" w:space="0" w:color="auto"/>
            <w:right w:val="none" w:sz="0" w:space="0" w:color="auto"/>
          </w:divBdr>
          <w:divsChild>
            <w:div w:id="1393427492">
              <w:marLeft w:val="0"/>
              <w:marRight w:val="0"/>
              <w:marTop w:val="0"/>
              <w:marBottom w:val="0"/>
              <w:divBdr>
                <w:top w:val="none" w:sz="0" w:space="0" w:color="auto"/>
                <w:left w:val="none" w:sz="0" w:space="0" w:color="auto"/>
                <w:bottom w:val="none" w:sz="0" w:space="0" w:color="auto"/>
                <w:right w:val="none" w:sz="0" w:space="0" w:color="auto"/>
              </w:divBdr>
              <w:divsChild>
                <w:div w:id="325017248">
                  <w:marLeft w:val="0"/>
                  <w:marRight w:val="0"/>
                  <w:marTop w:val="0"/>
                  <w:marBottom w:val="0"/>
                  <w:divBdr>
                    <w:top w:val="none" w:sz="0" w:space="0" w:color="auto"/>
                    <w:left w:val="none" w:sz="0" w:space="0" w:color="auto"/>
                    <w:bottom w:val="none" w:sz="0" w:space="0" w:color="auto"/>
                    <w:right w:val="none" w:sz="0" w:space="0" w:color="auto"/>
                  </w:divBdr>
                  <w:divsChild>
                    <w:div w:id="6418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2020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cp:revision>
  <dcterms:created xsi:type="dcterms:W3CDTF">2017-05-03T06:59:00Z</dcterms:created>
  <dcterms:modified xsi:type="dcterms:W3CDTF">2017-05-09T16:12:00Z</dcterms:modified>
</cp:coreProperties>
</file>