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2E6" w:rsidRDefault="00840E48" w:rsidP="00840E48">
      <w:pPr>
        <w:rPr>
          <w:rFonts w:ascii="Arial" w:hAnsi="Arial" w:cs="Arial"/>
          <w:b/>
          <w:sz w:val="32"/>
          <w:szCs w:val="32"/>
        </w:rPr>
      </w:pPr>
      <w:r>
        <w:rPr>
          <w:rFonts w:ascii="Arial" w:hAnsi="Arial" w:cs="Arial"/>
          <w:b/>
          <w:sz w:val="32"/>
          <w:szCs w:val="32"/>
        </w:rPr>
        <w:t>Unbestimmte</w:t>
      </w:r>
      <w:r w:rsidRPr="00617FB9">
        <w:rPr>
          <w:rFonts w:ascii="Arial" w:hAnsi="Arial" w:cs="Arial"/>
          <w:b/>
          <w:sz w:val="32"/>
          <w:szCs w:val="32"/>
        </w:rPr>
        <w:t xml:space="preserve"> Rechtsbegriff</w:t>
      </w:r>
      <w:r>
        <w:rPr>
          <w:rFonts w:ascii="Arial" w:hAnsi="Arial" w:cs="Arial"/>
          <w:b/>
          <w:sz w:val="32"/>
          <w:szCs w:val="32"/>
        </w:rPr>
        <w:t>e und</w:t>
      </w:r>
      <w:r w:rsidRPr="00617FB9">
        <w:rPr>
          <w:rFonts w:ascii="Arial" w:hAnsi="Arial" w:cs="Arial"/>
          <w:b/>
          <w:sz w:val="32"/>
          <w:szCs w:val="32"/>
        </w:rPr>
        <w:t xml:space="preserve"> Beurteilungsspielraum</w:t>
      </w:r>
    </w:p>
    <w:p w:rsidR="00C02BFE" w:rsidRDefault="00C02BFE" w:rsidP="00840E48">
      <w:pPr>
        <w:rPr>
          <w:rFonts w:ascii="Arial" w:hAnsi="Arial" w:cs="Arial"/>
          <w:b/>
          <w:sz w:val="32"/>
          <w:szCs w:val="32"/>
        </w:rPr>
      </w:pPr>
    </w:p>
    <w:p w:rsidR="004C6D0F" w:rsidRDefault="00EB57A7" w:rsidP="00840E48">
      <w:pPr>
        <w:rPr>
          <w:rFonts w:ascii="Arial" w:hAnsi="Arial" w:cs="Arial"/>
          <w:b/>
          <w:sz w:val="32"/>
          <w:szCs w:val="32"/>
        </w:rPr>
      </w:pPr>
      <w:r w:rsidRPr="00EB57A7">
        <w:rPr>
          <w:rFonts w:ascii="Arial" w:hAnsi="Arial" w:cs="Arial"/>
          <w:b/>
          <w:sz w:val="32"/>
          <w:szCs w:val="32"/>
        </w:rPr>
        <w:t>1)</w:t>
      </w:r>
      <w:r>
        <w:rPr>
          <w:rFonts w:ascii="Arial" w:hAnsi="Arial" w:cs="Arial"/>
          <w:b/>
          <w:sz w:val="24"/>
          <w:szCs w:val="24"/>
        </w:rPr>
        <w:t xml:space="preserve"> </w:t>
      </w:r>
      <w:r>
        <w:rPr>
          <w:rFonts w:ascii="Arial" w:hAnsi="Arial" w:cs="Arial"/>
          <w:b/>
          <w:sz w:val="32"/>
          <w:szCs w:val="32"/>
        </w:rPr>
        <w:t>Unbestimmte</w:t>
      </w:r>
      <w:r w:rsidRPr="00617FB9">
        <w:rPr>
          <w:rFonts w:ascii="Arial" w:hAnsi="Arial" w:cs="Arial"/>
          <w:b/>
          <w:sz w:val="32"/>
          <w:szCs w:val="32"/>
        </w:rPr>
        <w:t xml:space="preserve"> Rechtsbegriff</w:t>
      </w:r>
      <w:r>
        <w:rPr>
          <w:rFonts w:ascii="Arial" w:hAnsi="Arial" w:cs="Arial"/>
          <w:b/>
          <w:sz w:val="32"/>
          <w:szCs w:val="32"/>
        </w:rPr>
        <w:t>e</w:t>
      </w:r>
    </w:p>
    <w:p w:rsidR="00EB57A7" w:rsidRPr="004C6D0F" w:rsidRDefault="00EB57A7" w:rsidP="00840E48">
      <w:pPr>
        <w:rPr>
          <w:rFonts w:ascii="Arial" w:hAnsi="Arial" w:cs="Arial"/>
          <w:b/>
          <w:sz w:val="32"/>
          <w:szCs w:val="32"/>
        </w:rPr>
      </w:pPr>
    </w:p>
    <w:p w:rsidR="00AB451F" w:rsidRDefault="004C6D0F" w:rsidP="00840E48">
      <w:pPr>
        <w:rPr>
          <w:rFonts w:ascii="Arial" w:hAnsi="Arial" w:cs="Arial"/>
          <w:sz w:val="20"/>
          <w:szCs w:val="20"/>
        </w:rPr>
      </w:pPr>
      <w:r w:rsidRPr="004C6D0F">
        <w:rPr>
          <w:rFonts w:ascii="Arial" w:hAnsi="Arial" w:cs="Arial"/>
          <w:sz w:val="20"/>
          <w:szCs w:val="20"/>
        </w:rPr>
        <w:t xml:space="preserve">Da es manchmal ein Wortlaut einer Norm ein bestimmtes Maß an Abstraktheit aufweist soll die Verwaltung auch auf unvorhersehbare Situationen reagieren können. </w:t>
      </w:r>
      <w:r w:rsidR="00FC12E6" w:rsidRPr="004C6D0F">
        <w:rPr>
          <w:rFonts w:ascii="Arial" w:hAnsi="Arial" w:cs="Arial"/>
          <w:sz w:val="20"/>
          <w:szCs w:val="20"/>
        </w:rPr>
        <w:t>Aus diesem Grund enthalten Normen oft weitgefasste Formulierungen, sog. unbestimmte Rechtsbegriffe</w:t>
      </w:r>
    </w:p>
    <w:p w:rsidR="00EB57A7" w:rsidRPr="004C6D0F" w:rsidRDefault="00EB57A7" w:rsidP="00840E48">
      <w:pPr>
        <w:rPr>
          <w:rFonts w:ascii="Arial" w:hAnsi="Arial" w:cs="Arial"/>
          <w:sz w:val="20"/>
          <w:szCs w:val="20"/>
        </w:rPr>
      </w:pPr>
    </w:p>
    <w:p w:rsidR="005B5EF8" w:rsidRDefault="00FC12E6" w:rsidP="005B5EF8">
      <w:pPr>
        <w:rPr>
          <w:rFonts w:ascii="Arial" w:hAnsi="Arial" w:cs="Arial"/>
          <w:sz w:val="24"/>
          <w:szCs w:val="24"/>
        </w:rPr>
      </w:pPr>
      <w:r>
        <w:rPr>
          <w:rStyle w:val="Funotenzeichen"/>
          <w:rFonts w:ascii="Arial" w:hAnsi="Arial" w:cs="Arial"/>
          <w:b/>
          <w:sz w:val="24"/>
          <w:szCs w:val="24"/>
        </w:rPr>
        <w:footnoteReference w:id="1"/>
      </w:r>
      <w:r w:rsidR="005B5EF8" w:rsidRPr="00E252EE">
        <w:rPr>
          <w:rFonts w:ascii="Arial" w:hAnsi="Arial" w:cs="Arial"/>
          <w:b/>
          <w:sz w:val="24"/>
          <w:szCs w:val="24"/>
        </w:rPr>
        <w:t>Unbestimmte Rechtsbegriffe</w:t>
      </w:r>
      <w:r w:rsidR="005B5EF8">
        <w:rPr>
          <w:rFonts w:ascii="Arial" w:hAnsi="Arial" w:cs="Arial"/>
          <w:b/>
          <w:sz w:val="24"/>
          <w:szCs w:val="24"/>
        </w:rPr>
        <w:t xml:space="preserve"> </w:t>
      </w:r>
      <w:r w:rsidR="005B5EF8">
        <w:rPr>
          <w:rFonts w:ascii="Arial" w:hAnsi="Arial" w:cs="Arial"/>
          <w:sz w:val="24"/>
          <w:szCs w:val="24"/>
        </w:rPr>
        <w:t xml:space="preserve">sind Gesetzesbegriffe, die auf der Tatbestandsseite einer Norm stehen und bei der Rechtsanwendung des einschlägigen Tatbestands im Einzelfall einer Auslegung bedürfen. </w:t>
      </w:r>
    </w:p>
    <w:p w:rsidR="00FC12E6" w:rsidRPr="00AB451F" w:rsidRDefault="00FC12E6" w:rsidP="00FC12E6">
      <w:pPr>
        <w:autoSpaceDE w:val="0"/>
        <w:autoSpaceDN w:val="0"/>
        <w:adjustRightInd w:val="0"/>
        <w:spacing w:after="0" w:line="240" w:lineRule="auto"/>
        <w:rPr>
          <w:rFonts w:ascii="Arial" w:hAnsi="Arial" w:cs="Arial"/>
          <w:i/>
          <w:sz w:val="24"/>
          <w:szCs w:val="24"/>
        </w:rPr>
      </w:pPr>
      <w:r w:rsidRPr="00AB451F">
        <w:rPr>
          <w:rFonts w:ascii="Arial" w:hAnsi="Arial" w:cs="Arial"/>
          <w:i/>
          <w:sz w:val="24"/>
          <w:szCs w:val="24"/>
        </w:rPr>
        <w:t>Mit anderen Worten sind unbestimmte Rechtsbegriffe die Ausdrücke in Rechtsvorschriften, die in besonderem Maße konkretisierungsbedürftig sind</w:t>
      </w:r>
    </w:p>
    <w:p w:rsidR="004C6D0F" w:rsidRDefault="004C6D0F" w:rsidP="00FC12E6">
      <w:pPr>
        <w:autoSpaceDE w:val="0"/>
        <w:autoSpaceDN w:val="0"/>
        <w:adjustRightInd w:val="0"/>
        <w:spacing w:after="0" w:line="240" w:lineRule="auto"/>
        <w:rPr>
          <w:rFonts w:ascii="Arial" w:hAnsi="Arial" w:cs="Arial"/>
          <w:sz w:val="24"/>
          <w:szCs w:val="24"/>
        </w:rPr>
      </w:pPr>
    </w:p>
    <w:p w:rsidR="00AB451F" w:rsidRPr="00E252EE" w:rsidRDefault="00AB451F" w:rsidP="00AB451F">
      <w:pPr>
        <w:rPr>
          <w:rFonts w:ascii="Arial" w:hAnsi="Arial" w:cs="Arial"/>
          <w:sz w:val="24"/>
          <w:szCs w:val="24"/>
        </w:rPr>
      </w:pPr>
      <w:r w:rsidRPr="002E1084">
        <w:rPr>
          <w:rFonts w:ascii="Arial" w:hAnsi="Arial" w:cs="Arial"/>
          <w:sz w:val="28"/>
          <w:szCs w:val="28"/>
        </w:rPr>
        <w:t>Beispiele:</w:t>
      </w:r>
      <w:r>
        <w:rPr>
          <w:rFonts w:ascii="Arial" w:hAnsi="Arial" w:cs="Arial"/>
          <w:sz w:val="24"/>
          <w:szCs w:val="24"/>
        </w:rPr>
        <w:t xml:space="preserve"> </w:t>
      </w:r>
      <w:r>
        <w:rPr>
          <w:rFonts w:ascii="Arial" w:hAnsi="Arial" w:cs="Arial"/>
          <w:sz w:val="24"/>
          <w:szCs w:val="24"/>
        </w:rPr>
        <w:tab/>
        <w:t xml:space="preserve">- Unzuverlässigkeit (§ 35 Abs. 1 GewO)  </w:t>
      </w:r>
    </w:p>
    <w:p w:rsidR="00AB451F" w:rsidRDefault="00AB451F" w:rsidP="00AB451F">
      <w:pPr>
        <w:rPr>
          <w:rFonts w:ascii="Arial" w:hAnsi="Arial" w:cs="Arial"/>
          <w:sz w:val="24"/>
          <w:szCs w:val="24"/>
        </w:rPr>
      </w:pPr>
      <w:r>
        <w:rPr>
          <w:rFonts w:ascii="Arial" w:hAnsi="Arial" w:cs="Arial"/>
          <w:sz w:val="24"/>
          <w:szCs w:val="24"/>
        </w:rPr>
        <w:tab/>
      </w:r>
      <w:r>
        <w:rPr>
          <w:rFonts w:ascii="Arial" w:hAnsi="Arial" w:cs="Arial"/>
          <w:sz w:val="24"/>
          <w:szCs w:val="24"/>
        </w:rPr>
        <w:tab/>
        <w:t>- öffentliches Interesse (§ 80 Abs. 2 S. 1 Nr. 4 VwGO)</w:t>
      </w:r>
    </w:p>
    <w:p w:rsidR="00AB451F" w:rsidRDefault="00AB451F" w:rsidP="00AB451F">
      <w:pPr>
        <w:rPr>
          <w:rFonts w:ascii="Arial" w:hAnsi="Arial" w:cs="Arial"/>
          <w:sz w:val="24"/>
          <w:szCs w:val="24"/>
        </w:rPr>
      </w:pPr>
      <w:r>
        <w:rPr>
          <w:rFonts w:ascii="Arial" w:hAnsi="Arial" w:cs="Arial"/>
          <w:sz w:val="24"/>
          <w:szCs w:val="24"/>
        </w:rPr>
        <w:tab/>
      </w:r>
      <w:r>
        <w:rPr>
          <w:rFonts w:ascii="Arial" w:hAnsi="Arial" w:cs="Arial"/>
          <w:sz w:val="24"/>
          <w:szCs w:val="24"/>
        </w:rPr>
        <w:tab/>
        <w:t>- Gemeinwohl (Art. 14 Abs. 4 S. 1 GG)</w:t>
      </w:r>
    </w:p>
    <w:p w:rsidR="00AB451F" w:rsidRDefault="00AB451F" w:rsidP="00AB451F">
      <w:pPr>
        <w:rPr>
          <w:rFonts w:ascii="Arial" w:hAnsi="Arial" w:cs="Arial"/>
          <w:sz w:val="24"/>
          <w:szCs w:val="24"/>
        </w:rPr>
      </w:pPr>
      <w:r>
        <w:rPr>
          <w:rFonts w:ascii="Arial" w:hAnsi="Arial" w:cs="Arial"/>
          <w:sz w:val="24"/>
          <w:szCs w:val="24"/>
        </w:rPr>
        <w:t>- Notwendige Maßnahme, - öffentliche Sicherheit und Ordnung, - besonderes pädagogisches Interesse, - jugendgefährdende Schrift</w:t>
      </w:r>
    </w:p>
    <w:p w:rsidR="00EB57A7" w:rsidRDefault="00EB57A7" w:rsidP="00AB451F">
      <w:pPr>
        <w:rPr>
          <w:rFonts w:ascii="Arial" w:hAnsi="Arial" w:cs="Arial"/>
          <w:sz w:val="24"/>
          <w:szCs w:val="24"/>
        </w:rPr>
      </w:pPr>
    </w:p>
    <w:p w:rsidR="00AB451F" w:rsidRDefault="00AB451F" w:rsidP="00AB451F">
      <w:pPr>
        <w:rPr>
          <w:rFonts w:ascii="Arial" w:hAnsi="Arial" w:cs="Arial"/>
          <w:sz w:val="24"/>
          <w:szCs w:val="24"/>
        </w:rPr>
      </w:pPr>
      <w:r>
        <w:rPr>
          <w:rFonts w:ascii="Arial" w:hAnsi="Arial" w:cs="Arial"/>
          <w:sz w:val="24"/>
          <w:szCs w:val="24"/>
        </w:rPr>
        <w:t>-Auslegung, Anwendung und Prüfung obliegen der gesetzesanwendenden Behörden</w:t>
      </w:r>
    </w:p>
    <w:p w:rsidR="000F2B3D" w:rsidRDefault="000F2B3D" w:rsidP="00AB451F">
      <w:pPr>
        <w:rPr>
          <w:rFonts w:ascii="Arial" w:hAnsi="Arial" w:cs="Arial"/>
          <w:sz w:val="24"/>
          <w:szCs w:val="24"/>
        </w:rPr>
      </w:pPr>
      <w:r>
        <w:rPr>
          <w:rFonts w:ascii="Arial" w:hAnsi="Arial" w:cs="Arial"/>
          <w:sz w:val="24"/>
          <w:szCs w:val="24"/>
        </w:rPr>
        <w:t>-entscheidende Frage, ob den Behörden ein Entscheidungsspielraum zusteht?</w:t>
      </w:r>
    </w:p>
    <w:p w:rsidR="000F2B3D" w:rsidRDefault="00EB57A7" w:rsidP="00AB451F">
      <w:pPr>
        <w:rPr>
          <w:rFonts w:ascii="Arial" w:hAnsi="Arial" w:cs="Arial"/>
          <w:sz w:val="24"/>
          <w:szCs w:val="24"/>
        </w:rPr>
      </w:pPr>
      <w:r>
        <w:rPr>
          <w:rFonts w:ascii="Arial" w:hAnsi="Arial" w:cs="Arial"/>
          <w:sz w:val="24"/>
          <w:szCs w:val="24"/>
        </w:rPr>
        <w:t xml:space="preserve">- unbestimmter Rechtsbegriff mit Beurteilungsspielraum </w:t>
      </w:r>
      <w:r w:rsidRPr="00EB57A7">
        <w:rPr>
          <w:rFonts w:ascii="Arial" w:hAnsi="Arial" w:cs="Arial"/>
          <w:i/>
          <w:sz w:val="24"/>
          <w:szCs w:val="24"/>
        </w:rPr>
        <w:t>(= beh</w:t>
      </w:r>
      <w:r w:rsidR="00C131CC">
        <w:rPr>
          <w:rFonts w:ascii="Arial" w:hAnsi="Arial" w:cs="Arial"/>
          <w:i/>
          <w:sz w:val="24"/>
          <w:szCs w:val="24"/>
        </w:rPr>
        <w:t>ördlicher Entscheidungsspielraum</w:t>
      </w:r>
      <w:r>
        <w:rPr>
          <w:rFonts w:ascii="Arial" w:hAnsi="Arial" w:cs="Arial"/>
          <w:sz w:val="24"/>
          <w:szCs w:val="24"/>
        </w:rPr>
        <w:t>)</w:t>
      </w:r>
      <w:r w:rsidR="000F2B3D">
        <w:rPr>
          <w:rFonts w:ascii="Arial" w:hAnsi="Arial" w:cs="Arial"/>
          <w:sz w:val="24"/>
          <w:szCs w:val="24"/>
        </w:rPr>
        <w:t xml:space="preserve">  </w:t>
      </w:r>
    </w:p>
    <w:p w:rsidR="00EB57A7" w:rsidRDefault="00EB57A7" w:rsidP="00EB57A7">
      <w:pPr>
        <w:rPr>
          <w:rFonts w:ascii="Arial" w:hAnsi="Arial" w:cs="Arial"/>
          <w:sz w:val="24"/>
          <w:szCs w:val="24"/>
        </w:rPr>
      </w:pPr>
      <w:r>
        <w:rPr>
          <w:rFonts w:ascii="Arial" w:hAnsi="Arial" w:cs="Arial"/>
          <w:sz w:val="24"/>
          <w:szCs w:val="24"/>
        </w:rPr>
        <w:t xml:space="preserve">- unbestimmter Rechtsbegriff ohne Beurteilungsspielraum </w:t>
      </w:r>
      <w:r w:rsidRPr="00EB57A7">
        <w:rPr>
          <w:rFonts w:ascii="Arial" w:hAnsi="Arial" w:cs="Arial"/>
          <w:i/>
          <w:sz w:val="24"/>
          <w:szCs w:val="24"/>
        </w:rPr>
        <w:t>(=</w:t>
      </w:r>
      <w:r>
        <w:rPr>
          <w:rFonts w:ascii="Arial" w:hAnsi="Arial" w:cs="Arial"/>
          <w:i/>
          <w:sz w:val="24"/>
          <w:szCs w:val="24"/>
        </w:rPr>
        <w:t xml:space="preserve"> kein</w:t>
      </w:r>
      <w:r w:rsidRPr="00EB57A7">
        <w:rPr>
          <w:rFonts w:ascii="Arial" w:hAnsi="Arial" w:cs="Arial"/>
          <w:i/>
          <w:sz w:val="24"/>
          <w:szCs w:val="24"/>
        </w:rPr>
        <w:t xml:space="preserve"> beh</w:t>
      </w:r>
      <w:r w:rsidR="00C131CC">
        <w:rPr>
          <w:rFonts w:ascii="Arial" w:hAnsi="Arial" w:cs="Arial"/>
          <w:i/>
          <w:sz w:val="24"/>
          <w:szCs w:val="24"/>
        </w:rPr>
        <w:t>ördlicher Entscheidungsspielraum</w:t>
      </w:r>
      <w:r>
        <w:rPr>
          <w:rFonts w:ascii="Arial" w:hAnsi="Arial" w:cs="Arial"/>
          <w:sz w:val="24"/>
          <w:szCs w:val="24"/>
        </w:rPr>
        <w:t xml:space="preserve">)  </w:t>
      </w:r>
    </w:p>
    <w:p w:rsidR="00EB57A7" w:rsidRDefault="00EB57A7" w:rsidP="00EB57A7">
      <w:pPr>
        <w:rPr>
          <w:rFonts w:ascii="Arial" w:hAnsi="Arial" w:cs="Arial"/>
          <w:sz w:val="24"/>
          <w:szCs w:val="24"/>
        </w:rPr>
      </w:pPr>
      <w:r>
        <w:rPr>
          <w:rFonts w:ascii="Arial" w:hAnsi="Arial" w:cs="Arial"/>
          <w:sz w:val="24"/>
          <w:szCs w:val="24"/>
        </w:rPr>
        <w:t xml:space="preserve">- erst wenn die Voraussetzung erfüllt ist, darf/muss die Behörde handeln </w:t>
      </w:r>
    </w:p>
    <w:p w:rsidR="00EB57A7" w:rsidRDefault="00EB57A7" w:rsidP="00EB57A7">
      <w:pPr>
        <w:rPr>
          <w:rFonts w:ascii="Arial" w:hAnsi="Arial" w:cs="Arial"/>
          <w:sz w:val="24"/>
          <w:szCs w:val="24"/>
        </w:rPr>
      </w:pPr>
    </w:p>
    <w:p w:rsidR="00EB57A7" w:rsidRPr="00EB57A7" w:rsidRDefault="00EB57A7" w:rsidP="00EB57A7">
      <w:pPr>
        <w:rPr>
          <w:rFonts w:ascii="Arial" w:hAnsi="Arial" w:cs="Arial"/>
          <w:b/>
          <w:sz w:val="32"/>
          <w:szCs w:val="32"/>
        </w:rPr>
      </w:pPr>
    </w:p>
    <w:p w:rsidR="00EB57A7" w:rsidRPr="00EB57A7" w:rsidRDefault="00EB57A7" w:rsidP="00EB57A7">
      <w:pPr>
        <w:rPr>
          <w:rFonts w:ascii="Arial" w:hAnsi="Arial" w:cs="Arial"/>
          <w:sz w:val="24"/>
          <w:szCs w:val="24"/>
        </w:rPr>
      </w:pPr>
    </w:p>
    <w:p w:rsidR="00EB57A7" w:rsidRDefault="00EB57A7" w:rsidP="00EB57A7">
      <w:pPr>
        <w:rPr>
          <w:rFonts w:ascii="Arial" w:hAnsi="Arial" w:cs="Arial"/>
          <w:b/>
          <w:sz w:val="32"/>
          <w:szCs w:val="32"/>
        </w:rPr>
      </w:pPr>
      <w:r w:rsidRPr="00EB57A7">
        <w:rPr>
          <w:rFonts w:ascii="Arial" w:hAnsi="Arial" w:cs="Arial"/>
          <w:b/>
          <w:sz w:val="32"/>
          <w:szCs w:val="32"/>
        </w:rPr>
        <w:lastRenderedPageBreak/>
        <w:t>2) Gesetzliche Einordnung</w:t>
      </w:r>
    </w:p>
    <w:p w:rsidR="00C02BFE" w:rsidRDefault="00C02BFE" w:rsidP="00EB57A7">
      <w:pPr>
        <w:rPr>
          <w:rFonts w:ascii="Arial" w:hAnsi="Arial" w:cs="Arial"/>
          <w:b/>
          <w:sz w:val="32"/>
          <w:szCs w:val="32"/>
        </w:rPr>
      </w:pPr>
    </w:p>
    <w:p w:rsidR="00EB57A7" w:rsidRDefault="008A521F" w:rsidP="00EB57A7">
      <w:pPr>
        <w:rPr>
          <w:rFonts w:ascii="Arial" w:hAnsi="Arial" w:cs="Arial"/>
          <w:sz w:val="24"/>
          <w:szCs w:val="24"/>
        </w:rPr>
      </w:pPr>
      <w:r>
        <w:rPr>
          <w:rFonts w:ascii="Arial" w:hAnsi="Arial" w:cs="Arial"/>
          <w:sz w:val="24"/>
          <w:szCs w:val="24"/>
        </w:rPr>
        <w:t xml:space="preserve">- Unbestimmter Rechtsbegriff und Beurteilungsspielraum sind eine Frage des gesetzlichen </w:t>
      </w:r>
      <w:r w:rsidRPr="008A521F">
        <w:rPr>
          <w:rFonts w:ascii="Arial" w:hAnsi="Arial" w:cs="Arial"/>
          <w:b/>
          <w:sz w:val="24"/>
          <w:szCs w:val="24"/>
        </w:rPr>
        <w:t>Tatbestandes</w:t>
      </w:r>
    </w:p>
    <w:p w:rsidR="008A521F" w:rsidRDefault="008A521F" w:rsidP="00EB57A7">
      <w:pPr>
        <w:rPr>
          <w:rFonts w:ascii="Arial" w:hAnsi="Arial" w:cs="Arial"/>
          <w:sz w:val="24"/>
          <w:szCs w:val="24"/>
        </w:rPr>
      </w:pPr>
      <w:r>
        <w:rPr>
          <w:rFonts w:ascii="Arial" w:hAnsi="Arial" w:cs="Arial"/>
          <w:sz w:val="24"/>
          <w:szCs w:val="24"/>
        </w:rPr>
        <w:t xml:space="preserve">- Während das Ermessen auf der </w:t>
      </w:r>
      <w:r w:rsidRPr="008A521F">
        <w:rPr>
          <w:rFonts w:ascii="Arial" w:hAnsi="Arial" w:cs="Arial"/>
          <w:b/>
          <w:sz w:val="24"/>
          <w:szCs w:val="24"/>
        </w:rPr>
        <w:t>Rechtsfolgenseite</w:t>
      </w:r>
      <w:r>
        <w:rPr>
          <w:rFonts w:ascii="Arial" w:hAnsi="Arial" w:cs="Arial"/>
          <w:sz w:val="24"/>
          <w:szCs w:val="24"/>
        </w:rPr>
        <w:t xml:space="preserve"> erscheint  </w:t>
      </w:r>
    </w:p>
    <w:p w:rsidR="00990D48" w:rsidRDefault="00990D48" w:rsidP="00EB57A7">
      <w:pPr>
        <w:rPr>
          <w:rFonts w:ascii="Arial" w:hAnsi="Arial" w:cs="Arial"/>
          <w:sz w:val="24"/>
          <w:szCs w:val="24"/>
        </w:rPr>
      </w:pPr>
      <w:r>
        <w:rPr>
          <w:rFonts w:ascii="Arial" w:hAnsi="Arial" w:cs="Arial"/>
          <w:sz w:val="24"/>
          <w:szCs w:val="24"/>
        </w:rPr>
        <w:t xml:space="preserve">- man muss zwischen unbestimmtem Rechtsbegriff und Beurteilungsspielraum einerseits und Ermessen andererseits unterscheiden </w:t>
      </w:r>
    </w:p>
    <w:p w:rsidR="00EB57A7" w:rsidRDefault="0086669B" w:rsidP="00AB451F">
      <w:pPr>
        <w:rPr>
          <w:rFonts w:ascii="Arial" w:hAnsi="Arial" w:cs="Arial"/>
          <w:sz w:val="24"/>
          <w:szCs w:val="24"/>
        </w:rPr>
      </w:pPr>
      <w:r>
        <w:rPr>
          <w:rStyle w:val="Funotenzeichen"/>
          <w:rFonts w:ascii="Arial" w:hAnsi="Arial" w:cs="Arial"/>
          <w:sz w:val="24"/>
          <w:szCs w:val="24"/>
        </w:rPr>
        <w:footnoteReference w:id="2"/>
      </w:r>
      <w:proofErr w:type="spellStart"/>
      <w:r w:rsidR="00990D48">
        <w:rPr>
          <w:rFonts w:ascii="Arial" w:hAnsi="Arial" w:cs="Arial"/>
          <w:sz w:val="24"/>
          <w:szCs w:val="24"/>
        </w:rPr>
        <w:t>Bsp</w:t>
      </w:r>
      <w:proofErr w:type="spellEnd"/>
      <w:r w:rsidR="00990D48">
        <w:rPr>
          <w:rFonts w:ascii="Arial" w:hAnsi="Arial" w:cs="Arial"/>
          <w:sz w:val="24"/>
          <w:szCs w:val="24"/>
        </w:rPr>
        <w:t>:</w:t>
      </w:r>
    </w:p>
    <w:p w:rsidR="00B65915" w:rsidRPr="00790EFA" w:rsidRDefault="00B65915" w:rsidP="00790EFA">
      <w:pPr>
        <w:rPr>
          <w:rFonts w:ascii="Arial" w:hAnsi="Arial" w:cs="Arial"/>
          <w:sz w:val="48"/>
          <w:szCs w:val="48"/>
        </w:rPr>
      </w:pPr>
      <w:r w:rsidRPr="00790EFA">
        <w:rPr>
          <w:rFonts w:ascii="Arial" w:hAnsi="Arial" w:cs="Arial"/>
        </w:rPr>
        <w:t>§ 35 GewO (Gewerbeuntersagung wegen Unzuverlässigkeit)</w:t>
      </w:r>
    </w:p>
    <w:p w:rsidR="00990D48" w:rsidRDefault="00990D48" w:rsidP="00AB451F">
      <w:pPr>
        <w:rPr>
          <w:rFonts w:ascii="Arial" w:hAnsi="Arial" w:cs="Arial"/>
          <w:sz w:val="24"/>
          <w:szCs w:val="24"/>
        </w:rPr>
      </w:pPr>
      <w:r w:rsidRPr="00990D48">
        <w:rPr>
          <w:rFonts w:ascii="Arial" w:hAnsi="Arial" w:cs="Arial"/>
          <w:sz w:val="28"/>
          <w:szCs w:val="28"/>
        </w:rPr>
        <w:t>Tatbestand:</w:t>
      </w:r>
      <w:r>
        <w:rPr>
          <w:rFonts w:ascii="Arial" w:hAnsi="Arial" w:cs="Arial"/>
          <w:sz w:val="24"/>
          <w:szCs w:val="24"/>
        </w:rPr>
        <w:t xml:space="preserve">  Ist der Gewerbetreibende in Bezug auf sein Gewerbe </w:t>
      </w:r>
      <w:r w:rsidRPr="00990D48">
        <w:rPr>
          <w:rFonts w:ascii="Arial" w:hAnsi="Arial" w:cs="Arial"/>
          <w:b/>
          <w:sz w:val="24"/>
          <w:szCs w:val="24"/>
        </w:rPr>
        <w:t>unzuverlässig</w:t>
      </w:r>
      <w:r>
        <w:rPr>
          <w:rFonts w:ascii="Arial" w:hAnsi="Arial" w:cs="Arial"/>
          <w:sz w:val="24"/>
          <w:szCs w:val="24"/>
        </w:rPr>
        <w:t xml:space="preserve"> (</w:t>
      </w:r>
      <w:r w:rsidR="00790EFA">
        <w:rPr>
          <w:rFonts w:ascii="Arial" w:hAnsi="Arial" w:cs="Arial"/>
          <w:sz w:val="24"/>
          <w:szCs w:val="24"/>
        </w:rPr>
        <w:t xml:space="preserve">= </w:t>
      </w:r>
      <w:r>
        <w:rPr>
          <w:rFonts w:ascii="Arial" w:hAnsi="Arial" w:cs="Arial"/>
          <w:sz w:val="24"/>
          <w:szCs w:val="24"/>
        </w:rPr>
        <w:t xml:space="preserve">unbestimmter Rechtsbegriff ohne Beurteilungsspielraum) </w:t>
      </w:r>
    </w:p>
    <w:p w:rsidR="00990D48" w:rsidRDefault="00990D48" w:rsidP="00AB451F">
      <w:pPr>
        <w:rPr>
          <w:rFonts w:ascii="Arial" w:hAnsi="Arial" w:cs="Arial"/>
          <w:sz w:val="24"/>
          <w:szCs w:val="24"/>
        </w:rPr>
      </w:pPr>
      <w:r w:rsidRPr="00990D48">
        <w:rPr>
          <w:rFonts w:ascii="Arial" w:hAnsi="Arial" w:cs="Arial"/>
          <w:sz w:val="28"/>
          <w:szCs w:val="28"/>
        </w:rPr>
        <w:t>Rechtsfolge:</w:t>
      </w:r>
      <w:r>
        <w:rPr>
          <w:rFonts w:ascii="Arial" w:hAnsi="Arial" w:cs="Arial"/>
          <w:sz w:val="24"/>
          <w:szCs w:val="24"/>
        </w:rPr>
        <w:t xml:space="preserve">  ist die Ausführung des Gewerbes von der zuständigen Behörde ganz oder teilweise zu untersagen</w:t>
      </w:r>
      <w:r w:rsidR="009333B6">
        <w:rPr>
          <w:rFonts w:ascii="Arial" w:hAnsi="Arial" w:cs="Arial"/>
          <w:sz w:val="24"/>
          <w:szCs w:val="24"/>
        </w:rPr>
        <w:t xml:space="preserve"> </w:t>
      </w:r>
    </w:p>
    <w:p w:rsidR="00790EFA" w:rsidRDefault="00790EFA" w:rsidP="00AB451F">
      <w:pPr>
        <w:rPr>
          <w:rFonts w:ascii="Arial" w:hAnsi="Arial" w:cs="Arial"/>
          <w:sz w:val="24"/>
          <w:szCs w:val="24"/>
        </w:rPr>
      </w:pPr>
    </w:p>
    <w:p w:rsidR="00B65915" w:rsidRDefault="00790EFA" w:rsidP="00AB451F">
      <w:pPr>
        <w:rPr>
          <w:rFonts w:ascii="Arial" w:hAnsi="Arial" w:cs="Arial"/>
        </w:rPr>
      </w:pPr>
      <w:r w:rsidRPr="00790EFA">
        <w:rPr>
          <w:rFonts w:ascii="Arial" w:hAnsi="Arial" w:cs="Arial"/>
        </w:rPr>
        <w:t xml:space="preserve">§ 4 </w:t>
      </w:r>
      <w:proofErr w:type="spellStart"/>
      <w:r w:rsidRPr="00790EFA">
        <w:rPr>
          <w:rFonts w:ascii="Arial" w:hAnsi="Arial" w:cs="Arial"/>
        </w:rPr>
        <w:t>Abs</w:t>
      </w:r>
      <w:proofErr w:type="spellEnd"/>
      <w:r w:rsidRPr="00790EFA">
        <w:rPr>
          <w:rFonts w:ascii="Arial" w:hAnsi="Arial" w:cs="Arial"/>
        </w:rPr>
        <w:t xml:space="preserve"> 5 Promotionsordnung </w:t>
      </w:r>
    </w:p>
    <w:p w:rsidR="00790EFA" w:rsidRDefault="00790EFA" w:rsidP="00AB451F">
      <w:pPr>
        <w:rPr>
          <w:rFonts w:ascii="Arial" w:hAnsi="Arial" w:cs="Arial"/>
          <w:sz w:val="24"/>
          <w:szCs w:val="24"/>
        </w:rPr>
      </w:pPr>
      <w:r w:rsidRPr="00790EFA">
        <w:rPr>
          <w:rFonts w:ascii="Arial" w:hAnsi="Arial" w:cs="Arial"/>
          <w:sz w:val="28"/>
          <w:szCs w:val="28"/>
        </w:rPr>
        <w:t>Tatbestand:</w:t>
      </w:r>
      <w:r>
        <w:rPr>
          <w:rFonts w:ascii="Arial" w:hAnsi="Arial" w:cs="Arial"/>
          <w:sz w:val="28"/>
          <w:szCs w:val="28"/>
        </w:rPr>
        <w:t xml:space="preserve"> </w:t>
      </w:r>
      <w:r>
        <w:rPr>
          <w:rFonts w:ascii="Arial" w:hAnsi="Arial" w:cs="Arial"/>
          <w:sz w:val="24"/>
          <w:szCs w:val="24"/>
        </w:rPr>
        <w:t xml:space="preserve">Verfügt ein Bewerber über die für die Promotion </w:t>
      </w:r>
      <w:r w:rsidRPr="00790EFA">
        <w:rPr>
          <w:rFonts w:ascii="Arial" w:hAnsi="Arial" w:cs="Arial"/>
          <w:b/>
          <w:sz w:val="24"/>
          <w:szCs w:val="24"/>
        </w:rPr>
        <w:t>besondere wissenschaftliche Eignung</w:t>
      </w:r>
      <w:r>
        <w:rPr>
          <w:rFonts w:ascii="Arial" w:hAnsi="Arial" w:cs="Arial"/>
          <w:sz w:val="24"/>
          <w:szCs w:val="24"/>
        </w:rPr>
        <w:t xml:space="preserve"> (= unbestimmter Rechtsbegriff mit Beurteilungsspielraum) </w:t>
      </w:r>
    </w:p>
    <w:p w:rsidR="00790EFA" w:rsidRDefault="00790EFA" w:rsidP="00AB451F">
      <w:pPr>
        <w:rPr>
          <w:rFonts w:ascii="Arial" w:hAnsi="Arial" w:cs="Arial"/>
          <w:sz w:val="24"/>
          <w:szCs w:val="24"/>
        </w:rPr>
      </w:pPr>
      <w:r w:rsidRPr="00790EFA">
        <w:rPr>
          <w:rFonts w:ascii="Arial" w:hAnsi="Arial" w:cs="Arial"/>
          <w:sz w:val="28"/>
          <w:szCs w:val="28"/>
        </w:rPr>
        <w:t>Rechtsfolge:</w:t>
      </w:r>
      <w:r>
        <w:rPr>
          <w:rFonts w:ascii="Arial" w:hAnsi="Arial" w:cs="Arial"/>
          <w:sz w:val="24"/>
          <w:szCs w:val="24"/>
        </w:rPr>
        <w:t xml:space="preserve"> ist er auch dann als Doktorand anzunehmen, wenn er die erste juristische Staatsprüfung nicht mit mindestens vollbefriedigend bestanden hat</w:t>
      </w:r>
    </w:p>
    <w:p w:rsidR="001912D8" w:rsidRDefault="001912D8" w:rsidP="00AB451F">
      <w:pPr>
        <w:rPr>
          <w:rFonts w:ascii="Arial" w:hAnsi="Arial" w:cs="Arial"/>
          <w:sz w:val="24"/>
          <w:szCs w:val="24"/>
        </w:rPr>
      </w:pPr>
    </w:p>
    <w:p w:rsidR="001912D8" w:rsidRDefault="001912D8" w:rsidP="00AB451F">
      <w:pPr>
        <w:rPr>
          <w:rFonts w:ascii="Arial" w:hAnsi="Arial" w:cs="Arial"/>
          <w:b/>
          <w:sz w:val="32"/>
          <w:szCs w:val="32"/>
        </w:rPr>
      </w:pPr>
    </w:p>
    <w:p w:rsidR="001912D8" w:rsidRDefault="001912D8" w:rsidP="00AB451F">
      <w:pPr>
        <w:rPr>
          <w:rFonts w:ascii="Arial" w:hAnsi="Arial" w:cs="Arial"/>
          <w:b/>
          <w:sz w:val="32"/>
          <w:szCs w:val="32"/>
        </w:rPr>
      </w:pPr>
    </w:p>
    <w:p w:rsidR="001912D8" w:rsidRDefault="001912D8" w:rsidP="00AB451F">
      <w:pPr>
        <w:rPr>
          <w:rFonts w:ascii="Arial" w:hAnsi="Arial" w:cs="Arial"/>
          <w:b/>
          <w:sz w:val="32"/>
          <w:szCs w:val="32"/>
        </w:rPr>
      </w:pPr>
    </w:p>
    <w:p w:rsidR="001912D8" w:rsidRDefault="001912D8" w:rsidP="00AB451F">
      <w:pPr>
        <w:rPr>
          <w:rFonts w:ascii="Arial" w:hAnsi="Arial" w:cs="Arial"/>
          <w:b/>
          <w:sz w:val="32"/>
          <w:szCs w:val="32"/>
        </w:rPr>
      </w:pPr>
    </w:p>
    <w:p w:rsidR="001912D8" w:rsidRDefault="001912D8" w:rsidP="00AB451F">
      <w:pPr>
        <w:rPr>
          <w:rFonts w:ascii="Arial" w:hAnsi="Arial" w:cs="Arial"/>
          <w:b/>
          <w:sz w:val="32"/>
          <w:szCs w:val="32"/>
        </w:rPr>
      </w:pPr>
    </w:p>
    <w:p w:rsidR="00C02BFE" w:rsidRDefault="00C02BFE" w:rsidP="00AB451F">
      <w:pPr>
        <w:rPr>
          <w:rFonts w:ascii="Arial" w:hAnsi="Arial" w:cs="Arial"/>
          <w:b/>
          <w:sz w:val="32"/>
          <w:szCs w:val="32"/>
        </w:rPr>
      </w:pPr>
    </w:p>
    <w:p w:rsidR="001912D8" w:rsidRDefault="00911E08" w:rsidP="00AB451F">
      <w:pPr>
        <w:rPr>
          <w:rFonts w:ascii="Arial" w:hAnsi="Arial" w:cs="Arial"/>
          <w:b/>
          <w:sz w:val="32"/>
          <w:szCs w:val="32"/>
        </w:rPr>
      </w:pPr>
      <w:r>
        <w:rPr>
          <w:rStyle w:val="Funotenzeichen"/>
          <w:rFonts w:ascii="Arial" w:hAnsi="Arial" w:cs="Arial"/>
          <w:b/>
          <w:sz w:val="32"/>
          <w:szCs w:val="32"/>
        </w:rPr>
        <w:lastRenderedPageBreak/>
        <w:footnoteReference w:id="3"/>
      </w:r>
      <w:r w:rsidR="001912D8">
        <w:rPr>
          <w:rFonts w:ascii="Arial" w:hAnsi="Arial" w:cs="Arial"/>
          <w:b/>
          <w:sz w:val="32"/>
          <w:szCs w:val="32"/>
        </w:rPr>
        <w:t>3) Beurteilungsspielraum</w:t>
      </w:r>
    </w:p>
    <w:p w:rsidR="00C02BFE" w:rsidRDefault="00C02BFE" w:rsidP="004C6D0F">
      <w:pPr>
        <w:rPr>
          <w:rFonts w:ascii="Arial" w:hAnsi="Arial" w:cs="Arial"/>
          <w:b/>
          <w:sz w:val="32"/>
          <w:szCs w:val="32"/>
        </w:rPr>
      </w:pPr>
    </w:p>
    <w:p w:rsidR="001912D8" w:rsidRDefault="00FF6C12" w:rsidP="004C6D0F">
      <w:pPr>
        <w:rPr>
          <w:rFonts w:ascii="Arial" w:hAnsi="Arial" w:cs="Arial"/>
          <w:b/>
          <w:sz w:val="32"/>
          <w:szCs w:val="32"/>
        </w:rPr>
      </w:pPr>
      <w:r>
        <w:rPr>
          <w:rFonts w:ascii="Arial" w:hAnsi="Arial" w:cs="Arial"/>
          <w:b/>
          <w:sz w:val="32"/>
          <w:szCs w:val="32"/>
        </w:rPr>
        <w:t>3.1) unbestimmte Rechtsbegriffe ohne Beurteilungsspielraum</w:t>
      </w:r>
    </w:p>
    <w:p w:rsidR="00FF6C12" w:rsidRDefault="00FF6C12" w:rsidP="004C6D0F">
      <w:pPr>
        <w:rPr>
          <w:rFonts w:ascii="Arial" w:hAnsi="Arial" w:cs="Arial"/>
          <w:b/>
          <w:sz w:val="32"/>
          <w:szCs w:val="32"/>
        </w:rPr>
      </w:pPr>
    </w:p>
    <w:p w:rsidR="007561B9" w:rsidRDefault="007561B9" w:rsidP="004C6D0F">
      <w:pPr>
        <w:rPr>
          <w:rFonts w:ascii="Arial" w:hAnsi="Arial" w:cs="Arial"/>
          <w:sz w:val="24"/>
          <w:szCs w:val="24"/>
        </w:rPr>
      </w:pPr>
      <w:r>
        <w:rPr>
          <w:rFonts w:ascii="Arial" w:hAnsi="Arial" w:cs="Arial"/>
          <w:sz w:val="24"/>
          <w:szCs w:val="24"/>
        </w:rPr>
        <w:t xml:space="preserve">- </w:t>
      </w:r>
      <w:r w:rsidR="004C6D0F">
        <w:rPr>
          <w:rFonts w:ascii="Arial" w:hAnsi="Arial" w:cs="Arial"/>
          <w:sz w:val="24"/>
          <w:szCs w:val="24"/>
        </w:rPr>
        <w:t>Laut Art. 20 Abs. 3 GG (</w:t>
      </w:r>
      <w:r w:rsidR="004C6D0F" w:rsidRPr="00617FB9">
        <w:rPr>
          <w:rFonts w:ascii="Arial" w:hAnsi="Arial" w:cs="Arial"/>
          <w:b/>
          <w:sz w:val="24"/>
          <w:szCs w:val="24"/>
        </w:rPr>
        <w:t>Rechtsstaatsprinzip</w:t>
      </w:r>
      <w:r w:rsidR="004C6D0F">
        <w:rPr>
          <w:rFonts w:ascii="Arial" w:hAnsi="Arial" w:cs="Arial"/>
          <w:sz w:val="24"/>
          <w:szCs w:val="24"/>
        </w:rPr>
        <w:t xml:space="preserve">) </w:t>
      </w:r>
      <w:proofErr w:type="spellStart"/>
      <w:r w:rsidR="004C6D0F">
        <w:rPr>
          <w:rFonts w:ascii="Arial" w:hAnsi="Arial" w:cs="Arial"/>
          <w:sz w:val="24"/>
          <w:szCs w:val="24"/>
        </w:rPr>
        <w:t>i.V.m</w:t>
      </w:r>
      <w:proofErr w:type="spellEnd"/>
      <w:r w:rsidR="004C6D0F">
        <w:rPr>
          <w:rFonts w:ascii="Arial" w:hAnsi="Arial" w:cs="Arial"/>
          <w:sz w:val="24"/>
          <w:szCs w:val="24"/>
        </w:rPr>
        <w:t>.                                                Art. 19 Abs. 4 S.1 GG (</w:t>
      </w:r>
      <w:proofErr w:type="gramStart"/>
      <w:r w:rsidR="004C6D0F" w:rsidRPr="00617FB9">
        <w:rPr>
          <w:rFonts w:ascii="Arial" w:hAnsi="Arial" w:cs="Arial"/>
          <w:b/>
          <w:sz w:val="24"/>
          <w:szCs w:val="24"/>
        </w:rPr>
        <w:t>Rechtschutzgarantie</w:t>
      </w:r>
      <w:r w:rsidR="004C6D0F">
        <w:rPr>
          <w:rFonts w:ascii="Arial" w:hAnsi="Arial" w:cs="Arial"/>
          <w:sz w:val="24"/>
          <w:szCs w:val="24"/>
        </w:rPr>
        <w:t xml:space="preserve"> )</w:t>
      </w:r>
      <w:proofErr w:type="gramEnd"/>
      <w:r w:rsidR="004C6D0F">
        <w:rPr>
          <w:rFonts w:ascii="Arial" w:hAnsi="Arial" w:cs="Arial"/>
          <w:sz w:val="24"/>
          <w:szCs w:val="24"/>
        </w:rPr>
        <w:t xml:space="preserve"> haben Verwaltungsgerichte die Verwaltungstätigkeit auf ih</w:t>
      </w:r>
      <w:r>
        <w:rPr>
          <w:rFonts w:ascii="Arial" w:hAnsi="Arial" w:cs="Arial"/>
          <w:sz w:val="24"/>
          <w:szCs w:val="24"/>
        </w:rPr>
        <w:t>re Rechtmäßigkeit zu überprüfen</w:t>
      </w:r>
      <w:r w:rsidR="0058098F">
        <w:rPr>
          <w:rFonts w:ascii="Arial" w:hAnsi="Arial" w:cs="Arial"/>
          <w:sz w:val="24"/>
          <w:szCs w:val="24"/>
        </w:rPr>
        <w:t xml:space="preserve">  </w:t>
      </w:r>
    </w:p>
    <w:p w:rsidR="00D14974" w:rsidRDefault="00D14974" w:rsidP="004C6D0F">
      <w:pPr>
        <w:rPr>
          <w:rFonts w:ascii="Arial" w:hAnsi="Arial" w:cs="Arial"/>
          <w:sz w:val="24"/>
          <w:szCs w:val="24"/>
        </w:rPr>
      </w:pPr>
    </w:p>
    <w:p w:rsidR="007561B9" w:rsidRDefault="007561B9" w:rsidP="004C6D0F">
      <w:pPr>
        <w:rPr>
          <w:rFonts w:ascii="Arial" w:hAnsi="Arial" w:cs="Arial"/>
          <w:b/>
          <w:i/>
          <w:sz w:val="24"/>
          <w:szCs w:val="24"/>
        </w:rPr>
      </w:pPr>
      <w:r>
        <w:rPr>
          <w:rFonts w:ascii="Arial" w:hAnsi="Arial" w:cs="Arial"/>
          <w:sz w:val="24"/>
          <w:szCs w:val="24"/>
        </w:rPr>
        <w:t>- Die Rechtsanwendung ist in der Regel gerichtlich voll überprüfbar (die gerichtliche Überprüfbarkeit im konkreten Fall)</w:t>
      </w:r>
      <w:r w:rsidR="00F7525C">
        <w:rPr>
          <w:rFonts w:ascii="Arial" w:hAnsi="Arial" w:cs="Arial"/>
          <w:sz w:val="24"/>
          <w:szCs w:val="24"/>
        </w:rPr>
        <w:t xml:space="preserve">, d.h. den Behörden steht </w:t>
      </w:r>
      <w:r w:rsidR="00F7525C" w:rsidRPr="00F7525C">
        <w:rPr>
          <w:rFonts w:ascii="Arial" w:hAnsi="Arial" w:cs="Arial"/>
          <w:b/>
          <w:i/>
          <w:sz w:val="24"/>
          <w:szCs w:val="24"/>
        </w:rPr>
        <w:t>grundsät</w:t>
      </w:r>
      <w:r w:rsidR="0058098F">
        <w:rPr>
          <w:rFonts w:ascii="Arial" w:hAnsi="Arial" w:cs="Arial"/>
          <w:b/>
          <w:i/>
          <w:sz w:val="24"/>
          <w:szCs w:val="24"/>
        </w:rPr>
        <w:t>zlich kein Beurteilungsspielraum</w:t>
      </w:r>
      <w:r w:rsidR="00F7525C" w:rsidRPr="00F7525C">
        <w:rPr>
          <w:rFonts w:ascii="Arial" w:hAnsi="Arial" w:cs="Arial"/>
          <w:b/>
          <w:i/>
          <w:sz w:val="24"/>
          <w:szCs w:val="24"/>
        </w:rPr>
        <w:t xml:space="preserve"> zu</w:t>
      </w:r>
    </w:p>
    <w:p w:rsidR="00D14974" w:rsidRDefault="00D14974" w:rsidP="004C6D0F">
      <w:pPr>
        <w:rPr>
          <w:rFonts w:ascii="Arial" w:hAnsi="Arial" w:cs="Arial"/>
          <w:sz w:val="24"/>
          <w:szCs w:val="24"/>
        </w:rPr>
      </w:pPr>
    </w:p>
    <w:p w:rsidR="00F7525C" w:rsidRDefault="00F7525C" w:rsidP="004C6D0F">
      <w:pPr>
        <w:rPr>
          <w:rFonts w:ascii="Arial" w:hAnsi="Arial" w:cs="Arial"/>
          <w:sz w:val="24"/>
          <w:szCs w:val="24"/>
        </w:rPr>
      </w:pPr>
      <w:r>
        <w:rPr>
          <w:rFonts w:ascii="Arial" w:hAnsi="Arial" w:cs="Arial"/>
          <w:sz w:val="24"/>
          <w:szCs w:val="24"/>
        </w:rPr>
        <w:t xml:space="preserve">- die Gerichte prüfen </w:t>
      </w:r>
      <w:r w:rsidR="008F0E24">
        <w:rPr>
          <w:rFonts w:ascii="Arial" w:hAnsi="Arial" w:cs="Arial"/>
          <w:sz w:val="24"/>
          <w:szCs w:val="24"/>
        </w:rPr>
        <w:t>uneingeschränkt nach und treffen die Entscheidung,</w:t>
      </w:r>
      <w:r>
        <w:rPr>
          <w:rFonts w:ascii="Arial" w:hAnsi="Arial" w:cs="Arial"/>
          <w:sz w:val="24"/>
          <w:szCs w:val="24"/>
        </w:rPr>
        <w:t xml:space="preserve"> ob die Auslegung des unbestimmten Rechtsbegriffs durch die zuständige Behörde</w:t>
      </w:r>
      <w:r w:rsidR="008F0E24">
        <w:rPr>
          <w:rFonts w:ascii="Arial" w:hAnsi="Arial" w:cs="Arial"/>
          <w:sz w:val="24"/>
          <w:szCs w:val="24"/>
        </w:rPr>
        <w:t xml:space="preserve"> fehlerfrei ist, z. Bsp.: ob der Gewerbetreibende tatsächlich unzuverlässig ist                                   </w:t>
      </w:r>
      <w:r>
        <w:rPr>
          <w:rFonts w:ascii="Arial" w:hAnsi="Arial" w:cs="Arial"/>
          <w:sz w:val="24"/>
          <w:szCs w:val="24"/>
        </w:rPr>
        <w:t xml:space="preserve"> </w:t>
      </w:r>
      <w:r w:rsidRPr="00F7525C">
        <w:rPr>
          <w:rFonts w:ascii="Arial" w:hAnsi="Arial" w:cs="Arial"/>
          <w:b/>
          <w:sz w:val="24"/>
          <w:szCs w:val="24"/>
        </w:rPr>
        <w:t>= kein Entscheidungsspielraum für Behörde</w:t>
      </w:r>
      <w:r>
        <w:rPr>
          <w:rFonts w:ascii="Arial" w:hAnsi="Arial" w:cs="Arial"/>
          <w:sz w:val="24"/>
          <w:szCs w:val="24"/>
        </w:rPr>
        <w:t xml:space="preserve"> </w:t>
      </w:r>
    </w:p>
    <w:p w:rsidR="005C01DC" w:rsidRDefault="005C01DC" w:rsidP="004C6D0F">
      <w:pPr>
        <w:rPr>
          <w:rFonts w:ascii="Arial" w:hAnsi="Arial" w:cs="Arial"/>
          <w:sz w:val="24"/>
          <w:szCs w:val="24"/>
        </w:rPr>
      </w:pPr>
    </w:p>
    <w:p w:rsidR="005C01DC" w:rsidRPr="005C01DC" w:rsidRDefault="005C01DC" w:rsidP="004C6D0F">
      <w:pPr>
        <w:rPr>
          <w:rFonts w:ascii="Arial" w:hAnsi="Arial" w:cs="Arial"/>
          <w:b/>
          <w:sz w:val="32"/>
          <w:szCs w:val="32"/>
        </w:rPr>
      </w:pPr>
      <w:r w:rsidRPr="005C01DC">
        <w:rPr>
          <w:rFonts w:ascii="Arial" w:hAnsi="Arial" w:cs="Arial"/>
          <w:b/>
          <w:sz w:val="32"/>
          <w:szCs w:val="32"/>
        </w:rPr>
        <w:t>3.2) unbestimmte Rechtsbegriffe mit Beurteilungsspielraum</w:t>
      </w:r>
    </w:p>
    <w:p w:rsidR="005C01DC" w:rsidRDefault="005C01DC" w:rsidP="004C6D0F">
      <w:pPr>
        <w:rPr>
          <w:rFonts w:ascii="Arial" w:hAnsi="Arial" w:cs="Arial"/>
          <w:sz w:val="24"/>
          <w:szCs w:val="24"/>
        </w:rPr>
      </w:pPr>
    </w:p>
    <w:p w:rsidR="00FF6C12" w:rsidRDefault="00FF6C12" w:rsidP="004C6D0F">
      <w:pPr>
        <w:rPr>
          <w:rFonts w:ascii="Arial" w:hAnsi="Arial" w:cs="Arial"/>
          <w:sz w:val="24"/>
          <w:szCs w:val="24"/>
        </w:rPr>
      </w:pPr>
      <w:r>
        <w:rPr>
          <w:rFonts w:ascii="Arial" w:hAnsi="Arial" w:cs="Arial"/>
          <w:sz w:val="24"/>
          <w:szCs w:val="24"/>
        </w:rPr>
        <w:t xml:space="preserve">Der Fall kann jedoch anders aussehen, wenn der Behörde ein </w:t>
      </w:r>
      <w:r w:rsidRPr="00021BF9">
        <w:rPr>
          <w:rFonts w:ascii="Arial" w:hAnsi="Arial" w:cs="Arial"/>
          <w:b/>
          <w:sz w:val="24"/>
          <w:szCs w:val="24"/>
        </w:rPr>
        <w:t>Beurteilungsspielraum</w:t>
      </w:r>
      <w:r>
        <w:rPr>
          <w:rFonts w:ascii="Arial" w:hAnsi="Arial" w:cs="Arial"/>
          <w:sz w:val="24"/>
          <w:szCs w:val="24"/>
        </w:rPr>
        <w:t xml:space="preserve"> eingeräumt wird, d.h. mit Blick auf Anwendung und Auslegung von unbestimmten Rechtsbegriffen kann eine Vielfalt möglicher richtiger</w:t>
      </w:r>
      <w:r w:rsidR="005C01DC">
        <w:rPr>
          <w:rFonts w:ascii="Arial" w:hAnsi="Arial" w:cs="Arial"/>
          <w:sz w:val="24"/>
          <w:szCs w:val="24"/>
        </w:rPr>
        <w:t xml:space="preserve"> und rechtmäßiger</w:t>
      </w:r>
      <w:r>
        <w:rPr>
          <w:rFonts w:ascii="Arial" w:hAnsi="Arial" w:cs="Arial"/>
          <w:sz w:val="24"/>
          <w:szCs w:val="24"/>
        </w:rPr>
        <w:t xml:space="preserve"> Entscheidungen </w:t>
      </w:r>
      <w:r w:rsidR="005C01DC">
        <w:rPr>
          <w:rFonts w:ascii="Arial" w:hAnsi="Arial" w:cs="Arial"/>
          <w:sz w:val="24"/>
          <w:szCs w:val="24"/>
        </w:rPr>
        <w:t>geben</w:t>
      </w:r>
    </w:p>
    <w:p w:rsidR="005C01DC" w:rsidRDefault="005C01DC" w:rsidP="004C6D0F">
      <w:pPr>
        <w:rPr>
          <w:rFonts w:ascii="Arial" w:hAnsi="Arial" w:cs="Arial"/>
          <w:sz w:val="24"/>
          <w:szCs w:val="24"/>
        </w:rPr>
      </w:pPr>
      <w:r w:rsidRPr="005C01DC">
        <w:rPr>
          <w:rFonts w:ascii="Arial" w:hAnsi="Arial" w:cs="Arial"/>
          <w:b/>
          <w:sz w:val="24"/>
          <w:szCs w:val="24"/>
        </w:rPr>
        <w:t>=</w:t>
      </w:r>
      <w:r>
        <w:rPr>
          <w:rFonts w:ascii="Arial" w:hAnsi="Arial" w:cs="Arial"/>
          <w:sz w:val="24"/>
          <w:szCs w:val="24"/>
        </w:rPr>
        <w:t xml:space="preserve"> nur eine </w:t>
      </w:r>
      <w:r w:rsidRPr="005C01DC">
        <w:rPr>
          <w:rFonts w:ascii="Arial" w:hAnsi="Arial" w:cs="Arial"/>
          <w:b/>
          <w:i/>
          <w:sz w:val="24"/>
          <w:szCs w:val="24"/>
        </w:rPr>
        <w:t>eingeschränkte gerichtliche</w:t>
      </w:r>
      <w:r>
        <w:rPr>
          <w:rFonts w:ascii="Arial" w:hAnsi="Arial" w:cs="Arial"/>
          <w:sz w:val="24"/>
          <w:szCs w:val="24"/>
        </w:rPr>
        <w:t xml:space="preserve"> Kontrolle </w:t>
      </w:r>
    </w:p>
    <w:p w:rsidR="00D14974" w:rsidRDefault="00D14974" w:rsidP="004C6D0F">
      <w:pPr>
        <w:rPr>
          <w:rFonts w:ascii="Arial" w:hAnsi="Arial" w:cs="Arial"/>
        </w:rPr>
      </w:pPr>
    </w:p>
    <w:p w:rsidR="005C01DC" w:rsidRDefault="005C01DC" w:rsidP="004C6D0F">
      <w:pPr>
        <w:rPr>
          <w:rFonts w:ascii="Arial" w:hAnsi="Arial" w:cs="Arial"/>
        </w:rPr>
      </w:pPr>
      <w:r w:rsidRPr="005C01DC">
        <w:rPr>
          <w:rFonts w:ascii="Arial" w:hAnsi="Arial" w:cs="Arial"/>
        </w:rPr>
        <w:t>Dabei kann i.d.R. auf die wenigen anerkannten Fallgruppen behördlicher Beurteilungsspielräume zurückgegriffen werden</w:t>
      </w:r>
    </w:p>
    <w:p w:rsidR="00C02BFE" w:rsidRDefault="00C02BFE" w:rsidP="004C6D0F">
      <w:pPr>
        <w:rPr>
          <w:rFonts w:ascii="Arial" w:hAnsi="Arial" w:cs="Arial"/>
        </w:rPr>
      </w:pPr>
    </w:p>
    <w:p w:rsidR="009D2C19" w:rsidRDefault="009D2C19" w:rsidP="004C6D0F">
      <w:pPr>
        <w:rPr>
          <w:rFonts w:ascii="Arial" w:hAnsi="Arial" w:cs="Arial"/>
          <w:b/>
          <w:sz w:val="32"/>
          <w:szCs w:val="32"/>
        </w:rPr>
      </w:pPr>
      <w:r w:rsidRPr="009D2C19">
        <w:rPr>
          <w:rFonts w:ascii="Arial" w:hAnsi="Arial" w:cs="Arial"/>
          <w:b/>
          <w:sz w:val="32"/>
          <w:szCs w:val="32"/>
        </w:rPr>
        <w:lastRenderedPageBreak/>
        <w:t xml:space="preserve">3.3) verschiedene </w:t>
      </w:r>
      <w:r w:rsidR="00AC2C0F">
        <w:rPr>
          <w:rFonts w:ascii="Arial" w:hAnsi="Arial" w:cs="Arial"/>
          <w:b/>
          <w:sz w:val="32"/>
          <w:szCs w:val="32"/>
        </w:rPr>
        <w:t xml:space="preserve">anerkannte </w:t>
      </w:r>
      <w:r w:rsidRPr="009D2C19">
        <w:rPr>
          <w:rFonts w:ascii="Arial" w:hAnsi="Arial" w:cs="Arial"/>
          <w:b/>
          <w:sz w:val="32"/>
          <w:szCs w:val="32"/>
        </w:rPr>
        <w:t>Fallgruppen</w:t>
      </w:r>
    </w:p>
    <w:p w:rsidR="009D2C19" w:rsidRPr="00890E36" w:rsidRDefault="00AC2C0F" w:rsidP="004C6D0F">
      <w:pPr>
        <w:rPr>
          <w:rFonts w:ascii="Arial" w:hAnsi="Arial" w:cs="Arial"/>
          <w:b/>
          <w:i/>
          <w:sz w:val="24"/>
          <w:szCs w:val="24"/>
        </w:rPr>
      </w:pPr>
      <w:r w:rsidRPr="00890E36">
        <w:rPr>
          <w:rFonts w:ascii="Arial" w:hAnsi="Arial" w:cs="Arial"/>
          <w:b/>
          <w:i/>
          <w:sz w:val="24"/>
          <w:szCs w:val="24"/>
        </w:rPr>
        <w:t>a) Prüfungs- und prüfungsähnliche Entscheidungen</w:t>
      </w:r>
    </w:p>
    <w:p w:rsidR="00D14974" w:rsidRDefault="00D14974" w:rsidP="004C6D0F">
      <w:pPr>
        <w:rPr>
          <w:rFonts w:ascii="Arial" w:hAnsi="Arial" w:cs="Arial"/>
        </w:rPr>
      </w:pPr>
      <w:r>
        <w:rPr>
          <w:rFonts w:ascii="Arial" w:hAnsi="Arial" w:cs="Arial"/>
        </w:rPr>
        <w:t>(</w:t>
      </w:r>
      <w:r w:rsidRPr="00D14974">
        <w:rPr>
          <w:rFonts w:ascii="Arial" w:hAnsi="Arial" w:cs="Arial"/>
        </w:rPr>
        <w:t xml:space="preserve">den Prüfern wird ein Beurteilungsspielraum eingeräumt, der gerichtlich </w:t>
      </w:r>
      <w:r>
        <w:rPr>
          <w:rFonts w:ascii="Arial" w:hAnsi="Arial" w:cs="Arial"/>
        </w:rPr>
        <w:t xml:space="preserve">lediglich </w:t>
      </w:r>
      <w:r w:rsidRPr="00D14974">
        <w:rPr>
          <w:rFonts w:ascii="Arial" w:hAnsi="Arial" w:cs="Arial"/>
        </w:rPr>
        <w:t>beschränkt kontrollierbar ist</w:t>
      </w:r>
      <w:r>
        <w:rPr>
          <w:rFonts w:ascii="Arial" w:hAnsi="Arial" w:cs="Arial"/>
        </w:rPr>
        <w:t>)</w:t>
      </w:r>
    </w:p>
    <w:p w:rsidR="00D14974" w:rsidRPr="00D14974" w:rsidRDefault="00D14974" w:rsidP="004C6D0F">
      <w:pPr>
        <w:rPr>
          <w:rFonts w:ascii="Arial" w:hAnsi="Arial" w:cs="Arial"/>
        </w:rPr>
      </w:pPr>
    </w:p>
    <w:p w:rsidR="00890E36" w:rsidRDefault="00D14974" w:rsidP="004C6D0F">
      <w:pPr>
        <w:rPr>
          <w:rFonts w:ascii="Arial" w:hAnsi="Arial" w:cs="Arial"/>
          <w:sz w:val="24"/>
          <w:szCs w:val="24"/>
        </w:rPr>
      </w:pPr>
      <w:r>
        <w:rPr>
          <w:rFonts w:ascii="Arial" w:hAnsi="Arial" w:cs="Arial"/>
          <w:sz w:val="24"/>
          <w:szCs w:val="24"/>
        </w:rPr>
        <w:t xml:space="preserve">- Prüfungsentscheidungen im Abitur                                                                                              - universitäre Bachelorprüfung                                                                                                  - Staatsexamina, Laufbahnprüfungen      </w:t>
      </w:r>
    </w:p>
    <w:p w:rsidR="00AC2C0F" w:rsidRDefault="00890E36" w:rsidP="004C6D0F">
      <w:pPr>
        <w:rPr>
          <w:rFonts w:ascii="Arial" w:hAnsi="Arial" w:cs="Arial"/>
          <w:i/>
          <w:sz w:val="24"/>
          <w:szCs w:val="24"/>
        </w:rPr>
      </w:pPr>
      <w:r>
        <w:rPr>
          <w:rFonts w:ascii="Arial" w:hAnsi="Arial" w:cs="Arial"/>
          <w:i/>
          <w:sz w:val="24"/>
          <w:szCs w:val="24"/>
        </w:rPr>
        <w:t>-ü</w:t>
      </w:r>
      <w:r w:rsidRPr="00890E36">
        <w:rPr>
          <w:rFonts w:ascii="Arial" w:hAnsi="Arial" w:cs="Arial"/>
          <w:i/>
          <w:sz w:val="24"/>
          <w:szCs w:val="24"/>
        </w:rPr>
        <w:t xml:space="preserve">berprüft </w:t>
      </w:r>
      <w:r>
        <w:rPr>
          <w:rFonts w:ascii="Arial" w:hAnsi="Arial" w:cs="Arial"/>
          <w:i/>
          <w:sz w:val="24"/>
          <w:szCs w:val="24"/>
        </w:rPr>
        <w:t>wird</w:t>
      </w:r>
      <w:r w:rsidRPr="00890E36">
        <w:rPr>
          <w:rFonts w:ascii="Arial" w:hAnsi="Arial" w:cs="Arial"/>
          <w:i/>
          <w:sz w:val="24"/>
          <w:szCs w:val="24"/>
        </w:rPr>
        <w:t xml:space="preserve"> die Beurteilung der Überzeugungskraft der Argumente</w:t>
      </w:r>
      <w:r>
        <w:rPr>
          <w:rFonts w:ascii="Arial" w:hAnsi="Arial" w:cs="Arial"/>
          <w:i/>
          <w:sz w:val="24"/>
          <w:szCs w:val="24"/>
        </w:rPr>
        <w:t xml:space="preserve"> (in juristischen Falllösungen)                                                                                                                            -Gewichtung der zutreffenden Aussagen          </w:t>
      </w:r>
      <w:r w:rsidRPr="00890E36">
        <w:rPr>
          <w:rFonts w:ascii="Arial" w:hAnsi="Arial" w:cs="Arial"/>
          <w:i/>
          <w:sz w:val="24"/>
          <w:szCs w:val="24"/>
        </w:rPr>
        <w:t xml:space="preserve">   </w:t>
      </w:r>
      <w:r w:rsidR="00D14974" w:rsidRPr="00890E36">
        <w:rPr>
          <w:rFonts w:ascii="Arial" w:hAnsi="Arial" w:cs="Arial"/>
          <w:i/>
          <w:sz w:val="24"/>
          <w:szCs w:val="24"/>
        </w:rPr>
        <w:t xml:space="preserve">     </w:t>
      </w:r>
      <w:r>
        <w:rPr>
          <w:rFonts w:ascii="Arial" w:hAnsi="Arial" w:cs="Arial"/>
          <w:i/>
          <w:sz w:val="24"/>
          <w:szCs w:val="24"/>
        </w:rPr>
        <w:t xml:space="preserve">                                                                 -Gesamtwürdigung und Bewertung der Arbeit mit einer Endnote</w:t>
      </w:r>
    </w:p>
    <w:p w:rsidR="00404967" w:rsidRDefault="00404967" w:rsidP="004C6D0F">
      <w:pPr>
        <w:rPr>
          <w:rFonts w:ascii="Arial" w:hAnsi="Arial" w:cs="Arial"/>
        </w:rPr>
      </w:pPr>
    </w:p>
    <w:p w:rsidR="00404967" w:rsidRDefault="00404967" w:rsidP="004C6D0F">
      <w:pPr>
        <w:rPr>
          <w:rFonts w:ascii="Arial" w:hAnsi="Arial" w:cs="Arial"/>
          <w:b/>
          <w:i/>
          <w:sz w:val="24"/>
          <w:szCs w:val="24"/>
        </w:rPr>
      </w:pPr>
      <w:r>
        <w:rPr>
          <w:rFonts w:ascii="Arial" w:hAnsi="Arial" w:cs="Arial"/>
          <w:b/>
          <w:i/>
          <w:sz w:val="24"/>
          <w:szCs w:val="24"/>
        </w:rPr>
        <w:t>b) Beamtenrechtliche Beurteilungen</w:t>
      </w:r>
    </w:p>
    <w:p w:rsidR="003C33D3" w:rsidRDefault="00404967" w:rsidP="004C6D0F">
      <w:pPr>
        <w:rPr>
          <w:rFonts w:ascii="Arial" w:hAnsi="Arial" w:cs="Arial"/>
          <w:sz w:val="24"/>
          <w:szCs w:val="24"/>
        </w:rPr>
      </w:pPr>
      <w:r>
        <w:rPr>
          <w:rFonts w:ascii="Arial" w:hAnsi="Arial" w:cs="Arial"/>
          <w:sz w:val="24"/>
          <w:szCs w:val="24"/>
        </w:rPr>
        <w:t xml:space="preserve">Beurteilung eines Beamten bzw. eines Soldaten für bestimmte Dienstposten oder bestimmte Aufgaben sind gerichtlich nur eingeschränkt überprüfbar (Art33 </w:t>
      </w:r>
      <w:proofErr w:type="spellStart"/>
      <w:r>
        <w:rPr>
          <w:rFonts w:ascii="Arial" w:hAnsi="Arial" w:cs="Arial"/>
          <w:sz w:val="24"/>
          <w:szCs w:val="24"/>
        </w:rPr>
        <w:t>Abs</w:t>
      </w:r>
      <w:proofErr w:type="spellEnd"/>
      <w:r>
        <w:rPr>
          <w:rFonts w:ascii="Arial" w:hAnsi="Arial" w:cs="Arial"/>
          <w:sz w:val="24"/>
          <w:szCs w:val="24"/>
        </w:rPr>
        <w:t xml:space="preserve"> 2 GG)</w:t>
      </w:r>
    </w:p>
    <w:p w:rsidR="002555D0" w:rsidRDefault="002555D0" w:rsidP="004C6D0F">
      <w:pPr>
        <w:rPr>
          <w:rFonts w:ascii="Arial" w:hAnsi="Arial" w:cs="Arial"/>
          <w:sz w:val="24"/>
          <w:szCs w:val="24"/>
        </w:rPr>
      </w:pPr>
    </w:p>
    <w:p w:rsidR="003C33D3" w:rsidRDefault="003C33D3" w:rsidP="004C6D0F">
      <w:pPr>
        <w:rPr>
          <w:rFonts w:ascii="Arial" w:hAnsi="Arial" w:cs="Arial"/>
          <w:b/>
          <w:i/>
          <w:sz w:val="24"/>
          <w:szCs w:val="24"/>
        </w:rPr>
      </w:pPr>
      <w:r>
        <w:rPr>
          <w:rFonts w:ascii="Arial" w:hAnsi="Arial" w:cs="Arial"/>
          <w:b/>
          <w:i/>
          <w:sz w:val="24"/>
          <w:szCs w:val="24"/>
        </w:rPr>
        <w:t>c) Werturteile fachkundig zusammengesetzter Gremien</w:t>
      </w:r>
    </w:p>
    <w:p w:rsidR="003C33D3" w:rsidRDefault="003C33D3" w:rsidP="004C6D0F">
      <w:pPr>
        <w:rPr>
          <w:rFonts w:ascii="Arial" w:hAnsi="Arial" w:cs="Arial"/>
          <w:sz w:val="24"/>
          <w:szCs w:val="24"/>
        </w:rPr>
      </w:pPr>
      <w:r>
        <w:rPr>
          <w:rFonts w:ascii="Arial" w:hAnsi="Arial" w:cs="Arial"/>
          <w:sz w:val="24"/>
          <w:szCs w:val="24"/>
        </w:rPr>
        <w:t>Entscheidungen weisungsunabhängiger, staatsfreier und nach besonderen Kriterien zusammengesetzter Gremien, deren Entscheidungen durch wertende Elemente vorausschauender und richtungsweisender Art gekennzeichnet sind</w:t>
      </w:r>
    </w:p>
    <w:p w:rsidR="003C33D3" w:rsidRDefault="003C33D3" w:rsidP="004C6D0F">
      <w:pPr>
        <w:rPr>
          <w:rFonts w:ascii="Arial" w:hAnsi="Arial" w:cs="Arial"/>
          <w:sz w:val="24"/>
          <w:szCs w:val="24"/>
        </w:rPr>
      </w:pPr>
    </w:p>
    <w:p w:rsidR="003C33D3" w:rsidRDefault="003C33D3" w:rsidP="004C6D0F">
      <w:pPr>
        <w:rPr>
          <w:rFonts w:ascii="Arial" w:hAnsi="Arial" w:cs="Arial"/>
          <w:b/>
          <w:i/>
          <w:sz w:val="24"/>
          <w:szCs w:val="24"/>
        </w:rPr>
      </w:pPr>
      <w:r>
        <w:rPr>
          <w:rFonts w:ascii="Arial" w:hAnsi="Arial" w:cs="Arial"/>
          <w:b/>
          <w:i/>
          <w:sz w:val="24"/>
          <w:szCs w:val="24"/>
        </w:rPr>
        <w:t xml:space="preserve">d) Prognose- und Risikoentscheidungen, insbesondere im Umwelt- und </w:t>
      </w:r>
      <w:r w:rsidR="004B632D">
        <w:rPr>
          <w:rFonts w:ascii="Arial" w:hAnsi="Arial" w:cs="Arial"/>
          <w:b/>
          <w:i/>
          <w:sz w:val="24"/>
          <w:szCs w:val="24"/>
        </w:rPr>
        <w:t>Wirtschaftsrecht</w:t>
      </w:r>
    </w:p>
    <w:p w:rsidR="002555D0" w:rsidRDefault="008F352A" w:rsidP="004C6D0F">
      <w:pPr>
        <w:rPr>
          <w:rFonts w:ascii="Arial" w:hAnsi="Arial" w:cs="Arial"/>
          <w:sz w:val="24"/>
          <w:szCs w:val="24"/>
        </w:rPr>
      </w:pPr>
      <w:r>
        <w:rPr>
          <w:rFonts w:ascii="Arial" w:hAnsi="Arial" w:cs="Arial"/>
          <w:sz w:val="24"/>
          <w:szCs w:val="24"/>
        </w:rPr>
        <w:t>Aufgrund der Ungewi</w:t>
      </w:r>
      <w:r w:rsidR="006701FF">
        <w:rPr>
          <w:rFonts w:ascii="Arial" w:hAnsi="Arial" w:cs="Arial"/>
          <w:sz w:val="24"/>
          <w:szCs w:val="24"/>
        </w:rPr>
        <w:t>ssheit und Unwägbarkeit, die das Treffen von</w:t>
      </w:r>
      <w:r>
        <w:rPr>
          <w:rFonts w:ascii="Arial" w:hAnsi="Arial" w:cs="Arial"/>
          <w:sz w:val="24"/>
          <w:szCs w:val="24"/>
        </w:rPr>
        <w:t xml:space="preserve"> Entscheidungen in diesem Bereich erschweren, wird den Behörden nur ein eingeschränkt nachprüfbarer B</w:t>
      </w:r>
      <w:r w:rsidR="006701FF">
        <w:rPr>
          <w:rFonts w:ascii="Arial" w:hAnsi="Arial" w:cs="Arial"/>
          <w:sz w:val="24"/>
          <w:szCs w:val="24"/>
        </w:rPr>
        <w:t>eurteilungsspielraum eingeräumt</w:t>
      </w:r>
    </w:p>
    <w:p w:rsidR="00E7608D" w:rsidRPr="008032E1" w:rsidRDefault="00E7608D" w:rsidP="00E7608D">
      <w:pPr>
        <w:rPr>
          <w:rFonts w:ascii="Arial" w:hAnsi="Arial" w:cs="Arial"/>
          <w:i/>
        </w:rPr>
      </w:pPr>
      <w:r w:rsidRPr="008032E1">
        <w:rPr>
          <w:rFonts w:ascii="Arial" w:hAnsi="Arial" w:cs="Arial"/>
          <w:i/>
        </w:rPr>
        <w:t xml:space="preserve">- nicht jede gesetzliche Norm garantiert eine rechtsfehlerfreie Entscheidung </w:t>
      </w:r>
    </w:p>
    <w:p w:rsidR="00E7608D" w:rsidRPr="008032E1" w:rsidRDefault="00E7608D" w:rsidP="004C6D0F">
      <w:pPr>
        <w:rPr>
          <w:rFonts w:ascii="Arial" w:hAnsi="Arial" w:cs="Arial"/>
          <w:i/>
        </w:rPr>
      </w:pPr>
      <w:r w:rsidRPr="008032E1">
        <w:rPr>
          <w:rFonts w:ascii="Arial" w:hAnsi="Arial" w:cs="Arial"/>
          <w:i/>
        </w:rPr>
        <w:t>- wenn die Norm dem Interesse des Bürgers dient</w:t>
      </w:r>
    </w:p>
    <w:p w:rsidR="00C131CC" w:rsidRDefault="00C131CC" w:rsidP="004C6D0F">
      <w:pPr>
        <w:rPr>
          <w:rFonts w:ascii="Arial" w:hAnsi="Arial" w:cs="Arial"/>
          <w:i/>
        </w:rPr>
      </w:pPr>
      <w:r w:rsidRPr="002555D0">
        <w:rPr>
          <w:rFonts w:ascii="Arial" w:hAnsi="Arial" w:cs="Arial"/>
          <w:i/>
        </w:rPr>
        <w:t xml:space="preserve">Sollte der Bearbeiter einer Prüfungsarbeit bei der Überprüfung, ob die Voraussetzungen des unbestimmten Rechtsbegriffs vorliegen, zu einem anderem als die Behörde selbst Ergebnis kommen, so stellt er Rechtswidrigkeit der behördlichen Entscheidung fest. Der Kläger ist </w:t>
      </w:r>
      <w:r w:rsidR="00C02BFE">
        <w:rPr>
          <w:rFonts w:ascii="Arial" w:hAnsi="Arial" w:cs="Arial"/>
          <w:i/>
        </w:rPr>
        <w:t xml:space="preserve"> </w:t>
      </w:r>
      <w:r w:rsidRPr="002555D0">
        <w:rPr>
          <w:rFonts w:ascii="Arial" w:hAnsi="Arial" w:cs="Arial"/>
          <w:i/>
        </w:rPr>
        <w:t xml:space="preserve">anhand dessen in seinen Rechten verletzt und daher laut § 113 Abs. 1 S. 1 VwGO </w:t>
      </w:r>
      <w:r w:rsidR="002555D0" w:rsidRPr="002555D0">
        <w:rPr>
          <w:rFonts w:ascii="Arial" w:hAnsi="Arial" w:cs="Arial"/>
          <w:i/>
        </w:rPr>
        <w:t xml:space="preserve">müsse die Entscheidung </w:t>
      </w:r>
      <w:r w:rsidRPr="002555D0">
        <w:rPr>
          <w:rFonts w:ascii="Arial" w:hAnsi="Arial" w:cs="Arial"/>
          <w:i/>
        </w:rPr>
        <w:t xml:space="preserve">aufgehoben werden </w:t>
      </w:r>
    </w:p>
    <w:p w:rsidR="00905F7C" w:rsidRDefault="00905F7C" w:rsidP="004C6D0F">
      <w:pPr>
        <w:rPr>
          <w:rFonts w:ascii="Arial" w:hAnsi="Arial" w:cs="Arial"/>
          <w:i/>
        </w:rPr>
      </w:pPr>
    </w:p>
    <w:p w:rsidR="00905F7C" w:rsidRDefault="00911E08" w:rsidP="004C6D0F">
      <w:pPr>
        <w:rPr>
          <w:rFonts w:ascii="Arial" w:hAnsi="Arial" w:cs="Arial"/>
          <w:b/>
          <w:sz w:val="32"/>
          <w:szCs w:val="32"/>
        </w:rPr>
      </w:pPr>
      <w:r>
        <w:rPr>
          <w:rStyle w:val="Funotenzeichen"/>
          <w:rFonts w:ascii="Arial" w:hAnsi="Arial" w:cs="Arial"/>
          <w:b/>
          <w:sz w:val="32"/>
          <w:szCs w:val="32"/>
        </w:rPr>
        <w:footnoteReference w:id="4"/>
      </w:r>
      <w:r w:rsidR="00905F7C" w:rsidRPr="00905F7C">
        <w:rPr>
          <w:rFonts w:ascii="Arial" w:hAnsi="Arial" w:cs="Arial"/>
          <w:b/>
          <w:sz w:val="32"/>
          <w:szCs w:val="32"/>
        </w:rPr>
        <w:t>4</w:t>
      </w:r>
      <w:r w:rsidR="00905F7C">
        <w:rPr>
          <w:rFonts w:ascii="Arial" w:hAnsi="Arial" w:cs="Arial"/>
          <w:b/>
          <w:sz w:val="32"/>
          <w:szCs w:val="32"/>
        </w:rPr>
        <w:t>.</w:t>
      </w:r>
      <w:r w:rsidR="00905F7C" w:rsidRPr="00905F7C">
        <w:rPr>
          <w:rFonts w:ascii="Arial" w:hAnsi="Arial" w:cs="Arial"/>
          <w:b/>
          <w:sz w:val="32"/>
          <w:szCs w:val="32"/>
        </w:rPr>
        <w:t xml:space="preserve"> </w:t>
      </w:r>
      <w:r w:rsidR="00CB4B65">
        <w:rPr>
          <w:rFonts w:ascii="Arial" w:hAnsi="Arial" w:cs="Arial"/>
          <w:b/>
          <w:sz w:val="32"/>
          <w:szCs w:val="32"/>
        </w:rPr>
        <w:t xml:space="preserve"> Beurteilungsfehler</w:t>
      </w:r>
    </w:p>
    <w:p w:rsidR="00874031" w:rsidRDefault="00874031" w:rsidP="004C6D0F">
      <w:pPr>
        <w:rPr>
          <w:rFonts w:ascii="Arial" w:hAnsi="Arial" w:cs="Arial"/>
          <w:b/>
          <w:sz w:val="32"/>
          <w:szCs w:val="32"/>
        </w:rPr>
      </w:pPr>
    </w:p>
    <w:p w:rsidR="00CB4B65" w:rsidRPr="00874031" w:rsidRDefault="00CB4B65" w:rsidP="004C6D0F">
      <w:pPr>
        <w:rPr>
          <w:rFonts w:ascii="Arial" w:hAnsi="Arial" w:cs="Arial"/>
        </w:rPr>
      </w:pPr>
      <w:r w:rsidRPr="00874031">
        <w:rPr>
          <w:rFonts w:ascii="Arial" w:hAnsi="Arial" w:cs="Arial"/>
        </w:rPr>
        <w:t xml:space="preserve">Auch diese Fälle sind gerichtlich dahingehend überprüfbar, ob der gesetzliche Rahmen überschritten wurde also, ob ein </w:t>
      </w:r>
      <w:r w:rsidRPr="00874031">
        <w:rPr>
          <w:rFonts w:ascii="Arial" w:hAnsi="Arial" w:cs="Arial"/>
          <w:b/>
        </w:rPr>
        <w:t>Beurteilungsfehler</w:t>
      </w:r>
      <w:r w:rsidRPr="00874031">
        <w:rPr>
          <w:rFonts w:ascii="Arial" w:hAnsi="Arial" w:cs="Arial"/>
        </w:rPr>
        <w:t xml:space="preserve"> vorliegt</w:t>
      </w:r>
    </w:p>
    <w:p w:rsidR="00AE38B6" w:rsidRDefault="00AE38B6" w:rsidP="00AE38B6">
      <w:p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 xml:space="preserve">Als beurteilungsfehlerhaft gilt es, wenn                       </w:t>
      </w:r>
    </w:p>
    <w:p w:rsidR="00AE38B6" w:rsidRPr="00FE4585" w:rsidRDefault="00AE38B6" w:rsidP="00AE38B6">
      <w:pPr>
        <w:spacing w:before="100" w:beforeAutospacing="1" w:after="100" w:afterAutospacing="1" w:line="240" w:lineRule="auto"/>
        <w:rPr>
          <w:rFonts w:ascii="Arial" w:eastAsia="Times New Roman" w:hAnsi="Arial" w:cs="Arial"/>
          <w:i/>
          <w:sz w:val="24"/>
          <w:szCs w:val="24"/>
          <w:lang w:eastAsia="de-DE"/>
        </w:rPr>
      </w:pPr>
      <w:r w:rsidRPr="00FE4585">
        <w:rPr>
          <w:rFonts w:ascii="Arial" w:eastAsia="Times New Roman" w:hAnsi="Arial" w:cs="Arial"/>
          <w:i/>
          <w:sz w:val="24"/>
          <w:szCs w:val="24"/>
          <w:lang w:eastAsia="de-DE"/>
        </w:rPr>
        <w:t xml:space="preserve">- besondere Verfahrensvorschriften missachtet wurden (fehlende Protokollierung einer mündlichen Prüfung, fehlende Qualifikation des Prüfers) </w:t>
      </w:r>
    </w:p>
    <w:p w:rsidR="00AE38B6" w:rsidRPr="00FE4585" w:rsidRDefault="00AE38B6" w:rsidP="00AE38B6">
      <w:pPr>
        <w:spacing w:before="100" w:beforeAutospacing="1" w:after="100" w:afterAutospacing="1" w:line="240" w:lineRule="auto"/>
        <w:rPr>
          <w:rFonts w:ascii="Arial" w:eastAsia="Times New Roman" w:hAnsi="Arial" w:cs="Arial"/>
          <w:i/>
          <w:sz w:val="24"/>
          <w:szCs w:val="24"/>
          <w:lang w:eastAsia="de-DE"/>
        </w:rPr>
      </w:pPr>
      <w:r w:rsidRPr="00FE4585">
        <w:rPr>
          <w:rFonts w:ascii="Arial" w:eastAsia="Times New Roman" w:hAnsi="Arial" w:cs="Arial"/>
          <w:i/>
          <w:sz w:val="24"/>
          <w:szCs w:val="24"/>
          <w:lang w:eastAsia="de-DE"/>
        </w:rPr>
        <w:t>- ein Tatbestandsmerkmal falsch ausgelegt wurde (die Note „befriedigend“ wird weit über dem Durschnitt liegend angesehen)</w:t>
      </w:r>
    </w:p>
    <w:p w:rsidR="00AE38B6" w:rsidRPr="00FE4585" w:rsidRDefault="00AE38B6" w:rsidP="00AE38B6">
      <w:pPr>
        <w:spacing w:before="100" w:beforeAutospacing="1" w:after="100" w:afterAutospacing="1" w:line="240" w:lineRule="auto"/>
        <w:rPr>
          <w:rFonts w:ascii="Arial" w:eastAsia="Times New Roman" w:hAnsi="Arial" w:cs="Arial"/>
          <w:i/>
          <w:sz w:val="24"/>
          <w:szCs w:val="24"/>
          <w:lang w:eastAsia="de-DE"/>
        </w:rPr>
      </w:pPr>
      <w:r w:rsidRPr="00FE4585">
        <w:rPr>
          <w:rFonts w:ascii="Arial" w:eastAsia="Times New Roman" w:hAnsi="Arial" w:cs="Arial"/>
          <w:i/>
          <w:sz w:val="24"/>
          <w:szCs w:val="24"/>
          <w:lang w:eastAsia="de-DE"/>
        </w:rPr>
        <w:t xml:space="preserve">- die sachfremde Erwägungen herangezogen wurden (hohe </w:t>
      </w:r>
      <w:proofErr w:type="spellStart"/>
      <w:r w:rsidRPr="00FE4585">
        <w:rPr>
          <w:rFonts w:ascii="Arial" w:eastAsia="Times New Roman" w:hAnsi="Arial" w:cs="Arial"/>
          <w:i/>
          <w:sz w:val="24"/>
          <w:szCs w:val="24"/>
          <w:lang w:eastAsia="de-DE"/>
        </w:rPr>
        <w:t>Misserfolgsquote</w:t>
      </w:r>
      <w:proofErr w:type="spellEnd"/>
      <w:r w:rsidRPr="00FE4585">
        <w:rPr>
          <w:rFonts w:ascii="Arial" w:eastAsia="Times New Roman" w:hAnsi="Arial" w:cs="Arial"/>
          <w:i/>
          <w:sz w:val="24"/>
          <w:szCs w:val="24"/>
          <w:lang w:eastAsia="de-DE"/>
        </w:rPr>
        <w:t xml:space="preserve"> im  Staatsexamen zwecks Reduzierung der Juristenzahl) </w:t>
      </w:r>
    </w:p>
    <w:p w:rsidR="00AE38B6" w:rsidRPr="00FE4585" w:rsidRDefault="00AE38B6" w:rsidP="00AE38B6">
      <w:pPr>
        <w:spacing w:before="100" w:beforeAutospacing="1" w:after="100" w:afterAutospacing="1" w:line="240" w:lineRule="auto"/>
        <w:rPr>
          <w:rFonts w:ascii="Arial" w:eastAsia="Times New Roman" w:hAnsi="Arial" w:cs="Arial"/>
          <w:i/>
          <w:sz w:val="24"/>
          <w:szCs w:val="24"/>
          <w:lang w:eastAsia="de-DE"/>
        </w:rPr>
      </w:pPr>
      <w:r w:rsidRPr="00FE4585">
        <w:rPr>
          <w:rFonts w:ascii="Arial" w:eastAsia="Times New Roman" w:hAnsi="Arial" w:cs="Arial"/>
          <w:i/>
          <w:sz w:val="24"/>
          <w:szCs w:val="24"/>
          <w:lang w:eastAsia="de-DE"/>
        </w:rPr>
        <w:t xml:space="preserve"> - der Prüfungsinhalt den von der Prüfungsordnung vorgegebenen Rahmen verlässt</w:t>
      </w:r>
    </w:p>
    <w:p w:rsidR="00874031" w:rsidRDefault="00AE38B6" w:rsidP="00AE38B6">
      <w:pPr>
        <w:spacing w:before="100" w:beforeAutospacing="1" w:after="100" w:afterAutospacing="1" w:line="240" w:lineRule="auto"/>
        <w:rPr>
          <w:rFonts w:ascii="Arial" w:eastAsia="Times New Roman" w:hAnsi="Arial" w:cs="Arial"/>
          <w:i/>
          <w:sz w:val="24"/>
          <w:szCs w:val="24"/>
          <w:lang w:eastAsia="de-DE"/>
        </w:rPr>
      </w:pPr>
      <w:r w:rsidRPr="00FE4585">
        <w:rPr>
          <w:rFonts w:ascii="Arial" w:eastAsia="Times New Roman" w:hAnsi="Arial" w:cs="Arial"/>
          <w:i/>
          <w:sz w:val="24"/>
          <w:szCs w:val="24"/>
          <w:lang w:eastAsia="de-DE"/>
        </w:rPr>
        <w:t>- die Chancengleichheit (Art 3 Abs. 1 GG) missachtet wurde</w:t>
      </w:r>
    </w:p>
    <w:p w:rsidR="005F0A9B" w:rsidRDefault="005F0A9B" w:rsidP="00AE38B6">
      <w:pPr>
        <w:spacing w:before="100" w:beforeAutospacing="1" w:after="100" w:afterAutospacing="1" w:line="240" w:lineRule="auto"/>
        <w:rPr>
          <w:rFonts w:ascii="Arial" w:eastAsia="Times New Roman" w:hAnsi="Arial" w:cs="Arial"/>
          <w:i/>
          <w:sz w:val="24"/>
          <w:szCs w:val="24"/>
          <w:lang w:eastAsia="de-DE"/>
        </w:rPr>
      </w:pPr>
    </w:p>
    <w:p w:rsidR="00874031" w:rsidRDefault="00874031" w:rsidP="00874031">
      <w:pPr>
        <w:spacing w:before="100" w:beforeAutospacing="1" w:after="100" w:afterAutospacing="1" w:line="240" w:lineRule="auto"/>
        <w:rPr>
          <w:rFonts w:ascii="Arial" w:eastAsia="Times New Roman" w:hAnsi="Arial" w:cs="Arial"/>
          <w:i/>
          <w:lang w:eastAsia="de-DE"/>
        </w:rPr>
      </w:pPr>
      <w:r w:rsidRPr="00004169">
        <w:rPr>
          <w:rFonts w:ascii="Arial" w:eastAsia="Times New Roman" w:hAnsi="Arial" w:cs="Arial"/>
          <w:i/>
          <w:lang w:eastAsia="de-DE"/>
        </w:rPr>
        <w:t>Eine Klage gegen die Verwaltungsentscheidung mit Beurteilungsspielraum ist nur dann wirksam, wenn nicht nur der Beurteilungsfehler unterlaufen ist, sondern dieser Fehler muss eine Auswirkung auf das Ges</w:t>
      </w:r>
      <w:r>
        <w:rPr>
          <w:rFonts w:ascii="Arial" w:eastAsia="Times New Roman" w:hAnsi="Arial" w:cs="Arial"/>
          <w:i/>
          <w:lang w:eastAsia="de-DE"/>
        </w:rPr>
        <w:t>amtergebnis haben</w:t>
      </w:r>
    </w:p>
    <w:p w:rsidR="0083440C" w:rsidRDefault="0083440C" w:rsidP="00874031">
      <w:pPr>
        <w:spacing w:before="100" w:beforeAutospacing="1" w:after="100" w:afterAutospacing="1" w:line="240" w:lineRule="auto"/>
        <w:rPr>
          <w:rFonts w:ascii="Arial" w:eastAsia="Times New Roman" w:hAnsi="Arial" w:cs="Arial"/>
          <w:i/>
          <w:lang w:eastAsia="de-DE"/>
        </w:rPr>
      </w:pPr>
    </w:p>
    <w:p w:rsidR="0083440C" w:rsidRDefault="0083440C" w:rsidP="0083440C">
      <w:pPr>
        <w:spacing w:before="100" w:beforeAutospacing="1" w:after="100" w:afterAutospacing="1" w:line="240" w:lineRule="auto"/>
        <w:rPr>
          <w:rFonts w:ascii="Arial" w:eastAsia="Times New Roman" w:hAnsi="Arial" w:cs="Arial"/>
          <w:b/>
          <w:sz w:val="24"/>
          <w:szCs w:val="24"/>
          <w:lang w:eastAsia="de-DE"/>
        </w:rPr>
      </w:pPr>
    </w:p>
    <w:p w:rsidR="0083440C" w:rsidRPr="00043D94" w:rsidRDefault="0083440C" w:rsidP="0083440C">
      <w:pPr>
        <w:spacing w:before="100" w:beforeAutospacing="1" w:after="100" w:afterAutospacing="1" w:line="240" w:lineRule="auto"/>
        <w:rPr>
          <w:rFonts w:ascii="Arial" w:eastAsia="Times New Roman" w:hAnsi="Arial" w:cs="Arial"/>
          <w:b/>
          <w:sz w:val="28"/>
          <w:szCs w:val="28"/>
          <w:lang w:eastAsia="de-DE"/>
        </w:rPr>
      </w:pPr>
      <w:r w:rsidRPr="00043D94">
        <w:rPr>
          <w:rFonts w:ascii="Arial" w:eastAsia="Times New Roman" w:hAnsi="Arial" w:cs="Arial"/>
          <w:b/>
          <w:sz w:val="28"/>
          <w:szCs w:val="28"/>
          <w:lang w:eastAsia="de-DE"/>
        </w:rPr>
        <w:t xml:space="preserve">Zusammenfassung: </w:t>
      </w:r>
    </w:p>
    <w:p w:rsidR="00043D94" w:rsidRDefault="00043D94" w:rsidP="0083440C">
      <w:pPr>
        <w:spacing w:before="100" w:beforeAutospacing="1" w:after="100" w:afterAutospacing="1" w:line="240" w:lineRule="auto"/>
        <w:rPr>
          <w:rFonts w:ascii="Arial" w:eastAsia="Times New Roman" w:hAnsi="Arial" w:cs="Arial"/>
          <w:b/>
          <w:sz w:val="24"/>
          <w:szCs w:val="24"/>
          <w:lang w:eastAsia="de-DE"/>
        </w:rPr>
      </w:pPr>
    </w:p>
    <w:p w:rsidR="0083440C" w:rsidRPr="00043D94" w:rsidRDefault="0083440C" w:rsidP="0083440C">
      <w:pPr>
        <w:spacing w:before="100" w:beforeAutospacing="1" w:after="100" w:afterAutospacing="1" w:line="240" w:lineRule="auto"/>
        <w:rPr>
          <w:rFonts w:ascii="Arial" w:eastAsia="Times New Roman" w:hAnsi="Arial" w:cs="Arial"/>
          <w:i/>
          <w:sz w:val="24"/>
          <w:szCs w:val="24"/>
          <w:lang w:eastAsia="de-DE"/>
        </w:rPr>
      </w:pPr>
      <w:r w:rsidRPr="008751A9">
        <w:rPr>
          <w:rFonts w:ascii="Arial" w:eastAsia="Times New Roman" w:hAnsi="Arial" w:cs="Arial"/>
          <w:sz w:val="24"/>
          <w:szCs w:val="24"/>
          <w:u w:val="single"/>
          <w:lang w:eastAsia="de-DE"/>
        </w:rPr>
        <w:t>Tatbestand:</w:t>
      </w:r>
      <w:r>
        <w:rPr>
          <w:rFonts w:ascii="Arial" w:eastAsia="Times New Roman" w:hAnsi="Arial" w:cs="Arial"/>
          <w:sz w:val="24"/>
          <w:szCs w:val="24"/>
          <w:lang w:eastAsia="de-DE"/>
        </w:rPr>
        <w:t xml:space="preserve"> </w:t>
      </w:r>
      <w:r w:rsidR="00043D94">
        <w:rPr>
          <w:rFonts w:ascii="Arial" w:eastAsia="Times New Roman" w:hAnsi="Arial" w:cs="Arial"/>
          <w:sz w:val="24"/>
          <w:szCs w:val="24"/>
          <w:lang w:eastAsia="de-DE"/>
        </w:rPr>
        <w:t xml:space="preserve"> </w:t>
      </w:r>
      <w:r w:rsidRPr="00043D94">
        <w:rPr>
          <w:rFonts w:ascii="Arial" w:eastAsia="Times New Roman" w:hAnsi="Arial" w:cs="Arial"/>
          <w:i/>
          <w:sz w:val="24"/>
          <w:szCs w:val="24"/>
          <w:lang w:eastAsia="de-DE"/>
        </w:rPr>
        <w:t>unbestimmte Rechtsbegriffe, Beurteilungsspielräume</w:t>
      </w:r>
    </w:p>
    <w:p w:rsidR="00043D94" w:rsidRPr="008751A9" w:rsidRDefault="00043D94" w:rsidP="0083440C">
      <w:pPr>
        <w:spacing w:before="100" w:beforeAutospacing="1" w:after="100" w:afterAutospacing="1" w:line="240" w:lineRule="auto"/>
        <w:rPr>
          <w:rFonts w:ascii="Arial" w:eastAsia="Times New Roman" w:hAnsi="Arial" w:cs="Arial"/>
          <w:sz w:val="24"/>
          <w:szCs w:val="24"/>
          <w:lang w:eastAsia="de-DE"/>
        </w:rPr>
      </w:pPr>
    </w:p>
    <w:p w:rsidR="00C02BFE" w:rsidRDefault="0083440C" w:rsidP="00043D94">
      <w:pPr>
        <w:spacing w:before="100" w:beforeAutospacing="1" w:after="100" w:afterAutospacing="1" w:line="240" w:lineRule="auto"/>
        <w:rPr>
          <w:rFonts w:ascii="Arial" w:eastAsia="Times New Roman" w:hAnsi="Arial" w:cs="Arial"/>
          <w:i/>
          <w:sz w:val="24"/>
          <w:szCs w:val="24"/>
          <w:lang w:eastAsia="de-DE"/>
        </w:rPr>
      </w:pPr>
      <w:r w:rsidRPr="0075662D">
        <w:rPr>
          <w:rFonts w:ascii="Arial" w:eastAsia="Times New Roman" w:hAnsi="Arial" w:cs="Arial"/>
          <w:sz w:val="24"/>
          <w:szCs w:val="24"/>
          <w:u w:val="single"/>
          <w:lang w:eastAsia="de-DE"/>
        </w:rPr>
        <w:t>Grundsatz</w:t>
      </w:r>
      <w:r>
        <w:rPr>
          <w:rFonts w:ascii="Arial" w:eastAsia="Times New Roman" w:hAnsi="Arial" w:cs="Arial"/>
          <w:sz w:val="24"/>
          <w:szCs w:val="24"/>
          <w:u w:val="single"/>
          <w:lang w:eastAsia="de-DE"/>
        </w:rPr>
        <w:t>:</w:t>
      </w:r>
      <w:r>
        <w:rPr>
          <w:rFonts w:ascii="Arial" w:eastAsia="Times New Roman" w:hAnsi="Arial" w:cs="Arial"/>
          <w:sz w:val="24"/>
          <w:szCs w:val="24"/>
          <w:lang w:eastAsia="de-DE"/>
        </w:rPr>
        <w:t xml:space="preserve"> </w:t>
      </w:r>
      <w:r w:rsidR="00043D94">
        <w:rPr>
          <w:rFonts w:ascii="Arial" w:eastAsia="Times New Roman" w:hAnsi="Arial" w:cs="Arial"/>
          <w:sz w:val="24"/>
          <w:szCs w:val="24"/>
          <w:lang w:eastAsia="de-DE"/>
        </w:rPr>
        <w:t xml:space="preserve">  </w:t>
      </w:r>
      <w:r w:rsidR="00043D94">
        <w:rPr>
          <w:rFonts w:ascii="Arial" w:eastAsia="Times New Roman" w:hAnsi="Arial" w:cs="Arial"/>
          <w:i/>
          <w:sz w:val="24"/>
          <w:szCs w:val="24"/>
          <w:lang w:eastAsia="de-DE"/>
        </w:rPr>
        <w:t>v</w:t>
      </w:r>
      <w:r w:rsidRPr="0075662D">
        <w:rPr>
          <w:rFonts w:ascii="Arial" w:eastAsia="Times New Roman" w:hAnsi="Arial" w:cs="Arial"/>
          <w:i/>
          <w:sz w:val="24"/>
          <w:szCs w:val="24"/>
          <w:lang w:eastAsia="de-DE"/>
        </w:rPr>
        <w:t>olle gerichtliche Überprüfung unbestimmter</w:t>
      </w:r>
      <w:r w:rsidR="00043D94">
        <w:rPr>
          <w:rFonts w:ascii="Arial" w:eastAsia="Times New Roman" w:hAnsi="Arial" w:cs="Arial"/>
          <w:i/>
          <w:sz w:val="24"/>
          <w:szCs w:val="24"/>
          <w:lang w:eastAsia="de-DE"/>
        </w:rPr>
        <w:t xml:space="preserve"> </w:t>
      </w:r>
      <w:r w:rsidRPr="0075662D">
        <w:rPr>
          <w:rFonts w:ascii="Arial" w:eastAsia="Times New Roman" w:hAnsi="Arial" w:cs="Arial"/>
          <w:i/>
          <w:sz w:val="24"/>
          <w:szCs w:val="24"/>
          <w:lang w:eastAsia="de-DE"/>
        </w:rPr>
        <w:t>Rechtsbegriffe</w:t>
      </w:r>
      <w:r w:rsidR="00043D94">
        <w:rPr>
          <w:rFonts w:ascii="Arial" w:eastAsia="Times New Roman" w:hAnsi="Arial" w:cs="Arial"/>
          <w:i/>
          <w:sz w:val="24"/>
          <w:szCs w:val="24"/>
          <w:lang w:eastAsia="de-DE"/>
        </w:rPr>
        <w:tab/>
      </w:r>
    </w:p>
    <w:p w:rsidR="00C02BFE" w:rsidRDefault="00C02BFE" w:rsidP="00043D94">
      <w:pPr>
        <w:spacing w:before="100" w:beforeAutospacing="1" w:after="100" w:afterAutospacing="1" w:line="240" w:lineRule="auto"/>
        <w:rPr>
          <w:rFonts w:ascii="Arial" w:eastAsia="Times New Roman" w:hAnsi="Arial" w:cs="Arial"/>
          <w:sz w:val="24"/>
          <w:szCs w:val="24"/>
          <w:u w:val="single"/>
          <w:lang w:eastAsia="de-DE"/>
        </w:rPr>
      </w:pPr>
    </w:p>
    <w:p w:rsidR="00043D94" w:rsidRDefault="0083440C" w:rsidP="00043D94">
      <w:pPr>
        <w:spacing w:before="100" w:beforeAutospacing="1" w:after="100" w:afterAutospacing="1" w:line="240" w:lineRule="auto"/>
        <w:rPr>
          <w:rFonts w:ascii="Arial" w:eastAsia="Times New Roman" w:hAnsi="Arial" w:cs="Arial"/>
          <w:i/>
          <w:sz w:val="24"/>
          <w:szCs w:val="24"/>
          <w:lang w:eastAsia="de-DE"/>
        </w:rPr>
      </w:pPr>
      <w:r w:rsidRPr="0075662D">
        <w:rPr>
          <w:rFonts w:ascii="Arial" w:eastAsia="Times New Roman" w:hAnsi="Arial" w:cs="Arial"/>
          <w:sz w:val="24"/>
          <w:szCs w:val="24"/>
          <w:u w:val="single"/>
          <w:lang w:eastAsia="de-DE"/>
        </w:rPr>
        <w:t>Ausnahme:</w:t>
      </w:r>
      <w:r>
        <w:rPr>
          <w:rFonts w:ascii="Arial" w:eastAsia="Times New Roman" w:hAnsi="Arial" w:cs="Arial"/>
          <w:sz w:val="24"/>
          <w:szCs w:val="24"/>
          <w:lang w:eastAsia="de-DE"/>
        </w:rPr>
        <w:t xml:space="preserve"> </w:t>
      </w:r>
      <w:r w:rsidR="00043D94">
        <w:rPr>
          <w:rFonts w:ascii="Arial" w:eastAsia="Times New Roman" w:hAnsi="Arial" w:cs="Arial"/>
          <w:sz w:val="24"/>
          <w:szCs w:val="24"/>
          <w:lang w:eastAsia="de-DE"/>
        </w:rPr>
        <w:t xml:space="preserve"> (eingeschränkt überprüfbar) </w:t>
      </w:r>
      <w:r>
        <w:rPr>
          <w:rFonts w:ascii="Arial" w:eastAsia="Times New Roman" w:hAnsi="Arial" w:cs="Arial"/>
          <w:i/>
          <w:sz w:val="24"/>
          <w:szCs w:val="24"/>
          <w:lang w:eastAsia="de-DE"/>
        </w:rPr>
        <w:t xml:space="preserve">Beurteilungsspielraum bei hoch komplexen </w:t>
      </w:r>
    </w:p>
    <w:p w:rsidR="0083440C" w:rsidRDefault="00043D94" w:rsidP="00043D94">
      <w:pPr>
        <w:spacing w:before="100" w:beforeAutospacing="1" w:after="100" w:afterAutospacing="1" w:line="240" w:lineRule="auto"/>
        <w:rPr>
          <w:rFonts w:ascii="Arial" w:eastAsia="Times New Roman" w:hAnsi="Arial" w:cs="Arial"/>
          <w:i/>
          <w:sz w:val="24"/>
          <w:szCs w:val="24"/>
          <w:lang w:eastAsia="de-DE"/>
        </w:rPr>
      </w:pPr>
      <w:r>
        <w:rPr>
          <w:rFonts w:ascii="Arial" w:eastAsia="Times New Roman" w:hAnsi="Arial" w:cs="Arial"/>
          <w:i/>
          <w:sz w:val="24"/>
          <w:szCs w:val="24"/>
          <w:lang w:eastAsia="de-DE"/>
        </w:rPr>
        <w:t xml:space="preserve">                                                                 </w:t>
      </w:r>
      <w:r w:rsidR="0083440C">
        <w:rPr>
          <w:rFonts w:ascii="Arial" w:eastAsia="Times New Roman" w:hAnsi="Arial" w:cs="Arial"/>
          <w:i/>
          <w:sz w:val="24"/>
          <w:szCs w:val="24"/>
          <w:lang w:eastAsia="de-DE"/>
        </w:rPr>
        <w:t>Bewertungen und/o</w:t>
      </w:r>
      <w:r>
        <w:rPr>
          <w:rFonts w:ascii="Arial" w:eastAsia="Times New Roman" w:hAnsi="Arial" w:cs="Arial"/>
          <w:i/>
          <w:sz w:val="24"/>
          <w:szCs w:val="24"/>
          <w:lang w:eastAsia="de-DE"/>
        </w:rPr>
        <w:t xml:space="preserve">der </w:t>
      </w:r>
      <w:r w:rsidR="0083440C">
        <w:rPr>
          <w:rFonts w:ascii="Arial" w:eastAsia="Times New Roman" w:hAnsi="Arial" w:cs="Arial"/>
          <w:i/>
          <w:sz w:val="24"/>
          <w:szCs w:val="24"/>
          <w:lang w:eastAsia="de-DE"/>
        </w:rPr>
        <w:t>Prognosen</w:t>
      </w:r>
    </w:p>
    <w:p w:rsidR="0083440C" w:rsidRPr="008032E1" w:rsidRDefault="0083440C" w:rsidP="00874031">
      <w:pPr>
        <w:spacing w:before="100" w:beforeAutospacing="1" w:after="100" w:afterAutospacing="1" w:line="240" w:lineRule="auto"/>
        <w:rPr>
          <w:rFonts w:ascii="Arial" w:eastAsia="Times New Roman" w:hAnsi="Arial" w:cs="Arial"/>
          <w:b/>
          <w:i/>
          <w:sz w:val="40"/>
          <w:szCs w:val="40"/>
          <w:lang w:eastAsia="de-DE"/>
        </w:rPr>
      </w:pPr>
    </w:p>
    <w:p w:rsidR="008032E1" w:rsidRDefault="008032E1" w:rsidP="008032E1">
      <w:pPr>
        <w:spacing w:before="100" w:beforeAutospacing="1" w:after="100" w:afterAutospacing="1" w:line="240" w:lineRule="auto"/>
        <w:jc w:val="center"/>
        <w:rPr>
          <w:rFonts w:ascii="Arial" w:eastAsia="Times New Roman" w:hAnsi="Arial" w:cs="Arial"/>
          <w:b/>
          <w:sz w:val="40"/>
          <w:szCs w:val="40"/>
          <w:lang w:eastAsia="de-DE"/>
        </w:rPr>
      </w:pPr>
    </w:p>
    <w:p w:rsidR="00874031" w:rsidRDefault="008032E1" w:rsidP="008032E1">
      <w:pPr>
        <w:spacing w:before="100" w:beforeAutospacing="1" w:after="100" w:afterAutospacing="1" w:line="240" w:lineRule="auto"/>
        <w:jc w:val="center"/>
        <w:rPr>
          <w:rFonts w:ascii="Arial" w:eastAsia="Times New Roman" w:hAnsi="Arial" w:cs="Arial"/>
          <w:b/>
          <w:sz w:val="40"/>
          <w:szCs w:val="40"/>
          <w:lang w:eastAsia="de-DE"/>
        </w:rPr>
      </w:pPr>
      <w:r w:rsidRPr="008032E1">
        <w:rPr>
          <w:rFonts w:ascii="Arial" w:eastAsia="Times New Roman" w:hAnsi="Arial" w:cs="Arial"/>
          <w:b/>
          <w:sz w:val="40"/>
          <w:szCs w:val="40"/>
          <w:lang w:eastAsia="de-DE"/>
        </w:rPr>
        <w:t>Literaturverzeichnis</w:t>
      </w:r>
    </w:p>
    <w:p w:rsidR="00483C91" w:rsidRDefault="00483C91" w:rsidP="008032E1">
      <w:pPr>
        <w:spacing w:before="100" w:beforeAutospacing="1" w:after="100" w:afterAutospacing="1" w:line="240" w:lineRule="auto"/>
        <w:rPr>
          <w:rFonts w:ascii="Arial" w:eastAsia="Times New Roman" w:hAnsi="Arial" w:cs="Arial"/>
          <w:b/>
          <w:sz w:val="40"/>
          <w:szCs w:val="40"/>
          <w:lang w:eastAsia="de-DE"/>
        </w:rPr>
      </w:pPr>
    </w:p>
    <w:p w:rsidR="008032E1" w:rsidRDefault="008032E1" w:rsidP="008032E1">
      <w:pPr>
        <w:spacing w:before="100" w:beforeAutospacing="1" w:after="100" w:afterAutospacing="1" w:line="240" w:lineRule="auto"/>
      </w:pPr>
      <w:r>
        <w:rPr>
          <w:rStyle w:val="Funotenzeichen"/>
        </w:rPr>
        <w:footnoteRef/>
      </w:r>
      <w:r>
        <w:t xml:space="preserve"> Vgl. Rolf Schmidt „Allgemeines Verwaltungsrecht“  S. 99, 14 Auflage 2010</w:t>
      </w:r>
    </w:p>
    <w:p w:rsidR="008032E1" w:rsidRDefault="008032E1" w:rsidP="008032E1">
      <w:pPr>
        <w:spacing w:before="100" w:beforeAutospacing="1" w:after="100" w:afterAutospacing="1" w:line="240" w:lineRule="auto"/>
      </w:pPr>
      <w:r>
        <w:rPr>
          <w:rStyle w:val="Funotenzeichen"/>
        </w:rPr>
        <w:t>2</w:t>
      </w:r>
      <w:r>
        <w:t xml:space="preserve"> Vgl. Steffen Detterbeck, öffentliches Recht im Nebenfach,  S. 184</w:t>
      </w:r>
    </w:p>
    <w:p w:rsidR="008032E1" w:rsidRDefault="008032E1" w:rsidP="008032E1">
      <w:pPr>
        <w:spacing w:before="100" w:beforeAutospacing="1" w:after="100" w:afterAutospacing="1" w:line="240" w:lineRule="auto"/>
      </w:pPr>
      <w:r>
        <w:rPr>
          <w:rStyle w:val="Funotenzeichen"/>
        </w:rPr>
        <w:t>3</w:t>
      </w:r>
      <w:r>
        <w:t xml:space="preserve"> Vgl. Steffen Detterbeck, öffentliches Recht im Nebenfach,  S. 184-185</w:t>
      </w:r>
    </w:p>
    <w:p w:rsidR="008032E1" w:rsidRDefault="008032E1" w:rsidP="008032E1">
      <w:pPr>
        <w:spacing w:before="100" w:beforeAutospacing="1" w:after="100" w:afterAutospacing="1" w:line="240" w:lineRule="auto"/>
      </w:pPr>
      <w:r>
        <w:rPr>
          <w:rStyle w:val="Funotenzeichen"/>
        </w:rPr>
        <w:t>4</w:t>
      </w:r>
      <w:r>
        <w:t xml:space="preserve"> Vgl. Rolf Schmidt „Allgemeines Verwaltungsrecht“  S. 106 f., 14 Auflage 2010</w:t>
      </w:r>
    </w:p>
    <w:p w:rsidR="008032E1" w:rsidRDefault="008032E1" w:rsidP="008032E1">
      <w:pPr>
        <w:spacing w:before="100" w:beforeAutospacing="1" w:after="100" w:afterAutospacing="1" w:line="240" w:lineRule="auto"/>
      </w:pPr>
    </w:p>
    <w:p w:rsidR="008032E1" w:rsidRDefault="008032E1" w:rsidP="008032E1">
      <w:pPr>
        <w:spacing w:before="100" w:beforeAutospacing="1" w:after="100" w:afterAutospacing="1" w:line="240" w:lineRule="auto"/>
      </w:pPr>
    </w:p>
    <w:p w:rsidR="008032E1" w:rsidRDefault="008032E1" w:rsidP="008032E1">
      <w:pPr>
        <w:spacing w:before="100" w:beforeAutospacing="1" w:after="100" w:afterAutospacing="1" w:line="240" w:lineRule="auto"/>
      </w:pPr>
    </w:p>
    <w:p w:rsidR="008032E1" w:rsidRPr="008032E1" w:rsidRDefault="008032E1" w:rsidP="008032E1">
      <w:pPr>
        <w:spacing w:before="100" w:beforeAutospacing="1" w:after="100" w:afterAutospacing="1" w:line="240" w:lineRule="auto"/>
        <w:rPr>
          <w:rFonts w:ascii="Arial" w:eastAsia="Times New Roman" w:hAnsi="Arial" w:cs="Arial"/>
          <w:sz w:val="24"/>
          <w:szCs w:val="24"/>
          <w:lang w:eastAsia="de-DE"/>
        </w:rPr>
      </w:pPr>
    </w:p>
    <w:p w:rsidR="008032E1" w:rsidRDefault="008032E1" w:rsidP="008032E1">
      <w:pPr>
        <w:spacing w:before="100" w:beforeAutospacing="1" w:after="100" w:afterAutospacing="1" w:line="240" w:lineRule="auto"/>
        <w:jc w:val="center"/>
        <w:rPr>
          <w:rFonts w:ascii="Arial" w:eastAsia="Times New Roman" w:hAnsi="Arial" w:cs="Arial"/>
          <w:b/>
          <w:sz w:val="40"/>
          <w:szCs w:val="40"/>
          <w:lang w:eastAsia="de-DE"/>
        </w:rPr>
      </w:pPr>
    </w:p>
    <w:p w:rsidR="008032E1" w:rsidRPr="008032E1" w:rsidRDefault="008032E1" w:rsidP="008032E1">
      <w:pPr>
        <w:spacing w:before="100" w:beforeAutospacing="1" w:after="100" w:afterAutospacing="1" w:line="240" w:lineRule="auto"/>
        <w:jc w:val="center"/>
        <w:rPr>
          <w:rFonts w:ascii="Arial" w:eastAsia="Times New Roman" w:hAnsi="Arial" w:cs="Arial"/>
          <w:sz w:val="40"/>
          <w:szCs w:val="40"/>
          <w:lang w:eastAsia="de-DE"/>
        </w:rPr>
      </w:pPr>
    </w:p>
    <w:p w:rsidR="008032E1" w:rsidRDefault="008032E1" w:rsidP="008032E1">
      <w:pPr>
        <w:spacing w:before="100" w:beforeAutospacing="1" w:after="100" w:afterAutospacing="1" w:line="240" w:lineRule="auto"/>
        <w:jc w:val="center"/>
        <w:rPr>
          <w:rFonts w:ascii="Arial" w:eastAsia="Times New Roman" w:hAnsi="Arial" w:cs="Arial"/>
          <w:b/>
          <w:sz w:val="40"/>
          <w:szCs w:val="40"/>
          <w:lang w:eastAsia="de-DE"/>
        </w:rPr>
      </w:pPr>
    </w:p>
    <w:p w:rsidR="008032E1" w:rsidRPr="008032E1" w:rsidRDefault="008032E1" w:rsidP="008032E1">
      <w:pPr>
        <w:spacing w:before="100" w:beforeAutospacing="1" w:after="100" w:afterAutospacing="1" w:line="240" w:lineRule="auto"/>
        <w:jc w:val="center"/>
        <w:rPr>
          <w:rFonts w:ascii="Arial" w:eastAsia="Times New Roman" w:hAnsi="Arial" w:cs="Arial"/>
          <w:b/>
          <w:sz w:val="40"/>
          <w:szCs w:val="40"/>
          <w:lang w:eastAsia="de-DE"/>
        </w:rPr>
      </w:pPr>
    </w:p>
    <w:p w:rsidR="00AE38B6" w:rsidRDefault="00AE38B6" w:rsidP="004C6D0F">
      <w:pPr>
        <w:rPr>
          <w:rFonts w:ascii="Arial" w:hAnsi="Arial" w:cs="Arial"/>
          <w:sz w:val="24"/>
          <w:szCs w:val="24"/>
        </w:rPr>
      </w:pPr>
    </w:p>
    <w:p w:rsidR="00DF06EF" w:rsidRPr="00DF06EF" w:rsidRDefault="00DF06EF" w:rsidP="004C6D0F">
      <w:pPr>
        <w:rPr>
          <w:rFonts w:ascii="Arial" w:hAnsi="Arial" w:cs="Arial"/>
          <w:sz w:val="24"/>
          <w:szCs w:val="24"/>
        </w:rPr>
      </w:pPr>
    </w:p>
    <w:p w:rsidR="00905F7C" w:rsidRPr="00905F7C" w:rsidRDefault="00905F7C" w:rsidP="004C6D0F">
      <w:pPr>
        <w:rPr>
          <w:rFonts w:ascii="Arial" w:hAnsi="Arial" w:cs="Arial"/>
          <w:sz w:val="24"/>
          <w:szCs w:val="24"/>
        </w:rPr>
      </w:pPr>
    </w:p>
    <w:p w:rsidR="002555D0" w:rsidRPr="002555D0" w:rsidRDefault="00DF2EBC" w:rsidP="004C6D0F">
      <w:pPr>
        <w:rPr>
          <w:rFonts w:ascii="Arial" w:hAnsi="Arial" w:cs="Arial"/>
          <w:i/>
        </w:rPr>
      </w:pPr>
      <w:r>
        <w:rPr>
          <w:rFonts w:ascii="Arial" w:hAnsi="Arial" w:cs="Arial"/>
          <w:i/>
        </w:rPr>
        <w:t xml:space="preserve">   </w:t>
      </w:r>
      <w:bookmarkStart w:id="0" w:name="_GoBack"/>
      <w:bookmarkEnd w:id="0"/>
    </w:p>
    <w:p w:rsidR="003C33D3" w:rsidRDefault="003C33D3" w:rsidP="004C6D0F">
      <w:pPr>
        <w:rPr>
          <w:rFonts w:ascii="Arial" w:hAnsi="Arial" w:cs="Arial"/>
          <w:b/>
          <w:i/>
          <w:sz w:val="24"/>
          <w:szCs w:val="24"/>
        </w:rPr>
      </w:pPr>
    </w:p>
    <w:p w:rsidR="003C33D3" w:rsidRPr="003C33D3" w:rsidRDefault="003C33D3" w:rsidP="004C6D0F">
      <w:pPr>
        <w:rPr>
          <w:rFonts w:ascii="Arial" w:hAnsi="Arial" w:cs="Arial"/>
          <w:sz w:val="24"/>
          <w:szCs w:val="24"/>
        </w:rPr>
      </w:pPr>
    </w:p>
    <w:p w:rsidR="00404967" w:rsidRPr="00AF6A52" w:rsidRDefault="00404967" w:rsidP="004C6D0F">
      <w:pPr>
        <w:rPr>
          <w:rFonts w:ascii="Arial" w:hAnsi="Arial" w:cs="Arial"/>
        </w:rPr>
      </w:pPr>
    </w:p>
    <w:p w:rsidR="00AC2C0F" w:rsidRPr="00AC2C0F" w:rsidRDefault="00AC2C0F" w:rsidP="004C6D0F">
      <w:pPr>
        <w:rPr>
          <w:rFonts w:ascii="Arial" w:hAnsi="Arial" w:cs="Arial"/>
          <w:sz w:val="24"/>
          <w:szCs w:val="24"/>
        </w:rPr>
      </w:pPr>
    </w:p>
    <w:p w:rsidR="00FF6C12" w:rsidRDefault="00FF6C12" w:rsidP="004C6D0F">
      <w:pPr>
        <w:rPr>
          <w:rFonts w:ascii="Arial" w:hAnsi="Arial" w:cs="Arial"/>
          <w:sz w:val="24"/>
          <w:szCs w:val="24"/>
        </w:rPr>
      </w:pPr>
    </w:p>
    <w:p w:rsidR="004C6D0F" w:rsidRPr="00FC12E6" w:rsidRDefault="004C6D0F" w:rsidP="00FC12E6">
      <w:pPr>
        <w:autoSpaceDE w:val="0"/>
        <w:autoSpaceDN w:val="0"/>
        <w:adjustRightInd w:val="0"/>
        <w:spacing w:after="0" w:line="240" w:lineRule="auto"/>
        <w:rPr>
          <w:rFonts w:ascii="Arial" w:hAnsi="Arial" w:cs="Arial"/>
          <w:sz w:val="24"/>
          <w:szCs w:val="24"/>
        </w:rPr>
      </w:pPr>
    </w:p>
    <w:p w:rsidR="00840E48" w:rsidRPr="00840E48" w:rsidRDefault="00840E48" w:rsidP="00840E48">
      <w:pPr>
        <w:rPr>
          <w:rFonts w:ascii="Arial" w:hAnsi="Arial" w:cs="Arial"/>
          <w:sz w:val="24"/>
          <w:szCs w:val="24"/>
        </w:rPr>
      </w:pPr>
      <w:r>
        <w:rPr>
          <w:rFonts w:ascii="Arial" w:hAnsi="Arial" w:cs="Arial"/>
          <w:sz w:val="24"/>
          <w:szCs w:val="24"/>
        </w:rPr>
        <w:t xml:space="preserve">  </w:t>
      </w:r>
    </w:p>
    <w:sectPr w:rsidR="00840E48" w:rsidRPr="00840E48" w:rsidSect="00A92DA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88F" w:rsidRDefault="0076188F" w:rsidP="005B5EF8">
      <w:pPr>
        <w:spacing w:after="0" w:line="240" w:lineRule="auto"/>
      </w:pPr>
      <w:r>
        <w:separator/>
      </w:r>
    </w:p>
  </w:endnote>
  <w:endnote w:type="continuationSeparator" w:id="0">
    <w:p w:rsidR="0076188F" w:rsidRDefault="0076188F" w:rsidP="005B5E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88F" w:rsidRDefault="0076188F" w:rsidP="005B5EF8">
      <w:pPr>
        <w:spacing w:after="0" w:line="240" w:lineRule="auto"/>
      </w:pPr>
      <w:r>
        <w:separator/>
      </w:r>
    </w:p>
  </w:footnote>
  <w:footnote w:type="continuationSeparator" w:id="0">
    <w:p w:rsidR="0076188F" w:rsidRDefault="0076188F" w:rsidP="005B5EF8">
      <w:pPr>
        <w:spacing w:after="0" w:line="240" w:lineRule="auto"/>
      </w:pPr>
      <w:r>
        <w:continuationSeparator/>
      </w:r>
    </w:p>
  </w:footnote>
  <w:footnote w:id="1">
    <w:p w:rsidR="00FC12E6" w:rsidRDefault="00FC12E6">
      <w:pPr>
        <w:pStyle w:val="Funotentext"/>
      </w:pPr>
      <w:r>
        <w:rPr>
          <w:rStyle w:val="Funotenzeichen"/>
        </w:rPr>
        <w:footnoteRef/>
      </w:r>
      <w:r>
        <w:t xml:space="preserve"> Vgl. Rolf Schmidt „Allgemeines Verwaltungsrecht“  S. 99, 14 Auflage 2010</w:t>
      </w:r>
    </w:p>
  </w:footnote>
  <w:footnote w:id="2">
    <w:p w:rsidR="0086669B" w:rsidRDefault="0086669B">
      <w:pPr>
        <w:pStyle w:val="Funotentext"/>
      </w:pPr>
      <w:r>
        <w:rPr>
          <w:rStyle w:val="Funotenzeichen"/>
        </w:rPr>
        <w:footnoteRef/>
      </w:r>
      <w:r>
        <w:t xml:space="preserve"> Vgl. Steffen Detterbeck, öffentliches Recht im Nebenfach,  S. 184</w:t>
      </w:r>
    </w:p>
  </w:footnote>
  <w:footnote w:id="3">
    <w:p w:rsidR="00911E08" w:rsidRDefault="00911E08">
      <w:pPr>
        <w:pStyle w:val="Funotentext"/>
      </w:pPr>
      <w:r>
        <w:rPr>
          <w:rStyle w:val="Funotenzeichen"/>
        </w:rPr>
        <w:footnoteRef/>
      </w:r>
      <w:r>
        <w:t xml:space="preserve"> Vgl. Steffen Detterbeck, öffentliches Recht im Nebenfach,  S. 184-185</w:t>
      </w:r>
    </w:p>
  </w:footnote>
  <w:footnote w:id="4">
    <w:p w:rsidR="00911E08" w:rsidRDefault="00911E08">
      <w:pPr>
        <w:pStyle w:val="Funotentext"/>
      </w:pPr>
      <w:r>
        <w:rPr>
          <w:rStyle w:val="Funotenzeichen"/>
        </w:rPr>
        <w:footnoteRef/>
      </w:r>
      <w:r>
        <w:t xml:space="preserve"> Vgl. Rolf Schmidt „Allgemeines Verwaltungsrecht“  S. 106 f., 14 Auflage 2010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F7B33"/>
    <w:multiLevelType w:val="hybridMultilevel"/>
    <w:tmpl w:val="B41E5B0E"/>
    <w:lvl w:ilvl="0" w:tplc="6D82787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130C90"/>
    <w:multiLevelType w:val="hybridMultilevel"/>
    <w:tmpl w:val="CA4C7372"/>
    <w:lvl w:ilvl="0" w:tplc="AB6AAF5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D767F9"/>
    <w:multiLevelType w:val="hybridMultilevel"/>
    <w:tmpl w:val="EEC46734"/>
    <w:lvl w:ilvl="0" w:tplc="1B5E2D8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840E48"/>
    <w:rsid w:val="000115E3"/>
    <w:rsid w:val="00043D94"/>
    <w:rsid w:val="000F2B3D"/>
    <w:rsid w:val="001912D8"/>
    <w:rsid w:val="001C247B"/>
    <w:rsid w:val="002555D0"/>
    <w:rsid w:val="003C33D3"/>
    <w:rsid w:val="00404967"/>
    <w:rsid w:val="00483C91"/>
    <w:rsid w:val="004B632D"/>
    <w:rsid w:val="004C6D0F"/>
    <w:rsid w:val="00552EA3"/>
    <w:rsid w:val="0058098F"/>
    <w:rsid w:val="005B5EF8"/>
    <w:rsid w:val="005C01DC"/>
    <w:rsid w:val="005F0A9B"/>
    <w:rsid w:val="006701FF"/>
    <w:rsid w:val="00685D31"/>
    <w:rsid w:val="006D275A"/>
    <w:rsid w:val="0075194E"/>
    <w:rsid w:val="007561B9"/>
    <w:rsid w:val="0076188F"/>
    <w:rsid w:val="00790EFA"/>
    <w:rsid w:val="008032E1"/>
    <w:rsid w:val="0083440C"/>
    <w:rsid w:val="00840E48"/>
    <w:rsid w:val="0086669B"/>
    <w:rsid w:val="00874031"/>
    <w:rsid w:val="00890E36"/>
    <w:rsid w:val="008A521F"/>
    <w:rsid w:val="008F0E24"/>
    <w:rsid w:val="008F352A"/>
    <w:rsid w:val="00905F7C"/>
    <w:rsid w:val="00911E08"/>
    <w:rsid w:val="009333B6"/>
    <w:rsid w:val="00990D48"/>
    <w:rsid w:val="009D2C19"/>
    <w:rsid w:val="00A92DA7"/>
    <w:rsid w:val="00AB451F"/>
    <w:rsid w:val="00AC2C0F"/>
    <w:rsid w:val="00AE38B6"/>
    <w:rsid w:val="00AF6A52"/>
    <w:rsid w:val="00B65915"/>
    <w:rsid w:val="00BB4EB7"/>
    <w:rsid w:val="00C02BFE"/>
    <w:rsid w:val="00C131CC"/>
    <w:rsid w:val="00C1351D"/>
    <w:rsid w:val="00CB4B65"/>
    <w:rsid w:val="00D14974"/>
    <w:rsid w:val="00DF06EF"/>
    <w:rsid w:val="00DF2EBC"/>
    <w:rsid w:val="00E7608D"/>
    <w:rsid w:val="00EB57A7"/>
    <w:rsid w:val="00F7525C"/>
    <w:rsid w:val="00F94EA6"/>
    <w:rsid w:val="00FB6418"/>
    <w:rsid w:val="00FC12E6"/>
    <w:rsid w:val="00FF6C1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2DA7"/>
  </w:style>
  <w:style w:type="paragraph" w:styleId="berschrift1">
    <w:name w:val="heading 1"/>
    <w:basedOn w:val="Standard"/>
    <w:link w:val="berschrift1Zchn"/>
    <w:uiPriority w:val="9"/>
    <w:qFormat/>
    <w:rsid w:val="00B659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5B5E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5EF8"/>
    <w:rPr>
      <w:sz w:val="20"/>
      <w:szCs w:val="20"/>
    </w:rPr>
  </w:style>
  <w:style w:type="character" w:styleId="Funotenzeichen">
    <w:name w:val="footnote reference"/>
    <w:basedOn w:val="Absatz-Standardschriftart"/>
    <w:uiPriority w:val="99"/>
    <w:semiHidden/>
    <w:unhideWhenUsed/>
    <w:rsid w:val="005B5EF8"/>
    <w:rPr>
      <w:vertAlign w:val="superscript"/>
    </w:rPr>
  </w:style>
  <w:style w:type="character" w:customStyle="1" w:styleId="berschrift1Zchn">
    <w:name w:val="Überschrift 1 Zchn"/>
    <w:basedOn w:val="Absatz-Standardschriftart"/>
    <w:link w:val="berschrift1"/>
    <w:uiPriority w:val="9"/>
    <w:rsid w:val="00B65915"/>
    <w:rPr>
      <w:rFonts w:ascii="Times New Roman" w:eastAsia="Times New Roman" w:hAnsi="Times New Roman" w:cs="Times New Roman"/>
      <w:b/>
      <w:bCs/>
      <w:kern w:val="36"/>
      <w:sz w:val="48"/>
      <w:szCs w:val="48"/>
      <w:lang w:eastAsia="de-DE"/>
    </w:rPr>
  </w:style>
  <w:style w:type="character" w:customStyle="1" w:styleId="jnentitel">
    <w:name w:val="jnentitel"/>
    <w:basedOn w:val="Absatz-Standardschriftart"/>
    <w:rsid w:val="00B65915"/>
  </w:style>
  <w:style w:type="paragraph" w:styleId="Listenabsatz">
    <w:name w:val="List Paragraph"/>
    <w:basedOn w:val="Standard"/>
    <w:uiPriority w:val="34"/>
    <w:qFormat/>
    <w:rsid w:val="00E760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85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36364B-7D94-4D00-AE02-96C2A23F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1025</Words>
  <Characters>6461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Lehmann, Jewgeni</dc:creator>
  <cp:lastModifiedBy>schora</cp:lastModifiedBy>
  <cp:revision>18</cp:revision>
  <dcterms:created xsi:type="dcterms:W3CDTF">2017-05-03T21:01:00Z</dcterms:created>
  <dcterms:modified xsi:type="dcterms:W3CDTF">2017-05-05T20:53:00Z</dcterms:modified>
</cp:coreProperties>
</file>