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087"/>
      </w:tblGrid>
      <w:tr>
        <w:tc>
          <w:tcPr>
            <w:tcW w:type="dxa" w:w="4933"/>
            <w:shd w:fill="1A1714"/>
            <w:tcBorders>
              <w:top w:val="single" w:sz="8" w:space="0" w:color="1A1714"/>
              <w:left w:val="single" w:sz="8" w:space="0" w:color="1A1714"/>
              <w:bottom w:val="single" w:sz="8" w:space="0" w:color="1A1714"/>
              <w:right w:val="single" w:sz="8" w:space="0" w:color="1A1714"/>
            </w:tcBorders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70000" cy="33428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e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00" cy="3342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tcBorders>
              <w:top w:val="single" w:sz="8" w:space="0" w:color="F2E7DB"/>
              <w:left w:val="single" w:sz="8" w:space="0" w:color="F2E7DB"/>
              <w:bottom w:val="single" w:sz="8" w:space="0" w:color="F2E7DB"/>
              <w:right w:val="single" w:sz="8" w:space="0" w:color="F2E7DB"/>
            </w:tcBorders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A55A19"/>
                <w:sz w:val="24"/>
              </w:rPr>
              <w:t>课程手册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PingFang SC" w:hAnsi="PingFang SC" w:eastAsia="PingFang SC"/>
          <w:b/>
          <w:color w:val="1F1A17"/>
          <w:sz w:val="48"/>
        </w:rPr>
        <w:t>OPC 型开发者转型与 AI Coding 实战课</w:t>
      </w:r>
    </w:p>
    <w:p>
      <w:pPr>
        <w:spacing w:after="200"/>
      </w:pPr>
      <w:r>
        <w:rPr>
          <w:rFonts w:ascii="PingFang SC" w:hAnsi="PingFang SC" w:eastAsia="PingFang SC"/>
          <w:b/>
          <w:color w:val="A55A19"/>
          <w:sz w:val="28"/>
        </w:rPr>
        <w:t>课程手册</w:t>
      </w:r>
    </w:p>
    <w:p>
      <w:pPr>
        <w:spacing w:after="160"/>
      </w:pPr>
      <w:r>
        <w:rPr>
          <w:rFonts w:ascii="PingFang SC" w:hAnsi="PingFang SC" w:eastAsia="PingFang SC"/>
          <w:b w:val="0"/>
          <w:color w:val="4D4035"/>
          <w:sz w:val="22"/>
        </w:rPr>
        <w:t>这门课程主要面向开发者背景的学员，尤其适合公司内部具备技术背景，并希望转型为类 OPC 团队的学员。课程将从开发者视角出发，系统讲清什么是 OPC，以及为什么当下全球范围内越来越多的人正在向 OPC 转型。我们会重点讨论技术人员如何掌握转型 OPC 所需要的关键能力，也会讲解技术人员应如何抓住 AI Coding Tools 带来的独特技术红利，将自己的工程能力转化为更强的个人竞争力与业务价值。</w:t>
      </w:r>
    </w:p>
    <w:p>
      <w:pPr>
        <w:spacing w:after="280"/>
      </w:pPr>
      <w:r>
        <w:rPr>
          <w:rFonts w:ascii="PingFang SC" w:hAnsi="PingFang SC" w:eastAsia="PingFang SC"/>
          <w:b w:val="0"/>
          <w:color w:val="4D4035"/>
          <w:sz w:val="22"/>
        </w:rPr>
        <w:t>希望通过这门课，让开发者不仅能把代码写得更快、更好，也能真正看懂趋势、抓住机会，并在新的环境里完成从技术执行者到能独立发现问题、解决问题的 OPC 型全能人才升级。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7427"/>
      </w:tblGrid>
      <w:tr>
        <w:tc>
          <w:tcPr>
            <w:tcW w:type="dxa" w:w="4933"/>
            <w:shd w:fill="FBF6F0"/>
            <w:tcBorders>
              <w:top w:val="single" w:sz="8" w:space="0" w:color="E4D7CA"/>
              <w:left w:val="single" w:sz="8" w:space="0" w:color="E4D7CA"/>
              <w:bottom w:val="single" w:sz="8" w:space="0" w:color="E4D7CA"/>
              <w:right w:val="single" w:sz="8" w:space="0" w:color="E4D7CA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10515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e-avatar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51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fill="FBF6F0"/>
            <w:tcBorders>
              <w:top w:val="single" w:sz="8" w:space="0" w:color="E4D7CA"/>
              <w:left w:val="single" w:sz="8" w:space="0" w:color="E4D7CA"/>
              <w:bottom w:val="single" w:sz="8" w:space="0" w:color="E4D7CA"/>
              <w:right w:val="single" w:sz="8" w:space="0" w:color="E4D7CA"/>
            </w:tcBorders>
            <w:vAlign w:val="center"/>
          </w:tcPr>
          <w:p>
            <w:pPr>
              <w:spacing w:after="40"/>
            </w:pPr>
            <w:r>
              <w:rPr>
                <w:rFonts w:ascii="PingFang SC" w:hAnsi="PingFang SC" w:eastAsia="PingFang SC"/>
                <w:b/>
                <w:color w:val="1F1A17"/>
                <w:sz w:val="28"/>
              </w:rPr>
              <w:t>张雨霏 · affe</w:t>
            </w:r>
          </w:p>
          <w:p>
            <w:pPr>
              <w:spacing w:after="100"/>
            </w:pPr>
            <w:r>
              <w:rPr>
                <w:rFonts w:ascii="PingFang SC" w:hAnsi="PingFang SC" w:eastAsia="PingFang SC"/>
                <w:b/>
                <w:color w:val="A55A19"/>
                <w:sz w:val="21"/>
              </w:rPr>
              <w:t>Einko 联合创始人 / AI Coding 实践者 / Apache RocketMQ Committer</w:t>
            </w:r>
          </w:p>
          <w:p>
            <w:pPr>
              <w:spacing w:after="40"/>
              <w:ind w:left="283" w:hanging="198"/>
            </w:pPr>
            <w:r>
              <w:rPr>
                <w:rFonts w:ascii="PingFang SC" w:hAnsi="PingFang SC" w:eastAsia="PingFang SC"/>
                <w:b w:val="0"/>
                <w:color w:val="4D4035"/>
                <w:sz w:val="21"/>
              </w:rPr>
              <w:t>• 鸿鹄汇早期入驻团队 Einko 联合创始人</w:t>
            </w:r>
          </w:p>
          <w:p>
            <w:pPr>
              <w:spacing w:after="40"/>
              <w:ind w:left="283" w:hanging="198"/>
            </w:pPr>
            <w:r>
              <w:rPr>
                <w:rFonts w:ascii="PingFang SC" w:hAnsi="PingFang SC" w:eastAsia="PingFang SC"/>
                <w:b w:val="0"/>
                <w:color w:val="4D4035"/>
                <w:sz w:val="21"/>
              </w:rPr>
              <w:t>• 前 Looki Agent 开发工程师，阿里巴巴国际人才孵化中心签约讲师</w:t>
            </w:r>
          </w:p>
          <w:p>
            <w:pPr>
              <w:spacing w:after="40"/>
              <w:ind w:left="283" w:hanging="198"/>
            </w:pPr>
            <w:r>
              <w:rPr>
                <w:rFonts w:ascii="PingFang SC" w:hAnsi="PingFang SC" w:eastAsia="PingFang SC"/>
                <w:b w:val="0"/>
                <w:color w:val="4D4035"/>
                <w:sz w:val="21"/>
              </w:rPr>
              <w:t>• 曾先后在阿里云、腾讯音乐、三星、Splunk、StreamNative 工作</w:t>
            </w:r>
          </w:p>
          <w:p>
            <w:pPr>
              <w:spacing w:after="40"/>
              <w:ind w:left="283" w:hanging="198"/>
            </w:pPr>
            <w:r>
              <w:rPr>
                <w:rFonts w:ascii="PingFang SC" w:hAnsi="PingFang SC" w:eastAsia="PingFang SC"/>
                <w:b w:val="0"/>
                <w:color w:val="4D4035"/>
                <w:sz w:val="21"/>
              </w:rPr>
              <w:t>• 长期在 OPC 环境里使用 AI 工具搭建真实业务自动化工作流，积累了大量 AI Coding 踩坑经验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6E7"/>
            <w:tcBorders>
              <w:top w:val="single" w:sz="8" w:space="0" w:color="E5C9A3"/>
              <w:left w:val="single" w:sz="8" w:space="0" w:color="E5C9A3"/>
              <w:bottom w:val="single" w:sz="8" w:space="0" w:color="E5C9A3"/>
              <w:right w:val="single" w:sz="8" w:space="0" w:color="E5C9A3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color w:val="5A4636"/>
                <w:sz w:val="21"/>
              </w:rPr>
              <w:t>适合人群：开发者、独立开发者、小团队创业者，以及希望用 AI Coding 工具放大个人产能的人。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PingFang SC" w:hAnsi="PingFang SC" w:eastAsia="PingFang SC"/>
          <w:b/>
          <w:color w:val="1F1A17"/>
          <w:sz w:val="36"/>
        </w:rPr>
        <w:t>课程时间线</w:t>
      </w:r>
    </w:p>
    <w:p>
      <w:pPr>
        <w:spacing w:after="200"/>
      </w:pPr>
      <w:r>
        <w:rPr>
          <w:rFonts w:ascii="PingFang SC" w:hAnsi="PingFang SC" w:eastAsia="PingFang SC"/>
          <w:b w:val="0"/>
          <w:color w:val="5A4636"/>
          <w:sz w:val="21"/>
        </w:rPr>
        <w:t>课程共 8 个模块，覆盖趋势判断、商业模式、AI Coding、自动化测试、项目管理与通用智能体能力。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824"/>
      </w:tblGrid>
      <w:tr>
        <w:tc>
          <w:tcPr>
            <w:tcW w:type="dxa" w:w="4933"/>
            <w:shd w:fill="1A1714"/>
            <w:tcBorders>
              <w:top w:val="single" w:sz="8" w:space="0" w:color="1A1714"/>
              <w:left w:val="single" w:sz="8" w:space="0" w:color="1A1714"/>
              <w:bottom w:val="single" w:sz="8" w:space="0" w:color="1A1714"/>
              <w:right w:val="single" w:sz="8" w:space="0" w:color="1A1714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6EFE8"/>
                <w:sz w:val="22"/>
              </w:rPr>
              <w:t>时间</w:t>
            </w:r>
          </w:p>
        </w:tc>
        <w:tc>
          <w:tcPr>
            <w:tcW w:type="dxa" w:w="4933"/>
            <w:shd w:fill="1A1714"/>
            <w:tcBorders>
              <w:top w:val="single" w:sz="8" w:space="0" w:color="1A1714"/>
              <w:left w:val="single" w:sz="8" w:space="0" w:color="1A1714"/>
              <w:bottom w:val="single" w:sz="8" w:space="0" w:color="1A1714"/>
              <w:right w:val="single" w:sz="8" w:space="0" w:color="1A1714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6EFE8"/>
                <w:sz w:val="22"/>
              </w:rPr>
              <w:t>模块</w:t>
            </w:r>
          </w:p>
        </w:tc>
      </w:tr>
      <w:tr>
        <w:tc>
          <w:tcPr>
            <w:tcW w:type="dxa" w:w="1928"/>
            <w:tcBorders>
              <w:top w:val="single" w:sz="8" w:space="0" w:color="D6C6B8"/>
              <w:left w:val="single" w:sz="8" w:space="0" w:color="D6C6B8"/>
              <w:bottom w:val="single" w:sz="8" w:space="0" w:color="D6C6B8"/>
              <w:right w:val="single" w:sz="8" w:space="0" w:color="D6C6B8"/>
            </w:tcBorders>
            <w:shd w:fill="F8F1E9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5A4636"/>
                <w:sz w:val="21"/>
              </w:rPr>
              <w:t>09:00 - 09:45</w:t>
            </w:r>
          </w:p>
        </w:tc>
        <w:tc>
          <w:tcPr>
            <w:tcW w:type="dxa" w:w="7824"/>
            <w:tcBorders>
              <w:top w:val="single" w:sz="8" w:space="0" w:color="D6C6B8"/>
              <w:left w:val="single" w:sz="8" w:space="0" w:color="D6C6B8"/>
              <w:bottom w:val="single" w:sz="8" w:space="0" w:color="D6C6B8"/>
              <w:right w:val="single" w:sz="8" w:space="0" w:color="D6C6B8"/>
            </w:tcBorders>
          </w:tcPr>
          <w:p>
            <w:pPr>
              <w:spacing w:after="40"/>
            </w:pPr>
            <w:r>
              <w:rPr>
                <w:rFonts w:ascii="PingFang SC" w:hAnsi="PingFang SC" w:eastAsia="PingFang SC"/>
                <w:b/>
                <w:color w:val="1F1A17"/>
                <w:sz w:val="21"/>
              </w:rPr>
              <w:t>OPC 政策与创业趋势 + 鸿鹄汇创业政策详解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OPC 政策与创业趋势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鸿鹄汇的简单介绍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OPC 产生的原因与时代趋势下的业务逻辑改变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技术给开发者带来的红利与挑战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小团队的灵活性与挑战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如何充分利用平台给创作者的激励</w:t>
            </w:r>
          </w:p>
        </w:tc>
      </w:tr>
      <w:tr>
        <w:tc>
          <w:tcPr>
            <w:tcW w:type="dxa" w:w="1928"/>
            <w:tcBorders>
              <w:top w:val="single" w:sz="8" w:space="0" w:color="D6C6B8"/>
              <w:left w:val="single" w:sz="8" w:space="0" w:color="D6C6B8"/>
              <w:bottom w:val="single" w:sz="8" w:space="0" w:color="D6C6B8"/>
              <w:right w:val="single" w:sz="8" w:space="0" w:color="D6C6B8"/>
            </w:tcBorders>
            <w:shd w:fill="F8F1E9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5A4636"/>
                <w:sz w:val="21"/>
              </w:rPr>
              <w:t>09:50 - 10:35</w:t>
            </w:r>
          </w:p>
        </w:tc>
        <w:tc>
          <w:tcPr>
            <w:tcW w:type="dxa" w:w="7824"/>
            <w:tcBorders>
              <w:top w:val="single" w:sz="8" w:space="0" w:color="D6C6B8"/>
              <w:left w:val="single" w:sz="8" w:space="0" w:color="D6C6B8"/>
              <w:bottom w:val="single" w:sz="8" w:space="0" w:color="D6C6B8"/>
              <w:right w:val="single" w:sz="8" w:space="0" w:color="D6C6B8"/>
            </w:tcBorders>
          </w:tcPr>
          <w:p>
            <w:pPr>
              <w:spacing w:after="40"/>
            </w:pPr>
            <w:r>
              <w:rPr>
                <w:rFonts w:ascii="PingFang SC" w:hAnsi="PingFang SC" w:eastAsia="PingFang SC"/>
                <w:b/>
                <w:color w:val="1F1A17"/>
                <w:sz w:val="21"/>
              </w:rPr>
              <w:t>OPC 的 AI 信息差与利用创业红利：新的范式和思维上的转变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开发者的挑战：做内容以及吸引注意力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个人 IP 之所以如此重要的底层逻辑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用信息差赚钱不要有耻感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如何克服营销羞耻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现金流的重要性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成为 OPC 意味着什么，为什么做好一家公司仍然很困难</w:t>
            </w:r>
          </w:p>
        </w:tc>
      </w:tr>
      <w:tr>
        <w:tc>
          <w:tcPr>
            <w:tcW w:type="dxa" w:w="1928"/>
            <w:tcBorders>
              <w:top w:val="single" w:sz="8" w:space="0" w:color="D6C6B8"/>
              <w:left w:val="single" w:sz="8" w:space="0" w:color="D6C6B8"/>
              <w:bottom w:val="single" w:sz="8" w:space="0" w:color="D6C6B8"/>
              <w:right w:val="single" w:sz="8" w:space="0" w:color="D6C6B8"/>
            </w:tcBorders>
            <w:shd w:fill="F8F1E9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5A4636"/>
                <w:sz w:val="21"/>
              </w:rPr>
              <w:t>10:45 - 11:30</w:t>
            </w:r>
          </w:p>
        </w:tc>
        <w:tc>
          <w:tcPr>
            <w:tcW w:type="dxa" w:w="7824"/>
            <w:tcBorders>
              <w:top w:val="single" w:sz="8" w:space="0" w:color="D6C6B8"/>
              <w:left w:val="single" w:sz="8" w:space="0" w:color="D6C6B8"/>
              <w:bottom w:val="single" w:sz="8" w:space="0" w:color="D6C6B8"/>
              <w:right w:val="single" w:sz="8" w:space="0" w:color="D6C6B8"/>
            </w:tcBorders>
          </w:tcPr>
          <w:p>
            <w:pPr>
              <w:spacing w:after="40"/>
            </w:pPr>
            <w:r>
              <w:rPr>
                <w:rFonts w:ascii="PingFang SC" w:hAnsi="PingFang SC" w:eastAsia="PingFang SC"/>
                <w:b/>
                <w:color w:val="1F1A17"/>
                <w:sz w:val="21"/>
              </w:rPr>
              <w:t>OPC 的商业行动画布与常见商业模式分享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OPC 的商业模式分析框架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独立开发者 / 自媒体 / 外包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知识付费 / 现金流互联网产品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其他商业模式：电商等</w:t>
            </w:r>
          </w:p>
        </w:tc>
      </w:tr>
      <w:tr>
        <w:tc>
          <w:tcPr>
            <w:tcW w:type="dxa" w:w="1928"/>
            <w:tcBorders>
              <w:top w:val="single" w:sz="8" w:space="0" w:color="D6C6B8"/>
              <w:left w:val="single" w:sz="8" w:space="0" w:color="D6C6B8"/>
              <w:bottom w:val="single" w:sz="8" w:space="0" w:color="D6C6B8"/>
              <w:right w:val="single" w:sz="8" w:space="0" w:color="D6C6B8"/>
            </w:tcBorders>
            <w:shd w:fill="F8F1E9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5A4636"/>
                <w:sz w:val="21"/>
              </w:rPr>
              <w:t>13:30 - 14:15</w:t>
            </w:r>
          </w:p>
        </w:tc>
        <w:tc>
          <w:tcPr>
            <w:tcW w:type="dxa" w:w="7824"/>
            <w:tcBorders>
              <w:top w:val="single" w:sz="8" w:space="0" w:color="D6C6B8"/>
              <w:left w:val="single" w:sz="8" w:space="0" w:color="D6C6B8"/>
              <w:bottom w:val="single" w:sz="8" w:space="0" w:color="D6C6B8"/>
              <w:right w:val="single" w:sz="8" w:space="0" w:color="D6C6B8"/>
            </w:tcBorders>
          </w:tcPr>
          <w:p>
            <w:pPr>
              <w:spacing w:after="40"/>
            </w:pPr>
            <w:r>
              <w:rPr>
                <w:rFonts w:ascii="PingFang SC" w:hAnsi="PingFang SC" w:eastAsia="PingFang SC"/>
                <w:b/>
                <w:color w:val="1F1A17"/>
                <w:sz w:val="21"/>
              </w:rPr>
              <w:t>OPC 代码开发：Claude Code、Codex 的基本配置和使用逻辑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放弃手写代码，认识到代码是 OPC 时代里不稀缺的资源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从 Vibe Coding 氛围编程到 Agentic Engineering 智能体工程化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什么是 Agentic Engineering、Spec Harness 与 gstacks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Codex 与 Claude Code 的使用场景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语音输入、remote-control、loop、Skills 与 agent 设置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如何在手机上随时随地写代码</w:t>
            </w:r>
          </w:p>
        </w:tc>
      </w:tr>
      <w:tr>
        <w:tc>
          <w:tcPr>
            <w:tcW w:type="dxa" w:w="1928"/>
            <w:tcBorders>
              <w:top w:val="single" w:sz="8" w:space="0" w:color="D6C6B8"/>
              <w:left w:val="single" w:sz="8" w:space="0" w:color="D6C6B8"/>
              <w:bottom w:val="single" w:sz="8" w:space="0" w:color="D6C6B8"/>
              <w:right w:val="single" w:sz="8" w:space="0" w:color="D6C6B8"/>
            </w:tcBorders>
            <w:shd w:fill="F8F1E9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5A4636"/>
                <w:sz w:val="21"/>
              </w:rPr>
              <w:t>14:20 - 15:05</w:t>
            </w:r>
          </w:p>
        </w:tc>
        <w:tc>
          <w:tcPr>
            <w:tcW w:type="dxa" w:w="7824"/>
            <w:tcBorders>
              <w:top w:val="single" w:sz="8" w:space="0" w:color="D6C6B8"/>
              <w:left w:val="single" w:sz="8" w:space="0" w:color="D6C6B8"/>
              <w:bottom w:val="single" w:sz="8" w:space="0" w:color="D6C6B8"/>
              <w:right w:val="single" w:sz="8" w:space="0" w:color="D6C6B8"/>
            </w:tcBorders>
          </w:tcPr>
          <w:p>
            <w:pPr>
              <w:spacing w:after="40"/>
            </w:pPr>
            <w:r>
              <w:rPr>
                <w:rFonts w:ascii="PingFang SC" w:hAnsi="PingFang SC" w:eastAsia="PingFang SC"/>
                <w:b/>
                <w:color w:val="1F1A17"/>
                <w:sz w:val="21"/>
              </w:rPr>
              <w:t>OPC 代码开发：设计到交付全流程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htmltodesign：好的设计从模仿开始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Framer / Paper / Variant：有品味的设计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如何判断值得做的品类，从模仿成熟赛道开始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如何通过 gstacks 启动项目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如何培养 OPC 的设计品味</w:t>
            </w:r>
          </w:p>
        </w:tc>
      </w:tr>
      <w:tr>
        <w:tc>
          <w:tcPr>
            <w:tcW w:type="dxa" w:w="1928"/>
            <w:tcBorders>
              <w:top w:val="single" w:sz="8" w:space="0" w:color="D6C6B8"/>
              <w:left w:val="single" w:sz="8" w:space="0" w:color="D6C6B8"/>
              <w:bottom w:val="single" w:sz="8" w:space="0" w:color="D6C6B8"/>
              <w:right w:val="single" w:sz="8" w:space="0" w:color="D6C6B8"/>
            </w:tcBorders>
            <w:shd w:fill="F8F1E9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5A4636"/>
                <w:sz w:val="21"/>
              </w:rPr>
              <w:t>15:10 - 15:55</w:t>
            </w:r>
          </w:p>
        </w:tc>
        <w:tc>
          <w:tcPr>
            <w:tcW w:type="dxa" w:w="7824"/>
            <w:tcBorders>
              <w:top w:val="single" w:sz="8" w:space="0" w:color="D6C6B8"/>
              <w:left w:val="single" w:sz="8" w:space="0" w:color="D6C6B8"/>
              <w:bottom w:val="single" w:sz="8" w:space="0" w:color="D6C6B8"/>
              <w:right w:val="single" w:sz="8" w:space="0" w:color="D6C6B8"/>
            </w:tcBorders>
          </w:tcPr>
          <w:p>
            <w:pPr>
              <w:spacing w:after="40"/>
            </w:pPr>
            <w:r>
              <w:rPr>
                <w:rFonts w:ascii="PingFang SC" w:hAnsi="PingFang SC" w:eastAsia="PingFang SC"/>
                <w:b/>
                <w:color w:val="1F1A17"/>
                <w:sz w:val="21"/>
              </w:rPr>
              <w:t>OPC 代码开发：本地自动化测试框架与复杂工程处理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为什么需要自动化测试，为什么对 Coding Agent 如此重要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web-access skills 的安装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Playwright、CDP、chrome-dev-tools 的配合使用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将 Claude Code 融入 CI/CD 工作流，包括自动化部署与可观测性</w:t>
            </w:r>
          </w:p>
        </w:tc>
      </w:tr>
      <w:tr>
        <w:tc>
          <w:tcPr>
            <w:tcW w:type="dxa" w:w="1928"/>
            <w:tcBorders>
              <w:top w:val="single" w:sz="8" w:space="0" w:color="D6C6B8"/>
              <w:left w:val="single" w:sz="8" w:space="0" w:color="D6C6B8"/>
              <w:bottom w:val="single" w:sz="8" w:space="0" w:color="D6C6B8"/>
              <w:right w:val="single" w:sz="8" w:space="0" w:color="D6C6B8"/>
            </w:tcBorders>
            <w:shd w:fill="F8F1E9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5A4636"/>
                <w:sz w:val="21"/>
              </w:rPr>
              <w:t>16:00 - 16:45</w:t>
            </w:r>
          </w:p>
        </w:tc>
        <w:tc>
          <w:tcPr>
            <w:tcW w:type="dxa" w:w="7824"/>
            <w:tcBorders>
              <w:top w:val="single" w:sz="8" w:space="0" w:color="D6C6B8"/>
              <w:left w:val="single" w:sz="8" w:space="0" w:color="D6C6B8"/>
              <w:bottom w:val="single" w:sz="8" w:space="0" w:color="D6C6B8"/>
              <w:right w:val="single" w:sz="8" w:space="0" w:color="D6C6B8"/>
            </w:tcBorders>
          </w:tcPr>
          <w:p>
            <w:pPr>
              <w:spacing w:after="40"/>
            </w:pPr>
            <w:r>
              <w:rPr>
                <w:rFonts w:ascii="PingFang SC" w:hAnsi="PingFang SC" w:eastAsia="PingFang SC"/>
                <w:b/>
                <w:color w:val="1F1A17"/>
                <w:sz w:val="21"/>
              </w:rPr>
              <w:t>OPC 代码开发：多项目 Agent 管理和项目管理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使用 Linear 追踪与管理多个项目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使用 Tmux 建立持续的 Coding Session 完成特定任务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多窗口 Agent Engineering 的开发最佳实践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如何在工程中形成复利，以及如何沉淀 skills</w:t>
            </w:r>
          </w:p>
        </w:tc>
      </w:tr>
      <w:tr>
        <w:tc>
          <w:tcPr>
            <w:tcW w:type="dxa" w:w="1928"/>
            <w:tcBorders>
              <w:top w:val="single" w:sz="8" w:space="0" w:color="D6C6B8"/>
              <w:left w:val="single" w:sz="8" w:space="0" w:color="D6C6B8"/>
              <w:bottom w:val="single" w:sz="8" w:space="0" w:color="D6C6B8"/>
              <w:right w:val="single" w:sz="8" w:space="0" w:color="D6C6B8"/>
            </w:tcBorders>
            <w:shd w:fill="F8F1E9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5A4636"/>
                <w:sz w:val="21"/>
              </w:rPr>
              <w:t>16:50 - 17:35</w:t>
            </w:r>
          </w:p>
        </w:tc>
        <w:tc>
          <w:tcPr>
            <w:tcW w:type="dxa" w:w="7824"/>
            <w:tcBorders>
              <w:top w:val="single" w:sz="8" w:space="0" w:color="D6C6B8"/>
              <w:left w:val="single" w:sz="8" w:space="0" w:color="D6C6B8"/>
              <w:bottom w:val="single" w:sz="8" w:space="0" w:color="D6C6B8"/>
              <w:right w:val="single" w:sz="8" w:space="0" w:color="D6C6B8"/>
            </w:tcBorders>
          </w:tcPr>
          <w:p>
            <w:pPr>
              <w:spacing w:after="40"/>
            </w:pPr>
            <w:r>
              <w:rPr>
                <w:rFonts w:ascii="PingFang SC" w:hAnsi="PingFang SC" w:eastAsia="PingFang SC"/>
                <w:b/>
                <w:color w:val="1F1A17"/>
                <w:sz w:val="21"/>
              </w:rPr>
              <w:t>OPC 通用智能体：个人智能体环境与知识系统搭建以及其他技能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社交媒体素材库管理和自动发布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Remotion + Screenstudio 自动剪视频工作流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建立高质量的信息源和设计风格参考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用智能体处理 PPT、Excel、Word、Markdown、HTML</w:t>
            </w:r>
          </w:p>
          <w:p>
            <w:pPr>
              <w:spacing w:after="20"/>
              <w:ind w:left="255" w:hanging="170"/>
            </w:pPr>
            <w:r>
              <w:rPr>
                <w:rFonts w:ascii="PingFang SC" w:hAnsi="PingFang SC" w:eastAsia="PingFang SC"/>
                <w:b w:val="0"/>
                <w:color w:val="5A4636"/>
                <w:sz w:val="19"/>
              </w:rPr>
              <w:t>• 初识 SEO、增长和运营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PingFang SC" w:hAnsi="PingFang SC" w:eastAsia="PingFang SC"/>
          <w:b/>
          <w:color w:val="1F1A17"/>
          <w:sz w:val="36"/>
        </w:rPr>
        <w:t>课程重点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BF6F0"/>
            <w:tcBorders>
              <w:top w:val="single" w:sz="8" w:space="0" w:color="E4D7CA"/>
              <w:left w:val="single" w:sz="8" w:space="0" w:color="E4D7CA"/>
              <w:bottom w:val="single" w:sz="8" w:space="0" w:color="E4D7CA"/>
              <w:right w:val="single" w:sz="8" w:space="0" w:color="E4D7CA"/>
            </w:tcBorders>
          </w:tcPr>
          <w:p>
            <w:pPr>
              <w:spacing w:after="80"/>
            </w:pPr>
            <w:r>
              <w:rPr>
                <w:rFonts w:ascii="PingFang SC" w:hAnsi="PingFang SC" w:eastAsia="PingFang SC"/>
                <w:b/>
                <w:color w:val="1F1A17"/>
                <w:sz w:val="24"/>
              </w:rPr>
              <w:t>1. 趋势与商业判断</w:t>
            </w:r>
          </w:p>
          <w:p>
            <w:pPr>
              <w:spacing w:after="40"/>
              <w:ind w:left="283" w:hanging="198"/>
            </w:pPr>
            <w:r>
              <w:rPr>
                <w:rFonts w:ascii="PingFang SC" w:hAnsi="PingFang SC" w:eastAsia="PingFang SC"/>
                <w:b w:val="0"/>
                <w:color w:val="4D4035"/>
                <w:sz w:val="21"/>
              </w:rPr>
              <w:t>• 理解 OPC 的政策背景、创业趋势与底层业务逻辑变化。</w:t>
            </w:r>
          </w:p>
          <w:p>
            <w:pPr>
              <w:spacing w:after="40"/>
              <w:ind w:left="283" w:hanging="198"/>
            </w:pPr>
            <w:r>
              <w:rPr>
                <w:rFonts w:ascii="PingFang SC" w:hAnsi="PingFang SC" w:eastAsia="PingFang SC"/>
                <w:b w:val="0"/>
                <w:color w:val="4D4035"/>
                <w:sz w:val="21"/>
              </w:rPr>
              <w:t>• 建立利用 AI 信息差、内容能力和个人 IP 的基本认知。</w:t>
            </w:r>
          </w:p>
          <w:p>
            <w:pPr>
              <w:spacing w:after="40"/>
              <w:ind w:left="283" w:hanging="198"/>
            </w:pPr>
            <w:r>
              <w:rPr>
                <w:rFonts w:ascii="PingFang SC" w:hAnsi="PingFang SC" w:eastAsia="PingFang SC"/>
                <w:b w:val="0"/>
                <w:color w:val="4D4035"/>
                <w:sz w:val="21"/>
              </w:rPr>
              <w:t>• 理解商业行动画布与常见模式，知道如何从小切口做验证。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BF6F0"/>
            <w:tcBorders>
              <w:top w:val="single" w:sz="8" w:space="0" w:color="E4D7CA"/>
              <w:left w:val="single" w:sz="8" w:space="0" w:color="E4D7CA"/>
              <w:bottom w:val="single" w:sz="8" w:space="0" w:color="E4D7CA"/>
              <w:right w:val="single" w:sz="8" w:space="0" w:color="E4D7CA"/>
            </w:tcBorders>
          </w:tcPr>
          <w:p>
            <w:pPr>
              <w:spacing w:after="80"/>
            </w:pPr>
            <w:r>
              <w:rPr>
                <w:rFonts w:ascii="PingFang SC" w:hAnsi="PingFang SC" w:eastAsia="PingFang SC"/>
                <w:b/>
                <w:color w:val="1F1A17"/>
                <w:sz w:val="24"/>
              </w:rPr>
              <w:t>2. AI Coding 到工程交付</w:t>
            </w:r>
          </w:p>
          <w:p>
            <w:pPr>
              <w:spacing w:after="40"/>
              <w:ind w:left="283" w:hanging="198"/>
            </w:pPr>
            <w:r>
              <w:rPr>
                <w:rFonts w:ascii="PingFang SC" w:hAnsi="PingFang SC" w:eastAsia="PingFang SC"/>
                <w:b w:val="0"/>
                <w:color w:val="4D4035"/>
                <w:sz w:val="21"/>
              </w:rPr>
              <w:t>• 理解 Claude Code、Codex、gstacks、Spec Harness 的基本位置。</w:t>
            </w:r>
          </w:p>
          <w:p>
            <w:pPr>
              <w:spacing w:after="40"/>
              <w:ind w:left="283" w:hanging="198"/>
            </w:pPr>
            <w:r>
              <w:rPr>
                <w:rFonts w:ascii="PingFang SC" w:hAnsi="PingFang SC" w:eastAsia="PingFang SC"/>
                <w:b w:val="0"/>
                <w:color w:val="4D4035"/>
                <w:sz w:val="21"/>
              </w:rPr>
              <w:t>• 从 Vibe Coding 过渡到 Agentic Engineering 的工程化思路。</w:t>
            </w:r>
          </w:p>
          <w:p>
            <w:pPr>
              <w:spacing w:after="40"/>
              <w:ind w:left="283" w:hanging="198"/>
            </w:pPr>
            <w:r>
              <w:rPr>
                <w:rFonts w:ascii="PingFang SC" w:hAnsi="PingFang SC" w:eastAsia="PingFang SC"/>
                <w:b w:val="0"/>
                <w:color w:val="4D4035"/>
                <w:sz w:val="21"/>
              </w:rPr>
              <w:t>• 知道如何把设计、模仿、实现、测试、部署串成完整流程。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BF6F0"/>
            <w:tcBorders>
              <w:top w:val="single" w:sz="8" w:space="0" w:color="E4D7CA"/>
              <w:left w:val="single" w:sz="8" w:space="0" w:color="E4D7CA"/>
              <w:bottom w:val="single" w:sz="8" w:space="0" w:color="E4D7CA"/>
              <w:right w:val="single" w:sz="8" w:space="0" w:color="E4D7CA"/>
            </w:tcBorders>
          </w:tcPr>
          <w:p>
            <w:pPr>
              <w:spacing w:after="80"/>
            </w:pPr>
            <w:r>
              <w:rPr>
                <w:rFonts w:ascii="PingFang SC" w:hAnsi="PingFang SC" w:eastAsia="PingFang SC"/>
                <w:b/>
                <w:color w:val="1F1A17"/>
                <w:sz w:val="24"/>
              </w:rPr>
              <w:t>3. 多项目管理与通用智能体</w:t>
            </w:r>
          </w:p>
          <w:p>
            <w:pPr>
              <w:spacing w:after="40"/>
              <w:ind w:left="283" w:hanging="198"/>
            </w:pPr>
            <w:r>
              <w:rPr>
                <w:rFonts w:ascii="PingFang SC" w:hAnsi="PingFang SC" w:eastAsia="PingFang SC"/>
                <w:b w:val="0"/>
                <w:color w:val="4D4035"/>
                <w:sz w:val="21"/>
              </w:rPr>
              <w:t>• 理解 Linear、Tmux、多窗口 Agent 协作与上下文管理。</w:t>
            </w:r>
          </w:p>
          <w:p>
            <w:pPr>
              <w:spacing w:after="40"/>
              <w:ind w:left="283" w:hanging="198"/>
            </w:pPr>
            <w:r>
              <w:rPr>
                <w:rFonts w:ascii="PingFang SC" w:hAnsi="PingFang SC" w:eastAsia="PingFang SC"/>
                <w:b w:val="0"/>
                <w:color w:val="4D4035"/>
                <w:sz w:val="21"/>
              </w:rPr>
              <w:t>• 建立对素材库、剪视频、PPT/Word/Markdown 自动化等场景的整体认知。</w:t>
            </w:r>
          </w:p>
          <w:p>
            <w:pPr>
              <w:spacing w:after="40"/>
              <w:ind w:left="283" w:hanging="198"/>
            </w:pPr>
            <w:r>
              <w:rPr>
                <w:rFonts w:ascii="PingFang SC" w:hAnsi="PingFang SC" w:eastAsia="PingFang SC"/>
                <w:b w:val="0"/>
                <w:color w:val="4D4035"/>
                <w:sz w:val="21"/>
              </w:rPr>
              <w:t>• 初步理解 SEO、增长和运营在 OPC 时代的重要性。</w:t>
            </w:r>
          </w:p>
        </w:tc>
      </w:tr>
    </w:tbl>
    <w:p>
      <w:pPr>
        <w:spacing w:before="160" w:after="120"/>
      </w:pPr>
      <w:r>
        <w:rPr>
          <w:rFonts w:ascii="PingFang SC" w:hAnsi="PingFang SC" w:eastAsia="PingFang SC"/>
          <w:b/>
          <w:color w:val="1F1A17"/>
          <w:sz w:val="36"/>
        </w:rPr>
        <w:t>课前准备</w:t>
      </w:r>
    </w:p>
    <w:p>
      <w:pPr>
        <w:spacing w:after="40"/>
        <w:ind w:left="283" w:hanging="198"/>
      </w:pPr>
      <w:r>
        <w:rPr>
          <w:rFonts w:ascii="PingFang SC" w:hAnsi="PingFang SC" w:eastAsia="PingFang SC"/>
          <w:b w:val="0"/>
          <w:color w:val="5A4636"/>
          <w:sz w:val="21"/>
        </w:rPr>
        <w:t>1. 带上一台笔记本电脑，最好是 macOS 操作系统。</w:t>
      </w:r>
    </w:p>
    <w:p>
      <w:pPr>
        <w:spacing w:after="40"/>
        <w:ind w:left="283" w:hanging="198"/>
      </w:pPr>
      <w:r>
        <w:rPr>
          <w:rFonts w:ascii="PingFang SC" w:hAnsi="PingFang SC" w:eastAsia="PingFang SC"/>
          <w:b w:val="0"/>
          <w:color w:val="5A4636"/>
          <w:sz w:val="21"/>
        </w:rPr>
        <w:t>2. 准备一个 Codex 账号，一个月即可，根据账号类型花费大概在 12 到 140 元左右。</w:t>
      </w:r>
    </w:p>
    <w:p>
      <w:pPr>
        <w:spacing w:after="40"/>
        <w:ind w:left="283" w:hanging="198"/>
      </w:pPr>
      <w:r>
        <w:rPr>
          <w:rFonts w:ascii="PingFang SC" w:hAnsi="PingFang SC" w:eastAsia="PingFang SC"/>
          <w:b w:val="0"/>
          <w:color w:val="5A4636"/>
          <w:sz w:val="21"/>
        </w:rPr>
        <w:t>3. 如有条件，可以准备一个 Claude Code 账号，一个月大概 150 元左右。</w:t>
      </w:r>
    </w:p>
    <w:p>
      <w:pPr>
        <w:spacing w:after="40"/>
        <w:ind w:left="283" w:hanging="198"/>
      </w:pPr>
      <w:r>
        <w:rPr>
          <w:rFonts w:ascii="PingFang SC" w:hAnsi="PingFang SC" w:eastAsia="PingFang SC"/>
          <w:b w:val="0"/>
          <w:color w:val="5A4636"/>
          <w:sz w:val="21"/>
        </w:rPr>
        <w:t>4. 如有条件，可以准备一个 Gmail 账号，用来薅各类 AI 工具的羊毛。</w:t>
      </w:r>
    </w:p>
    <w:sectPr w:rsidR="00FC693F" w:rsidRPr="0006063C" w:rsidSect="00034616"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