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qa-audit-checklist"/>
    <w:p>
      <w:pPr>
        <w:pStyle w:val="Heading1"/>
      </w:pPr>
      <w:r>
        <w:t xml:space="preserve">QA Audit Checklist</w:t>
      </w:r>
    </w:p>
    <w:p>
      <w:pPr>
        <w:pStyle w:val="FirstParagraph"/>
      </w:pPr>
      <w:r>
        <w:rPr>
          <w:bCs/>
          <w:b/>
        </w:rPr>
        <w:t xml:space="preserve">Paragon Assurance — Quality Assurance Audit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PA-QA-2026-002-CL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PA-QA-2026-002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(Vendor under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Nevon Solutions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BioSec Educational Institution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P2-1561W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Paragon Assurance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March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QA_Audit_Checklist_Template.xlsx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 key:</w:t>
      </w:r>
      <w:r>
        <w:t xml:space="preserve"> </w:t>
      </w:r>
      <w:r>
        <w:t xml:space="preserve">Pass = evidence confirmed | Partial = evidence found but incomplete or unverified | Fail = evidence not found | N/A = not applicable</w:t>
      </w:r>
    </w:p>
    <w:p>
      <w:r>
        <w:pict>
          <v:rect style="width:0;height:1.5pt" o:hralign="center" o:hrstd="t" o:hr="t"/>
        </w:pict>
      </w:r>
    </w:p>
    <w:bookmarkStart w:id="20" w:name="pre-audit"/>
    <w:p>
      <w:pPr>
        <w:pStyle w:val="Heading2"/>
      </w:pPr>
      <w:r>
        <w:t xml:space="preserve">Pre-Audit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you scheduled an interview/focus group with the customer?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Analysing Report_1561W.pdf (Sections 3.3, 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sessions documented: BC-01 Business Requirement Clarification Session (07/02/2026) and TC-02 Technical Clarification Session (09/02/2026). Both include named attendees, structured agendas, and recorded outcomes.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you have access to the customer’s repository?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Biometric-Student-Attendance-System/ (local clone)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cloned and accessible. Contains documents/, requirement-models/, requirements/, and README.md. All artefacts available for review.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hase-1-analysing"/>
    <w:p>
      <w:pPr>
        <w:pStyle w:val="Heading2"/>
      </w:pPr>
      <w:r>
        <w:t xml:space="preserve">Phase 1: Analysing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customer have a copy of the Project Scope (PS)?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documents/Project Specification_1561W.pdf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 present in repository (Document ID: BS-PS-2026-001). Referenced throughout Analysing Report (NS-AR-2026-001), including Executive Summary, Section 2 (Breakdown), and Section 4 (Repository).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the models from the PS been carried forward into the Analysis phase?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requirement-models/paper-napkin-model.jpg; requirement-models/context-diagram.pdf; Analysing Report_1561W.pdf (Appendix A, Appendix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diagram from PS Appendix 9.4.2 carried forward and revised. Paper napkin model created during BC-01 (07/02/2026) and retained. Both present as standalone files and in Analysing Report appendices.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proof that the models were revised?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requirement-models/context-diagram.pdf (revised); documents/Project Specification_1561W.pdf (original in Appendix 9.4.2); Analysing Report_1561W.pdf (Appendix B caption)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Analysing Report Appendix B explicitly labelled</w:t>
            </w:r>
            <w:r>
              <w:t xml:space="preserve"> </w:t>
            </w:r>
            <w:r>
              <w:t xml:space="preserve">“</w:t>
            </w:r>
            <w:r>
              <w:t xml:space="preserve">Context Diagram (Revised)</w:t>
            </w:r>
            <w:r>
              <w:t xml:space="preserve">”</w:t>
            </w:r>
            <w:r>
              <w:t xml:space="preserve"> </w:t>
            </w:r>
            <w:r>
              <w:t xml:space="preserve">with caption:</w:t>
            </w:r>
            <w:r>
              <w:t xml:space="preserve"> </w:t>
            </w:r>
            <w:r>
              <w:t xml:space="preserve">“</w:t>
            </w:r>
            <w:r>
              <w:t xml:space="preserve">Revised version of the Context Diagram originally provided in the BioSec Project Specification (PS).</w:t>
            </w:r>
            <w:r>
              <w:t xml:space="preserve">”</w:t>
            </w:r>
            <w:r>
              <w:t xml:space="preserve"> </w:t>
            </w:r>
            <w:r>
              <w:t xml:space="preserve">TC-02 outcome (Section 3.4) records:</w:t>
            </w:r>
            <w:r>
              <w:t xml:space="preserve"> </w:t>
            </w:r>
            <w:r>
              <w:t xml:space="preserve">“</w:t>
            </w:r>
            <w:r>
              <w:t xml:space="preserve">Context DFD updated to reflect all external system interfaces identified during clarification.</w:t>
            </w:r>
            <w:r>
              <w:t xml:space="preserve">”</w:t>
            </w:r>
            <w:r>
              <w:t xml:space="preserve"> </w:t>
            </w:r>
            <w:r>
              <w:t xml:space="preserve">Original traceable via 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IRC (Initial Requirements Checklist) exist?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documents/IRC_Nevon_Solutions.pdf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IRC present (Document ID: NS-IRC-2026-001, dated 8 February 2026, prepared by Nevon Solutions Business Analysis Department). Separate from Analysing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IRC usable?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documents/IRC_Nevon_Solutions.pdf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Two-page PDF structured as a table with three columns: Category, Check Item, and Application in This Project. Printable checklist format. Covers 10 categories: Imperative, Continuance, Ambiguity, Testability, Consistency, Completeness, Feasibility, Compound, PDPA Compliance, External Systems.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evidence the IRC was used?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documents/IRC_Nevon_Solutions.pdf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10 category rows contain completed</w:t>
            </w:r>
            <w:r>
              <w:t xml:space="preserve"> </w:t>
            </w:r>
            <w:r>
              <w:t xml:space="preserve">“</w:t>
            </w:r>
            <w:r>
              <w:t xml:space="preserve">Application in This Project</w:t>
            </w:r>
            <w:r>
              <w:t xml:space="preserve">”</w:t>
            </w:r>
            <w:r>
              <w:t xml:space="preserve"> </w:t>
            </w:r>
            <w:r>
              <w:t xml:space="preserve">entries with specific requirement IDs and findings. Closing statement:</w:t>
            </w:r>
            <w:r>
              <w:t xml:space="preserve"> </w:t>
            </w:r>
            <w:r>
              <w:t xml:space="preserve">“</w:t>
            </w:r>
            <w:r>
              <w:t xml:space="preserve">The IRC guided all BCIC Breakdown activities and ensured disciplined, consistent rewriting of all 27 requirements from the BioSec Project Specification.</w:t>
            </w:r>
            <w:r>
              <w:t xml:space="preserve">”</w:t>
            </w:r>
            <w:r>
              <w:t xml:space="preserve"> </w:t>
            </w:r>
            <w:r>
              <w:t xml:space="preserve">Document dated 08/02/2026 with attribution to Nevon Solutions Business Analysis Department.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the customer have a written plan for the Analysis phase?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requirement-models/BioSec Gantt Chart.xlsx; Analysing Report_1561W.pdf (Section 1.3, Section 2.1, Section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Gantt Chart (BioSec Gantt Chart.xlsx) present as a project planning artefact. Analysing Report documents structured phases: Breakdown over 10 working days (Section 2.1) and Clarification over 8 working days (Section 3.2), with pre-scheduled sessions (BC-01, TC-02) with named attendees and defined objectives.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plan was verbal only, did they provide a signed declaration?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plan confirmed (A7 = Pass). No verbal-only declaration required. Note: the Analysing Report does contain a signed Declaration on Plagiarism and Originality (Project Lead Loh Wen Xuan, 13/02/2026) covering the document as a whole.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Were items from the PS properly codified in the repo?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requirements/bizops-requirements.md; requirements/technical-requirements.md; Analysing Report_1561W.pdf (Section 2.2–2.3)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carry unique IDs: BOR-{level}-{category}-{number} (e.g. BOR-1-ATT-01) and TR-{level}-{category}-{number} (e.g. TR-1-BE-04). Atomic requirements derived from compound decomposition carry both an atomic ID and parent ID (e.g. BOR-1-MOB-02a, parent BOR-1-MOB-02).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hase-2-specifying"/>
    <w:p>
      <w:pPr>
        <w:pStyle w:val="Heading2"/>
      </w:pPr>
      <w:r>
        <w:t xml:space="preserve">Phase 2: Specifying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the requirements in the SRS trace back to the repo?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documents/SRS_1561W.pdf (Section 1.1, Appendix D); documents/iRTM.docx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Section 1.1 states it</w:t>
            </w:r>
            <w:r>
              <w:t xml:space="preserve"> </w:t>
            </w:r>
            <w:r>
              <w:t xml:space="preserve">“</w:t>
            </w:r>
            <w:r>
              <w:t xml:space="preserve">incorporates all business operations and technical requirements produced from the Analysing method.</w:t>
            </w:r>
            <w:r>
              <w:t xml:space="preserve">”</w:t>
            </w:r>
            <w:r>
              <w:t xml:space="preserve"> </w:t>
            </w:r>
            <w:r>
              <w:t xml:space="preserve">iRTM (Appendix D, eight pages) establishes traceability from PS through repository to SRS. SRS uses</w:t>
            </w:r>
            <w:r>
              <w:t xml:space="preserve"> </w:t>
            </w:r>
            <w:r>
              <w:t xml:space="preserve">“</w:t>
            </w:r>
            <w:r>
              <w:t xml:space="preserve">(Revised)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(Retained)</w:t>
            </w:r>
            <w:r>
              <w:t xml:space="preserve">”</w:t>
            </w:r>
            <w:r>
              <w:t xml:space="preserve"> </w:t>
            </w:r>
            <w:r>
              <w:t xml:space="preserve">notations to indicate PS origin of each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iRTM exist as a standalone file?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documents/iRTM.docx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iRTM present as a standalone Word document (iRTM.docx). Separate from the SRS PDF. Satisfies extractability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iRTM usable?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documents/iRTM.docx; documents/SRS_1561W.pdf (Appendix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iRTM.docx is a standalone .docx file (single extractable unit). SRS Appendix D embeds the iRTM content over eight pages within one dedicated appendix, allowing extraction as a single unit.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new models were created in this phase, are the source files present?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requirement-models/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source files present: paper-napkin-model.jpg, context-diagram.pdf, ERD.pdf, Use Case Diagram.png, data-dictionary.md, BioSec Gantt Chart.xlsx, Change Request Form Template.docx, Nevon Risk Analysis Matrix.docx, wireframes/parent-mobile-app.pdf, wireframes/teachers-mobile-app.pdf, wireframes/Administrator Wireframes.pdf.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Change Mitigation template is mentioned, does the template file exist?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requirement-models/Change Request Form Template.docx; documents/SRS_1561W.pdf (Section 8.3, Appendix 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Request Form Template present as a standalone .docx file. SRS Section 8.3 (High-Risk Change Control Process) and Appendix E reference the template.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hase-3-validating"/>
    <w:p>
      <w:pPr>
        <w:pStyle w:val="Heading2"/>
      </w:pPr>
      <w:r>
        <w:t xml:space="preserve">Phase 3: Validating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SRS signed off by the customer?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documents/SRS_1561W.pdf (Declaration page; Section 9, p.19)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 at Version 0.8 (dated 3 March 2026), indicating pre-release draft. Internal Nevon Solutions sign-off confirmed: Project Lead Loh Wen Xuan signed Declaration page (03/03/2026). Customer (BioSec) sign-off designated to SRS Section 9 (p.19) — this page was not accessible for full examination during document review. BioSec customer sign-off cannot be confirmed from available artefacts. Requires direct examination of Section 9 or follow-up interview.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evidence of a spell check?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documents/SRS_1561W.pdf (Declaration of Use of AI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standalone spell check record found in repository. SRS Declaration states AI tools were used</w:t>
            </w:r>
            <w:r>
              <w:t xml:space="preserve"> </w:t>
            </w:r>
            <w:r>
              <w:t xml:space="preserve">“</w:t>
            </w:r>
            <w:r>
              <w:t xml:space="preserve">to improve linguistic clarity, document structure, formatting consistency, and editorial refinement.</w:t>
            </w:r>
            <w:r>
              <w:t xml:space="preserve">”</w:t>
            </w:r>
            <w:r>
              <w:t xml:space="preserve"> </w:t>
            </w:r>
            <w:r>
              <w:t xml:space="preserve">This is indirect evidence only; no specific spell check completion note or annotated document was found. Requires confirmation via interview with Nevon Solutions.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evidence of a grammar check?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documents/SRS_1561W.pdf (Declaration of Use of AI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finding as C2. No standalone grammar check record found. SRS Declaration references AI-assisted</w:t>
            </w:r>
            <w:r>
              <w:t xml:space="preserve"> </w:t>
            </w:r>
            <w:r>
              <w:t xml:space="preserve">“</w:t>
            </w:r>
            <w:r>
              <w:t xml:space="preserve">linguistic clarity</w:t>
            </w:r>
            <w:r>
              <w:t xml:space="preserve">”</w:t>
            </w:r>
            <w:r>
              <w:t xml:space="preserve"> </w:t>
            </w:r>
            <w:r>
              <w:t xml:space="preserve">but no dedicated grammar check evidence. Requires interview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evidence of an editorial check?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documents/SRS_1561W.pdf (Declaration of Use of AI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standalone editorial review record found. SRS Declaration explicitly states AI tools used for</w:t>
            </w:r>
            <w:r>
              <w:t xml:space="preserve"> </w:t>
            </w:r>
            <w:r>
              <w:t xml:space="preserve">“</w:t>
            </w:r>
            <w:r>
              <w:t xml:space="preserve">editorial refinement</w:t>
            </w:r>
            <w:r>
              <w:t xml:space="preserve">”</w:t>
            </w:r>
            <w:r>
              <w:t xml:space="preserve"> </w:t>
            </w:r>
            <w:r>
              <w:t xml:space="preserve">and Project Lead signed off (03/03/2026), indicating review occurred, but no separate editorial check document or annotation is present. Requires confirmation via interview.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qc-audit"/>
    <w:p>
      <w:pPr>
        <w:pStyle w:val="Heading2"/>
      </w:pPr>
      <w:r>
        <w:t xml:space="preserve">QC Audit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QC team have a written plan for their review?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Paragon Assurance (QA)/qa-plan.docx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Audit Plan present (PA-QA-2026-002, dated 18 March 2026). Documents scope, methodology, and schedule for the Paragon Assurance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QC team have a checklist (similar to an IRC)?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Paragon Assurance (QA)/qa-checklist.docx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Audit Checklist present (PA-QA-2026-002-CL, this document). Covers Pre-Audit, Analysing, Specifying, Validating, QC Audit, and Final Checks phases.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the QC team check for Scenario errors?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Paragon Assurance (QA)/qa-plan.docx (Section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Paragon Assurance’s audit scope is process compliance, not content quality review. qa-plan.docx Section 2 explicitly states:</w:t>
            </w:r>
            <w:r>
              <w:t xml:space="preserve"> </w:t>
            </w:r>
            <w:r>
              <w:t xml:space="preserve">“</w:t>
            </w:r>
            <w:r>
              <w:t xml:space="preserve">Paragon Assurance does not audit the content, correctness, or completeness of individual requirements — that is the domain of the QC team.</w:t>
            </w:r>
            <w:r>
              <w:t xml:space="preserve">”</w:t>
            </w:r>
            <w:r>
              <w:t xml:space="preserve"> </w:t>
            </w:r>
            <w:r>
              <w:t xml:space="preserve">Scenario error checking is out of scope for this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the QC team check for Persona errors?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Paragon Assurance (QA)/qa-plan.docx (Section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scope limitation as D3. Persona error checking is a content quality activity outside Paragon Assurance’s process audit mandate.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the QC team check for Assumption errors?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Paragon Assurance (QA)/qa-plan.docx (Section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scope limitation as D3 and D4. Assumption error checking is outside the process audit scope defined in qa-plan.docx Section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the QC team save their findings?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Paragon Assurance (QA)/qa-report.docx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Findings Report present (PA-QA-2026-002, dated 18 March 2026). Documents 16 checklist items examined, 11 passing, 2 partial, 3 non-conformances (NC-01 to NC-05). Includes summary table and annexes.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inal-checks"/>
    <w:p>
      <w:pPr>
        <w:pStyle w:val="Heading2"/>
      </w:pPr>
      <w:r>
        <w:t xml:space="preserve">Final Checks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you have to ask for any declarations?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documents/Analysing Report_1561W.pdf (Sign Off, p.11); documents/SRS_1561W.pdf (Declaration, p.4)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additional declarations were requested by Paragon Assurance. The Analysing Report contains a signed multi-party Sign Off (Project Lead + 4 designated approvers, 13/02/2026). The SRS contains a signed Declaration (Project Lead, 03/03/2026). Existing project declarations were sufficient; no additional declarations were solicited.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you use interviews or focus groups?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Analysing Report_1561W.pdf (Sections 3.3, 3.4); Paragon Assurance (QA)/qa-plan.docx (Section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BC-01 (07/02/2026) and TC-02 (09/02/2026) were reviewed as documented evidence from the Analysing phase. Per qa-plan.docx Section 3.2, a follow-up interview or focus group with Nevon Solutions has been planned to resolve NC-01 (SRS customer sign-off) and NC-02 (editorial checks). This session is pending as at report date (18 March 2026). Dates and key takeaways to be recorded in Annex 6 of qa-report.docx upon completion.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your presentation/findings, did you avoid suggesting solutions?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Paragon Assurance (QA)/qa-report.docx (Section 7 Conclusion)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Confirmed. qa-report.docx Section 7 explicitly states:</w:t>
            </w:r>
            <w:r>
              <w:t xml:space="preserve"> </w:t>
            </w:r>
            <w:r>
              <w:t xml:space="preserve">“</w:t>
            </w:r>
            <w:r>
              <w:t xml:space="preserve">No solutions or corrective actions are proposed in this report. The findings are presented as a factual record of the process state as observed.</w:t>
            </w:r>
            <w:r>
              <w:t xml:space="preserve">”</w:t>
            </w:r>
            <w:r>
              <w:t xml:space="preserve"> </w:t>
            </w:r>
            <w:r>
              <w:t xml:space="preserve">All non-conformances (NC-01 to NC-05) describe gaps only, with no remediation instructions.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Checklist completed by Paragon Assurance. Date: 18 March 2026.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2026-03-18T10:41:21Z</dcterms:created>
  <dcterms:modified xsi:type="dcterms:W3CDTF">2026-03-18T10:41:21Z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