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qa-findings-report"/>
    <w:p>
      <w:pPr>
        <w:pStyle w:val="Heading1"/>
      </w:pPr>
      <w:r>
        <w:t xml:space="preserve">QA Findings Report</w:t>
      </w:r>
    </w:p>
    <w:p>
      <w:pPr>
        <w:pStyle w:val="FirstParagraph"/>
      </w:pPr>
      <w:r>
        <w:rPr>
          <w:bCs/>
          <w:b/>
        </w:rPr>
        <w:t xml:space="preserve">Paragon Assurance — Quality Assurance Audit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PA-QA-2026-002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Checklist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PA-QA-2026-002-CL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(Vendor under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Nevon Solutions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BioSec Educational Institution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P2-1561W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Engineering (RE)</w:t>
            </w:r>
            <w:r>
              <w:t xml:space="preserve"> </w:t>
            </w:r>
            <w:r>
              <w:t xml:space="preserve">Process — Biometric Student</w:t>
            </w:r>
            <w:r>
              <w:t xml:space="preserve"> </w:t>
            </w:r>
            <w:r>
              <w:t xml:space="preserve">Attendance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Paragon Assurance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March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SRS Version 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(NS-SRS-2026-001, dated 3 March</w:t>
            </w:r>
            <w:r>
              <w:t xml:space="preserve"> </w:t>
            </w:r>
            <w:r>
              <w:t xml:space="preserve">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Analysing Report Version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(NS-AR-2026-001, dated 8</w:t>
            </w:r>
            <w:r>
              <w:t xml:space="preserve"> </w:t>
            </w:r>
            <w:r>
              <w:t xml:space="preserve">February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IRC Version 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NS-IRC-2026-001, dated 8 February</w:t>
            </w:r>
            <w:r>
              <w:t xml:space="preserve"> </w:t>
            </w:r>
            <w:r>
              <w:t xml:space="preserve">2026</w:t>
            </w:r>
          </w:p>
        </w:tc>
      </w:tr>
    </w:tbl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Paragon Assurance conducted a quality assurance audit of the</w:t>
      </w:r>
      <w:r>
        <w:t xml:space="preserve"> </w:t>
      </w:r>
      <w:r>
        <w:t xml:space="preserve">Requirements Engineering (RE) process performed by Nevon Solutions for</w:t>
      </w:r>
      <w:r>
        <w:t xml:space="preserve"> </w:t>
      </w:r>
      <w:r>
        <w:t xml:space="preserve">BioSec Educational Institution (Project ID: P2-1561W) in connection with</w:t>
      </w:r>
      <w:r>
        <w:t xml:space="preserve"> </w:t>
      </w:r>
      <w:r>
        <w:t xml:space="preserve">the development of a Biometric Student Attendance System. The audit</w:t>
      </w:r>
      <w:r>
        <w:t xml:space="preserve"> </w:t>
      </w:r>
      <w:r>
        <w:t xml:space="preserve">covered three RE phases: Analysing, Specifying, and Validating.</w:t>
      </w:r>
    </w:p>
    <w:p>
      <w:pPr>
        <w:pStyle w:val="BodyText"/>
      </w:pPr>
      <w:r>
        <w:t xml:space="preserve">The audit examined 14 process checklist items across Nevon’s RE phases,</w:t>
      </w:r>
      <w:r>
        <w:t xml:space="preserve"> </w:t>
      </w:r>
      <w:r>
        <w:t xml:space="preserve">plus three items attributable to the external QC team. Of the 14 Nevon</w:t>
      </w:r>
      <w:r>
        <w:t xml:space="preserve"> </w:t>
      </w:r>
      <w:r>
        <w:t xml:space="preserve">items, eleven passed with confirmed documentary evidence and one could</w:t>
      </w:r>
      <w:r>
        <w:t xml:space="preserve"> </w:t>
      </w:r>
      <w:r>
        <w:t xml:space="preserve">not be fully confirmed. Of the three QC team items, all three resulted</w:t>
      </w:r>
      <w:r>
        <w:t xml:space="preserve"> </w:t>
      </w:r>
      <w:r>
        <w:t xml:space="preserve">in non-conformances due to the absence of expected artefacts. QC team</w:t>
      </w:r>
      <w:r>
        <w:t xml:space="preserve"> </w:t>
      </w:r>
      <w:r>
        <w:t xml:space="preserve">findings are reported separately in Section 6.</w:t>
      </w:r>
    </w:p>
    <w:p>
      <w:pPr>
        <w:pStyle w:val="BodyText"/>
      </w:pPr>
      <w:r>
        <w:t xml:space="preserve">The Analysing and Specifying phases were found to be complete and</w:t>
      </w:r>
      <w:r>
        <w:t xml:space="preserve"> </w:t>
      </w:r>
      <w:r>
        <w:t xml:space="preserve">well-evidenced. All seven Analysing items and all four Specifying items</w:t>
      </w:r>
      <w:r>
        <w:t xml:space="preserve"> </w:t>
      </w:r>
      <w:r>
        <w:t xml:space="preserve">were confirmed as passing, with artefacts traceable in the repository.</w:t>
      </w:r>
      <w:r>
        <w:t xml:space="preserve"> </w:t>
      </w:r>
      <w:r>
        <w:t xml:space="preserve">The Validating phase presents areas of concern: no documentary evidence</w:t>
      </w:r>
      <w:r>
        <w:t xml:space="preserve"> </w:t>
      </w:r>
      <w:r>
        <w:t xml:space="preserve">of editorial checks was found. The customer sign-off on the SRS has</w:t>
      </w:r>
      <w:r>
        <w:t xml:space="preserve"> </w:t>
      </w:r>
      <w:r>
        <w:t xml:space="preserve">since been confirmed via the BioSec Change Request Declaration Form</w:t>
      </w:r>
      <w:r>
        <w:t xml:space="preserve"> </w:t>
      </w:r>
      <w:r>
        <w:t xml:space="preserve">(NS-DECL-2026-001) committed to the repository; NC-01 is resolved.</w:t>
      </w:r>
    </w:p>
    <w:p>
      <w:pPr>
        <w:pStyle w:val="BodyText"/>
      </w:pPr>
      <w:r>
        <w:t xml:space="preserve">No solutions or corrective actions are proposed in this report. The</w:t>
      </w:r>
      <w:r>
        <w:t xml:space="preserve"> </w:t>
      </w:r>
      <w:r>
        <w:t xml:space="preserve">findings are presented as a factual record of the process state as</w:t>
      </w:r>
      <w:r>
        <w:t xml:space="preserve"> </w:t>
      </w:r>
      <w:r>
        <w:t xml:space="preserve">observed.</w:t>
      </w:r>
    </w:p>
    <w:bookmarkEnd w:id="20"/>
    <w:bookmarkStart w:id="23" w:name="scope-and-methodology"/>
    <w:p>
      <w:pPr>
        <w:pStyle w:val="Heading2"/>
      </w:pPr>
      <w:r>
        <w:t xml:space="preserve">2. Scope and Methodology</w:t>
      </w:r>
    </w:p>
    <w:bookmarkStart w:id="21" w:name="scope"/>
    <w:p>
      <w:pPr>
        <w:pStyle w:val="Heading3"/>
      </w:pPr>
      <w:r>
        <w:t xml:space="preserve">2.1 Scope</w:t>
      </w:r>
    </w:p>
    <w:p>
      <w:pPr>
        <w:pStyle w:val="FirstParagraph"/>
      </w:pPr>
      <w:r>
        <w:t xml:space="preserve">This audit covers the Analysis, Specifying, and Validating phases of the</w:t>
      </w:r>
      <w:r>
        <w:t xml:space="preserve"> </w:t>
      </w:r>
      <w:r>
        <w:t xml:space="preserve">RE process conducted by Nevon Solutions. The Eliciting phase, performed</w:t>
      </w:r>
      <w:r>
        <w:t xml:space="preserve"> </w:t>
      </w:r>
      <w:r>
        <w:t xml:space="preserve">by BioSec Educational Institution, is outside the scope of this audit.</w:t>
      </w:r>
      <w:r>
        <w:t xml:space="preserve"> </w:t>
      </w:r>
      <w:r>
        <w:t xml:space="preserve">This audit examines process completeness and flow — not the content</w:t>
      </w:r>
      <w:r>
        <w:t xml:space="preserve"> </w:t>
      </w:r>
      <w:r>
        <w:t xml:space="preserve">quality of individual requirements, which is the domain of the assigned</w:t>
      </w:r>
      <w:r>
        <w:t xml:space="preserve"> </w:t>
      </w:r>
      <w:r>
        <w:t xml:space="preserve">QC team.</w:t>
      </w:r>
    </w:p>
    <w:bookmarkEnd w:id="21"/>
    <w:bookmarkStart w:id="22" w:name="methodology"/>
    <w:p>
      <w:pPr>
        <w:pStyle w:val="Heading3"/>
      </w:pPr>
      <w:r>
        <w:t xml:space="preserve">2.2 Methodology</w:t>
      </w:r>
    </w:p>
    <w:p>
      <w:pPr>
        <w:pStyle w:val="FirstParagraph"/>
      </w:pPr>
      <w:r>
        <w:t xml:space="preserve">The audit was conducted through document review of all artefacts</w:t>
      </w:r>
      <w:r>
        <w:t xml:space="preserve"> </w:t>
      </w:r>
      <w:r>
        <w:t xml:space="preserve">accessible in the Nevon Solutions project repository. Evidence was</w:t>
      </w:r>
      <w:r>
        <w:t xml:space="preserve"> </w:t>
      </w:r>
      <w:r>
        <w:t xml:space="preserve">examined against the checklist (PA-QA-2026-002-CL). Where artefacts were</w:t>
      </w:r>
      <w:r>
        <w:t xml:space="preserve"> </w:t>
      </w:r>
      <w:r>
        <w:t xml:space="preserve">absent or partially verified, the finding is recorded with the specific</w:t>
      </w:r>
      <w:r>
        <w:t xml:space="preserve"> </w:t>
      </w:r>
      <w:r>
        <w:t xml:space="preserve">gap identified.</w:t>
      </w:r>
    </w:p>
    <w:p>
      <w:pPr>
        <w:pStyle w:val="BodyText"/>
      </w:pPr>
      <w:r>
        <w:t xml:space="preserve">The following primary source artefacts were examined:</w:t>
      </w:r>
    </w:p>
    <w:tbl>
      <w:tblPr>
        <w:tblStyle w:val="Table"/>
        <w:tblW w:type="pct" w:w="4886"/>
        <w:tblLook w:firstRow="1" w:lastRow="0" w:firstColumn="0" w:lastColumn="0" w:noHBand="0" w:noVBand="0" w:val="0020"/>
        <w:jc w:val="start"/>
      </w:tblPr>
      <w:tblGrid>
        <w:gridCol w:w="2160"/>
        <w:gridCol w:w="342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ID /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Analysing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NS-AR-2026-001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Analysing Report_1561W.pdf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Incongruous</w:t>
            </w:r>
            <w:r>
              <w:t xml:space="preserve"> </w:t>
            </w:r>
            <w:r>
              <w:t xml:space="preserve">Requirements Checklist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NS-IRC-2026-001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IRC_Nevon_Solutions.pdf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Feb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Specification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BS-PS-2026-001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Project Specification_1561W.pdf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to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Requirements</w:t>
            </w:r>
            <w:r>
              <w:t xml:space="preserve"> </w:t>
            </w: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NS-SRS-2026-001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SRS_1561W.pdf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Mar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iRTM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iRTM.docx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Request Form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 Request Form Template.docx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Gantt 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BioSec Gantt Chart.xlsx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IEEE SRS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srs_template-ieee.doc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bizops-requirements.md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technical-requirements.md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Diagram</w:t>
            </w:r>
            <w:r>
              <w:t xml:space="preserve"> </w:t>
            </w:r>
            <w:r>
              <w:t xml:space="preserve">(Revised)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context-diagram.pdf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Napkin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paper-napkin-model.jpg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2"/>
    <w:bookmarkEnd w:id="23"/>
    <w:bookmarkStart w:id="24" w:name="analysing-phase-findings"/>
    <w:p>
      <w:pPr>
        <w:pStyle w:val="Heading2"/>
      </w:pPr>
      <w:r>
        <w:t xml:space="preserve">3. Analysing Phase — Findings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856"/>
        <w:gridCol w:w="4067"/>
        <w:gridCol w:w="963"/>
        <w:gridCol w:w="1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in 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documents/Project Specification_1561W.pdf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for analysis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BioSec Gantt Chart.xlsx</w:t>
            </w:r>
            <w:r>
              <w:t xml:space="preserve">; structured sessions BC-01, TC-02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carried forward from 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paper-napkin-model.jpg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context-diagram.pdf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revised; originals retained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Revised:</w:t>
            </w:r>
            <w:r>
              <w:t xml:space="preserve"> </w:t>
            </w:r>
            <w:r>
              <w:rPr>
                <w:rStyle w:val="VerbatimChar"/>
              </w:rPr>
              <w:t xml:space="preserve">context-diagram.pdf</w:t>
            </w:r>
            <w:r>
              <w:t xml:space="preserve">, AR Appendix B; original in 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codified with unique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BOR/TR scheme;</w:t>
            </w:r>
            <w:r>
              <w:t xml:space="preserve"> </w:t>
            </w:r>
            <w:r>
              <w:rPr>
                <w:rStyle w:val="VerbatimChar"/>
              </w:rPr>
              <w:t xml:space="preserve">iRTM.docx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exists as standalone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documents/IRC_Nevon_Solutions.pdf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was used /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categories completed with project-specific findings</w:t>
            </w:r>
          </w:p>
        </w:tc>
      </w:tr>
    </w:tbl>
    <w:bookmarkEnd w:id="24"/>
    <w:bookmarkStart w:id="25" w:name="specifying-phase-findings"/>
    <w:p>
      <w:pPr>
        <w:pStyle w:val="Heading2"/>
      </w:pPr>
      <w:r>
        <w:t xml:space="preserve">4. Specifying Phase — Findings</w:t>
      </w:r>
    </w:p>
    <w:tbl>
      <w:tblPr>
        <w:tblStyle w:val="Table"/>
        <w:tblW w:type="pct" w:w="4882"/>
        <w:tblLook w:firstRow="1" w:lastRow="0" w:firstColumn="0" w:lastColumn="0" w:noHBand="0" w:noVBand="0" w:val="0020"/>
        <w:jc w:val="start"/>
      </w:tblPr>
      <w:tblGrid>
        <w:gridCol w:w="745"/>
        <w:gridCol w:w="4565"/>
        <w:gridCol w:w="83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references a recognised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830-1998 (Wiegers);</w:t>
            </w:r>
            <w:r>
              <w:t xml:space="preserve"> </w:t>
            </w:r>
            <w:r>
              <w:rPr>
                <w:rStyle w:val="VerbatimChar"/>
              </w:rPr>
              <w:t xml:space="preserve">srs_template-ieee.doc</w:t>
            </w:r>
            <w:r>
              <w:t xml:space="preserve"> </w:t>
            </w:r>
            <w:r>
              <w:t xml:space="preserve">in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repository requirements accounted for in 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Sections 4–6; iRTM chain of custody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iRTM as a standalone extractable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documents/iRTM.docx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management template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requirement-models/Change Request Form Template.docx</w:t>
            </w:r>
          </w:p>
        </w:tc>
      </w:tr>
    </w:tbl>
    <w:bookmarkEnd w:id="25"/>
    <w:bookmarkStart w:id="26" w:name="validating-phase-nevon-findings"/>
    <w:p>
      <w:pPr>
        <w:pStyle w:val="Heading2"/>
      </w:pPr>
      <w:r>
        <w:t xml:space="preserve">5. Validating Phase — Nevon Findings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844"/>
        <w:gridCol w:w="4012"/>
        <w:gridCol w:w="1056"/>
        <w:gridCol w:w="1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change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NS-DECL-2026-001 committed to repository; 5 thresholds and 3 open issues confirmed by BioSec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Editorial checks performed on 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documentary evidence found; SRS Declaration page does not record checks as a distinct activity</w:t>
            </w:r>
          </w:p>
        </w:tc>
      </w:tr>
    </w:tbl>
    <w:bookmarkEnd w:id="26"/>
    <w:bookmarkStart w:id="27" w:name="qc-team-findings"/>
    <w:p>
      <w:pPr>
        <w:pStyle w:val="Heading2"/>
      </w:pPr>
      <w:r>
        <w:t xml:space="preserve">6. QC Team Findings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856"/>
        <w:gridCol w:w="4067"/>
        <w:gridCol w:w="963"/>
        <w:gridCol w:w="1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 in repository or artefacts made available to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 in repository or artefacts made available to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findings documented and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present in repository or artefacts made available to audit</w:t>
            </w:r>
          </w:p>
        </w:tc>
      </w:tr>
    </w:tbl>
    <w:bookmarkEnd w:id="27"/>
    <w:bookmarkStart w:id="28" w:name="summary-of-non-conformances"/>
    <w:p>
      <w:pPr>
        <w:pStyle w:val="Heading2"/>
      </w:pPr>
      <w:r>
        <w:t xml:space="preserve">7. Summary of Non-Conformances</w:t>
      </w:r>
    </w:p>
    <w:tbl>
      <w:tblPr>
        <w:tblStyle w:val="Table"/>
        <w:tblW w:type="pct" w:w="4870"/>
        <w:tblLook w:firstRow="1" w:lastRow="0" w:firstColumn="0" w:lastColumn="0" w:noHBand="0" w:noVBand="0" w:val="0020"/>
        <w:jc w:val="start"/>
      </w:tblPr>
      <w:tblGrid>
        <w:gridCol w:w="1542"/>
        <w:gridCol w:w="1542"/>
        <w:gridCol w:w="1542"/>
        <w:gridCol w:w="1542"/>
        <w:gridCol w:w="1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NC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V-01 —</w:t>
            </w:r>
            <w:r>
              <w:t xml:space="preserve"> </w:t>
            </w:r>
            <w:r>
              <w:t xml:space="preserve">Requirements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Undocumented</w:t>
            </w:r>
            <w:r>
              <w:t xml:space="preserve"> </w:t>
            </w:r>
            <w:r>
              <w:t xml:space="preserve">requirement</w:t>
            </w:r>
            <w:r>
              <w:t xml:space="preserve"> </w:t>
            </w:r>
            <w:r>
              <w:t xml:space="preserve">changes</w:t>
            </w:r>
            <w:r>
              <w:t xml:space="preserve"> </w:t>
            </w:r>
            <w:r>
              <w:t xml:space="preserve">confirmed via</w:t>
            </w:r>
            <w:r>
              <w:t xml:space="preserve"> </w:t>
            </w:r>
            <w:r>
              <w:t xml:space="preserve">NS-DECL-2026-001;</w:t>
            </w:r>
            <w:r>
              <w:t xml:space="preserve"> </w:t>
            </w:r>
            <w:r>
              <w:t xml:space="preserve">committed to</w:t>
            </w:r>
            <w:r>
              <w:t xml:space="preserve"> </w:t>
            </w: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V-02 —</w:t>
            </w:r>
            <w:r>
              <w:t xml:space="preserve"> </w:t>
            </w:r>
            <w:r>
              <w:t xml:space="preserve">Editorial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documentary</w:t>
            </w:r>
            <w:r>
              <w:t xml:space="preserve"> </w:t>
            </w:r>
            <w:r>
              <w:t xml:space="preserve">evidence of</w:t>
            </w:r>
            <w:r>
              <w:t xml:space="preserve"> </w:t>
            </w:r>
            <w:r>
              <w:t xml:space="preserve">spell,</w:t>
            </w:r>
            <w:r>
              <w:t xml:space="preserve"> </w:t>
            </w:r>
            <w:r>
              <w:t xml:space="preserve">grammar, or</w:t>
            </w:r>
            <w:r>
              <w:t xml:space="preserve"> </w:t>
            </w:r>
            <w:r>
              <w:t xml:space="preserve">editorial</w:t>
            </w:r>
            <w:r>
              <w:t xml:space="preserve"> </w:t>
            </w:r>
            <w:r>
              <w:t xml:space="preserve">checks found</w:t>
            </w:r>
            <w:r>
              <w:t xml:space="preserve"> </w:t>
            </w:r>
            <w:r>
              <w:t xml:space="preserve">in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Validating</w:t>
            </w:r>
            <w:r>
              <w:t xml:space="preserve"> </w:t>
            </w:r>
            <w:r>
              <w:t xml:space="preserve">(QC team,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Q-01 —</w:t>
            </w:r>
            <w:r>
              <w:t xml:space="preserve"> </w:t>
            </w:r>
            <w:r>
              <w:t xml:space="preserve">QC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plan not</w:t>
            </w:r>
            <w:r>
              <w:t xml:space="preserve"> </w:t>
            </w:r>
            <w:r>
              <w:t xml:space="preserve">present in</w:t>
            </w:r>
            <w:r>
              <w:t xml:space="preserve"> </w:t>
            </w:r>
            <w:r>
              <w:t xml:space="preserve">repository or</w:t>
            </w:r>
            <w:r>
              <w:t xml:space="preserve"> </w:t>
            </w:r>
            <w:r>
              <w:t xml:space="preserve">artefacts made</w:t>
            </w:r>
            <w:r>
              <w:t xml:space="preserve"> </w:t>
            </w:r>
            <w:r>
              <w:t xml:space="preserve">available to</w:t>
            </w:r>
            <w:r>
              <w:t xml:space="preserve"> </w:t>
            </w:r>
            <w:r>
              <w:t xml:space="preserve">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Validating</w:t>
            </w:r>
            <w:r>
              <w:t xml:space="preserve"> </w:t>
            </w:r>
            <w:r>
              <w:t xml:space="preserve">(QC team,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Q-02 —</w:t>
            </w:r>
            <w:r>
              <w:t xml:space="preserve"> </w:t>
            </w:r>
            <w:r>
              <w:t xml:space="preserve">QC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checklist</w:t>
            </w:r>
            <w:r>
              <w:t xml:space="preserve"> </w:t>
            </w:r>
            <w:r>
              <w:t xml:space="preserve">not present in</w:t>
            </w:r>
            <w:r>
              <w:t xml:space="preserve"> </w:t>
            </w:r>
            <w:r>
              <w:t xml:space="preserve">repository or</w:t>
            </w:r>
            <w:r>
              <w:t xml:space="preserve"> </w:t>
            </w:r>
            <w:r>
              <w:t xml:space="preserve">artefacts made</w:t>
            </w:r>
            <w:r>
              <w:t xml:space="preserve"> </w:t>
            </w:r>
            <w:r>
              <w:t xml:space="preserve">available to</w:t>
            </w:r>
            <w:r>
              <w:t xml:space="preserve"> </w:t>
            </w:r>
            <w:r>
              <w:t xml:space="preserve">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Validating</w:t>
            </w:r>
            <w:r>
              <w:t xml:space="preserve"> </w:t>
            </w:r>
            <w:r>
              <w:t xml:space="preserve">(QC team,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Q-03 —</w:t>
            </w:r>
            <w:r>
              <w:t xml:space="preserve"> </w:t>
            </w:r>
            <w:r>
              <w:t xml:space="preserve">QC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findings</w:t>
            </w:r>
            <w:r>
              <w:t xml:space="preserve"> </w:t>
            </w:r>
            <w:r>
              <w:t xml:space="preserve">not present in</w:t>
            </w:r>
            <w:r>
              <w:t xml:space="preserve"> </w:t>
            </w:r>
            <w:r>
              <w:t xml:space="preserve">repository or</w:t>
            </w:r>
            <w:r>
              <w:t xml:space="preserve"> </w:t>
            </w:r>
            <w:r>
              <w:t xml:space="preserve">artefacts made</w:t>
            </w:r>
            <w:r>
              <w:t xml:space="preserve"> </w:t>
            </w:r>
            <w:r>
              <w:t xml:space="preserve">available to</w:t>
            </w:r>
            <w:r>
              <w:t xml:space="preserve"> </w:t>
            </w:r>
            <w:r>
              <w:t xml:space="preserve">audit</w:t>
            </w:r>
          </w:p>
        </w:tc>
      </w:tr>
    </w:tbl>
    <w:bookmarkEnd w:id="28"/>
    <w:bookmarkStart w:id="29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The Analysing and Specifying phases of the Nevon Solutions RE process</w:t>
      </w:r>
      <w:r>
        <w:t xml:space="preserve"> </w:t>
      </w:r>
      <w:r>
        <w:t xml:space="preserve">for Project P2-1561W are complete and well-evidenced. All seven</w:t>
      </w:r>
      <w:r>
        <w:t xml:space="preserve"> </w:t>
      </w:r>
      <w:r>
        <w:t xml:space="preserve">Analysing phase items and all four Specifying phase items were confirmed</w:t>
      </w:r>
      <w:r>
        <w:t xml:space="preserve"> </w:t>
      </w:r>
      <w:r>
        <w:t xml:space="preserve">as passing based on documentary evidence in the repository. Key</w:t>
      </w:r>
      <w:r>
        <w:t xml:space="preserve"> </w:t>
      </w:r>
      <w:r>
        <w:t xml:space="preserve">strengths include the thorough and systematic use of the IRC</w:t>
      </w:r>
      <w:r>
        <w:t xml:space="preserve"> </w:t>
      </w:r>
      <w:r>
        <w:t xml:space="preserve">(NS-IRC-2026-001), clear traceability of models from original to revised</w:t>
      </w:r>
      <w:r>
        <w:t xml:space="preserve"> </w:t>
      </w:r>
      <w:r>
        <w:t xml:space="preserve">versions, and the presence of all required standalone artefacts (IRC,</w:t>
      </w:r>
      <w:r>
        <w:t xml:space="preserve"> </w:t>
      </w:r>
      <w:r>
        <w:t xml:space="preserve">iRTM, Change Request Form Template, IEEE SRS template).</w:t>
      </w:r>
    </w:p>
    <w:p>
      <w:pPr>
        <w:pStyle w:val="BodyText"/>
      </w:pPr>
      <w:r>
        <w:t xml:space="preserve">The Validating phase presents two areas that could not be confirmed from</w:t>
      </w:r>
      <w:r>
        <w:t xml:space="preserve"> </w:t>
      </w:r>
      <w:r>
        <w:t xml:space="preserve">Nevon’s own artefacts. One item (NC-02) requires further investigation</w:t>
      </w:r>
      <w:r>
        <w:t xml:space="preserve"> </w:t>
      </w:r>
      <w:r>
        <w:t xml:space="preserve">to determine its status: evidence of editorial checks requires either</w:t>
      </w:r>
      <w:r>
        <w:t xml:space="preserve"> </w:t>
      </w:r>
      <w:r>
        <w:t xml:space="preserve">direct document access or interview/focus group confirmation. NC-01</w:t>
      </w:r>
      <w:r>
        <w:t xml:space="preserve"> </w:t>
      </w:r>
      <w:r>
        <w:t xml:space="preserve">(customer sign-off) has been resolved via the BioSec Change Request</w:t>
      </w:r>
      <w:r>
        <w:t xml:space="preserve"> </w:t>
      </w:r>
      <w:r>
        <w:t xml:space="preserve">Declaration Form (NS-DECL-2026-001) committed to the repository.</w:t>
      </w:r>
    </w:p>
    <w:p>
      <w:pPr>
        <w:pStyle w:val="BodyText"/>
      </w:pPr>
      <w:r>
        <w:t xml:space="preserve">Three definitive non-conformances (NC-03, NC-04, NC-05) are</w:t>
      </w:r>
      <w:r>
        <w:t xml:space="preserve"> </w:t>
      </w:r>
      <w:r>
        <w:t xml:space="preserve">attributable to the external QC team: the QC plan, checklist, and</w:t>
      </w:r>
      <w:r>
        <w:t xml:space="preserve"> </w:t>
      </w:r>
      <w:r>
        <w:t xml:space="preserve">findings are absent from all artefacts reviewed. These are reported</w:t>
      </w:r>
      <w:r>
        <w:t xml:space="preserve"> </w:t>
      </w:r>
      <w:r>
        <w:t xml:space="preserve">separately in §7.</w:t>
      </w:r>
    </w:p>
    <w:p>
      <w:pPr>
        <w:pStyle w:val="BodyText"/>
      </w:pPr>
      <w:r>
        <w:t xml:space="preserve">This report is a factual record of the process state as observed by</w:t>
      </w:r>
      <w:r>
        <w:t xml:space="preserve"> </w:t>
      </w:r>
      <w:r>
        <w:t xml:space="preserve">Paragon Assurance. No solutions or corrective actions are proposed.</w:t>
      </w:r>
    </w:p>
    <w:bookmarkEnd w:id="29"/>
    <w:bookmarkStart w:id="30" w:name="annexes"/>
    <w:p>
      <w:pPr>
        <w:pStyle w:val="Heading2"/>
      </w:pPr>
      <w:r>
        <w:t xml:space="preserve">Annexes</w:t>
      </w:r>
    </w:p>
    <w:p>
      <w:pPr>
        <w:pStyle w:val="FirstParagraph"/>
      </w:pPr>
      <w:r>
        <w:rPr>
          <w:iCs/>
          <w:i/>
        </w:rPr>
        <w:t xml:space="preserve">Annexes contain physical copies of standalone external artefacts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referenced as evidence in this report. To be populated as evidence is</w:t>
      </w:r>
      <w:r>
        <w:rPr>
          <w:iCs/>
          <w:i/>
        </w:rPr>
        <w:t xml:space="preserve"> </w:t>
      </w:r>
      <w:r>
        <w:rPr>
          <w:iCs/>
          <w:i/>
        </w:rPr>
        <w:t xml:space="preserve">gathered, particularly for items requiring follow-up (NC-02).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Annex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IRC — Incongruous Requirements</w:t>
            </w:r>
            <w:r>
              <w:t xml:space="preserve"> </w:t>
            </w:r>
            <w:r>
              <w:t xml:space="preserve">Checklist (NS-IRC-2026-001) —</w:t>
            </w:r>
            <w:r>
              <w:t xml:space="preserve"> </w:t>
            </w:r>
            <w:r>
              <w:t xml:space="preserve">evidence for A-06, A-07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Analysing Report cover page and</w:t>
            </w:r>
            <w:r>
              <w:t xml:space="preserve"> </w:t>
            </w:r>
            <w:r>
              <w:t xml:space="preserve">sign-off — evidence for A-01,</w:t>
            </w:r>
            <w:r>
              <w:t xml:space="preserve"> </w:t>
            </w:r>
            <w:r>
              <w:t xml:space="preserve">A-02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Section 1.2 (template</w:t>
            </w:r>
            <w:r>
              <w:t xml:space="preserve"> </w:t>
            </w:r>
            <w:r>
              <w:t xml:space="preserve">reference) — evidence for S-01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Section 1.1 and iRTM reference</w:t>
            </w:r>
            <w:r>
              <w:t xml:space="preserve"> </w:t>
            </w:r>
            <w:r>
              <w:t xml:space="preserve">— evidence for S-02, 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BioSec Change Request Declaration</w:t>
            </w:r>
            <w:r>
              <w:t xml:space="preserve"> </w:t>
            </w:r>
            <w:r>
              <w:t xml:space="preserve">Form (NS-DECL-2026-001) —</w:t>
            </w:r>
            <w:r>
              <w:t xml:space="preserve"> </w:t>
            </w:r>
            <w:r>
              <w:t xml:space="preserve">evidence for NC-01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(To be added)</w:t>
            </w:r>
            <w:r>
              <w:t xml:space="preserve"> </w:t>
            </w:r>
            <w:r>
              <w:t xml:space="preserve">Interview/focus</w:t>
            </w:r>
            <w:r>
              <w:t xml:space="preserve"> </w:t>
            </w:r>
            <w:r>
              <w:t xml:space="preserve">group record — pending NC-02</w:t>
            </w:r>
            <w:r>
              <w:t xml:space="preserve"> </w:t>
            </w:r>
            <w:r>
              <w:t xml:space="preserve">follow-up</w:t>
            </w:r>
          </w:p>
        </w:tc>
      </w:tr>
    </w:tbl>
    <w:bookmarkEnd w:id="30"/>
    <w:bookmarkStart w:id="31" w:name="appendices"/>
    <w:p>
      <w:pPr>
        <w:pStyle w:val="Heading2"/>
      </w:pPr>
      <w:r>
        <w:t xml:space="preserve">Appendices</w:t>
      </w:r>
    </w:p>
    <w:p>
      <w:pPr>
        <w:pStyle w:val="FirstParagraph"/>
      </w:pPr>
      <w:r>
        <w:rPr>
          <w:iCs/>
          <w:i/>
        </w:rPr>
        <w:t xml:space="preserve">Appendices contain detailed investigation notes where the search for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was extended or non-trivial.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Appendix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 notes —</w:t>
            </w:r>
            <w:r>
              <w:t xml:space="preserve"> </w:t>
            </w:r>
            <w:r>
              <w:t xml:space="preserve">Requirements change documentation</w:t>
            </w:r>
            <w:r>
              <w:t xml:space="preserve"> </w:t>
            </w:r>
            <w:r>
              <w:t xml:space="preserve">(NC-01): undocumented quantitative</w:t>
            </w:r>
            <w:r>
              <w:t xml:space="preserve"> </w:t>
            </w:r>
            <w:r>
              <w:t xml:space="preserve">thresholds and open issue</w:t>
            </w:r>
            <w:r>
              <w:t xml:space="preserve"> </w:t>
            </w:r>
            <w:r>
              <w:t xml:space="preserve">resolutions identified during</w:t>
            </w:r>
            <w:r>
              <w:t xml:space="preserve"> </w:t>
            </w:r>
            <w:r>
              <w:t xml:space="preserve">traceability review; basis for</w:t>
            </w:r>
            <w:r>
              <w:t xml:space="preserve"> </w:t>
            </w:r>
            <w:r>
              <w:t xml:space="preserve">initial Partial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Appendix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 notes — QC</w:t>
            </w:r>
            <w:r>
              <w:t xml:space="preserve"> </w:t>
            </w:r>
            <w:r>
              <w:t xml:space="preserve">artefacts (NC-03, NC-04, NC-05):</w:t>
            </w:r>
            <w:r>
              <w:t xml:space="preserve"> </w:t>
            </w:r>
            <w:r>
              <w:t xml:space="preserve">repository search record,</w:t>
            </w:r>
            <w:r>
              <w:t xml:space="preserve"> </w:t>
            </w:r>
            <w:r>
              <w:t xml:space="preserve">directories examined, null result</w:t>
            </w:r>
          </w:p>
        </w:tc>
      </w:tr>
    </w:tbl>
    <w:p>
      <w:pPr>
        <w:pStyle w:val="BodyText"/>
      </w:pPr>
      <w:r>
        <w:rPr>
          <w:iCs/>
          <w:i/>
        </w:rPr>
        <w:t xml:space="preserve">Report prepared by Paragon Assurance.</w:t>
      </w:r>
    </w:p>
    <w:tbl>
      <w:tblPr>
        <w:tblStyle w:val="Table"/>
        <w:tblW w:type="pct" w:w="4888"/>
        <w:tblLook w:firstRow="1" w:lastRow="0" w:firstColumn="0" w:lastColumn="0" w:noHBand="0" w:noVBand="0" w:val="0020"/>
        <w:jc w:val="start"/>
      </w:tblPr>
      <w:tblGrid>
        <w:gridCol w:w="2135"/>
        <w:gridCol w:w="3470"/>
        <w:gridCol w:w="21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(Paragon Assurance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Representative)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March 2026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2026-03-18T14:00:46Z</dcterms:created>
  <dcterms:modified xsi:type="dcterms:W3CDTF">2026-03-18T14:00:46Z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