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qa-audit-checklist"/>
    <w:p>
      <w:pPr>
        <w:pStyle w:val="Heading1"/>
      </w:pPr>
      <w:r>
        <w:t xml:space="preserve">QA Audit Checklist</w:t>
      </w:r>
    </w:p>
    <w:p>
      <w:pPr>
        <w:pStyle w:val="FirstParagraph"/>
      </w:pPr>
      <w:r>
        <w:rPr>
          <w:bCs/>
          <w:b/>
        </w:rPr>
        <w:t xml:space="preserve">Paragon Assurance — Quality Assurance Audit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Checklist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PA-QA-2026-002-CL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PA-QA-2026-002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(Vendor under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Nevon Solutions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P2-1561W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Paragon Assurance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March 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key:</w:t>
      </w:r>
      <w:r>
        <w:t xml:space="preserve"> </w:t>
      </w:r>
      <w:r>
        <w:t xml:space="preserve">Pass = evidence confirmed | Fail = evidence not found | Partial = evidence found but incomplete or unverified | N/A = not applicable</w:t>
      </w:r>
    </w:p>
    <w:p>
      <w:r>
        <w:pict>
          <v:rect style="width:0;height:1.5pt" o:hralign="center" o:hrstd="t" o:hr="t"/>
        </w:pict>
      </w:r>
    </w:p>
    <w:bookmarkStart w:id="20" w:name="phase-1-analysing"/>
    <w:p>
      <w:pPr>
        <w:pStyle w:val="Heading2"/>
      </w:pPr>
      <w:r>
        <w:t xml:space="preserve">Phase 1: Analysing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Specification (PS) available in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 Specification_1561W.pdf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present in vendor repository as</w:t>
            </w:r>
            <w:r>
              <w:t xml:space="preserve"> </w:t>
            </w:r>
            <w:r>
              <w:rPr>
                <w:rStyle w:val="VerbatimChar"/>
              </w:rPr>
              <w:t xml:space="preserve">Project Specification_1561W.pdf</w:t>
            </w:r>
            <w:r>
              <w:t xml:space="preserve">. Referenced throughout Analysing Report (NS-AR-2026-001).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for the Analysis phase exists (written plan, chat log, task list, or agenda)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requirement-models/BioSec Gantt Chart.xlsx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Gantt Chart (</w:t>
            </w:r>
            <w:r>
              <w:rPr>
                <w:rStyle w:val="VerbatimChar"/>
              </w:rPr>
              <w:t xml:space="preserve">BioSec Gantt Chart.xlsx</w:t>
            </w:r>
            <w:r>
              <w:t xml:space="preserve">) present in repository constitutes planning evidence. Analysing Report further documents structured breakdown over 10 working days and clarification over 8 working days with named meeting codes (BC-01, TC-02).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from PS carried forward into Analysis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Analysing Report Appendix B (context diagram); Appendix A (paper napkin);</w:t>
            </w:r>
            <w:r>
              <w:t xml:space="preserve"> </w:t>
            </w:r>
            <w:r>
              <w:rPr>
                <w:rStyle w:val="VerbatimChar"/>
              </w:rPr>
              <w:t xml:space="preserve">requirement-models/context-diagram.pdf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requirement-models/paper-napkin-model.jpg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diagram from PS carried forward and revised (see A-04). Paper napkin model created during BC-01 clarification session (07/02/2026) and retained. Both present in Analysing Report appendices and as standalone files in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were revised; both original and revised versions are retained and distinguishable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context diagram: PS (</w:t>
            </w:r>
            <w:r>
              <w:rPr>
                <w:rStyle w:val="VerbatimChar"/>
              </w:rPr>
              <w:t xml:space="preserve">Project Specification_1561W.pdf</w:t>
            </w:r>
            <w:r>
              <w:t xml:space="preserve">); Revised: Analysing Report Appendix B +</w:t>
            </w:r>
            <w:r>
              <w:t xml:space="preserve"> </w:t>
            </w:r>
            <w:r>
              <w:rPr>
                <w:rStyle w:val="VerbatimChar"/>
              </w:rPr>
              <w:t xml:space="preserve">requirement-models/context-diagram.pdf</w:t>
            </w:r>
            <w:r>
              <w:t xml:space="preserve">; Original paper napkin: Appendix A +</w:t>
            </w:r>
            <w:r>
              <w:t xml:space="preserve"> </w:t>
            </w:r>
            <w:r>
              <w:rPr>
                <w:rStyle w:val="VerbatimChar"/>
              </w:rPr>
              <w:t xml:space="preserve">requirement-models/paper-napkin-model.jpg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Analysing Report explicitly labels Appendix B as</w:t>
            </w:r>
            <w:r>
              <w:t xml:space="preserve"> </w:t>
            </w:r>
            <w:r>
              <w:t xml:space="preserve">“</w:t>
            </w:r>
            <w:r>
              <w:t xml:space="preserve">Context Diagram (Revised)</w:t>
            </w:r>
            <w:r>
              <w:t xml:space="preserve">”</w:t>
            </w:r>
            <w:r>
              <w:t xml:space="preserve"> </w:t>
            </w:r>
            <w:r>
              <w:t xml:space="preserve">with caption</w:t>
            </w:r>
            <w:r>
              <w:t xml:space="preserve"> </w:t>
            </w:r>
            <w:r>
              <w:t xml:space="preserve">“</w:t>
            </w:r>
            <w:r>
              <w:t xml:space="preserve">Revised version of the Context Diagram originally provided in the BioSec Project Specification (PS).</w:t>
            </w:r>
            <w:r>
              <w:t xml:space="preserve">”</w:t>
            </w:r>
            <w:r>
              <w:t xml:space="preserve"> </w:t>
            </w:r>
            <w:r>
              <w:t xml:space="preserve">Original PS diagram traceable via PS document. Paper napkin is attributed to BC-01 (07/02/2026) and 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codified with unique identifiers (e.g. BOR-xxx, TR-xxx)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requirements/bizops-requirements.md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requirements/technical-requirements.md</w:t>
            </w:r>
            <w:r>
              <w:t xml:space="preserve">; Analysing Report Section 2.2–2.3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carry unique IDs using BOR-0-xx, BOR-1-xx, and TR-x-xx prefix scheme throughout the Analysing Report and repository requirements files. Atomic requirements carry both an atomic ID and a parent ID (e.g. BOR-1-MOB-02a, parent BOR-1-MOB-02).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exists as a standalone extractable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documents/IRC_Nevon_Solutions.pdf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present as a standalone PDF file (Document ID: NS-IRC-2026-001, dated 8 February 2026, prepared by Nevon Solutions Business Analysis Department).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was used (filled in with project-specific content; not a blank 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documents/IRC_Nevon_Solutions.pdf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of the nine IRC categories (Imperative, Continuance, Ambiguity, Testability, Consistency, Completeness, Feasibility, Compound, PDPA Compliance, External Systems) contains a completed</w:t>
            </w:r>
            <w:r>
              <w:t xml:space="preserve"> </w:t>
            </w:r>
            <w:r>
              <w:t xml:space="preserve">“</w:t>
            </w:r>
            <w:r>
              <w:t xml:space="preserve">Application in This Project</w:t>
            </w:r>
            <w:r>
              <w:t xml:space="preserve">”</w:t>
            </w:r>
            <w:r>
              <w:t xml:space="preserve"> </w:t>
            </w:r>
            <w:r>
              <w:t xml:space="preserve">column with project-specific findings. The closing statement confirms:</w:t>
            </w:r>
            <w:r>
              <w:t xml:space="preserve"> </w:t>
            </w:r>
            <w:r>
              <w:t xml:space="preserve">“</w:t>
            </w:r>
            <w:r>
              <w:t xml:space="preserve">The IRC guided all BCIC Breakdown activities and ensured disciplined, consistent rewriting of all 27 requirements from the BioSec Project Specification.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hase-2-specifying"/>
    <w:p>
      <w:pPr>
        <w:pStyle w:val="Heading2"/>
      </w:pPr>
      <w:r>
        <w:t xml:space="preserve">Phase 2: Specifying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references a recognised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documents/SRS_1561W.pdf</w:t>
            </w:r>
            <w:r>
              <w:t xml:space="preserve">, Section 1.2 (Document Conventions);</w:t>
            </w:r>
            <w:r>
              <w:t xml:space="preserve"> </w:t>
            </w:r>
            <w:r>
              <w:rPr>
                <w:rStyle w:val="VerbatimChar"/>
              </w:rPr>
              <w:t xml:space="preserve">documents/srs_template-ieee.doc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Section 1.2 states:</w:t>
            </w:r>
            <w:r>
              <w:t xml:space="preserve"> </w:t>
            </w:r>
            <w:r>
              <w:t xml:space="preserve">“</w:t>
            </w:r>
            <w:r>
              <w:t xml:space="preserve">This SRS is based on the IEEE Recommended Practice for Software Requirements Specifications (IEEE Std 830-1998) template by Karl E. Wiegers.</w:t>
            </w:r>
            <w:r>
              <w:t xml:space="preserve">”</w:t>
            </w:r>
            <w:r>
              <w:t xml:space="preserve"> </w:t>
            </w:r>
            <w:r>
              <w:t xml:space="preserve">The original IEEE template file (</w:t>
            </w:r>
            <w:r>
              <w:rPr>
                <w:rStyle w:val="VerbatimChar"/>
              </w:rPr>
              <w:t xml:space="preserve">srs_template-ieee.doc</w:t>
            </w:r>
            <w:r>
              <w:t xml:space="preserve">) is also present in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repository requirements are accounted for in the SRS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requirements/bizops-requirements.md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requirements/technical-requirements.md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documents/SRS_1561W.pdf</w:t>
            </w:r>
            <w:r>
              <w:t xml:space="preserve"> </w:t>
            </w:r>
            <w:r>
              <w:t xml:space="preserve">Section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Section 1.1 states it</w:t>
            </w:r>
            <w:r>
              <w:t xml:space="preserve"> </w:t>
            </w:r>
            <w:r>
              <w:t xml:space="preserve">“</w:t>
            </w:r>
            <w:r>
              <w:t xml:space="preserve">incorporates all business operations and technical requirements produced from the Analysing method.</w:t>
            </w:r>
            <w:r>
              <w:t xml:space="preserve">”</w:t>
            </w:r>
            <w:r>
              <w:t xml:space="preserve"> </w:t>
            </w:r>
            <w:r>
              <w:t xml:space="preserve">Requirement IDs traceable throughout SRS Sections 4–6 and via iRTM (Appendix D). Traceability from PS to SRS documented in iRTM.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iRTM exists as a standalone extractable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documents/iRTM.docx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iRTM present as a standalone Word document (</w:t>
            </w:r>
            <w:r>
              <w:rPr>
                <w:rStyle w:val="VerbatimChar"/>
              </w:rPr>
              <w:t xml:space="preserve">iRTM.docx</w:t>
            </w:r>
            <w:r>
              <w:t xml:space="preserve">) in the repository. SRS also references and embeds iRTM content in Appendix D, but the standalone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file satisfies the extractability requirement.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management template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requirement-models/Change Request Form Template.docx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documents/SRS_1561W.pdf</w:t>
            </w:r>
            <w:r>
              <w:t xml:space="preserve"> </w:t>
            </w:r>
            <w:r>
              <w:t xml:space="preserve">Appendix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Request Form Template present as a standalone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file in the repository. SRS Section 8.3 (High-Risk Change Control Process) and Appendix E also contain the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hase-3-validating"/>
    <w:p>
      <w:pPr>
        <w:pStyle w:val="Heading2"/>
      </w:pPr>
      <w:r>
        <w:t xml:space="preserve">Phase 3: Validating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(BioSec) has signed off on the SRS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documents/SRS_1561W.pdf</w:t>
            </w:r>
            <w:r>
              <w:t xml:space="preserve"> </w:t>
            </w:r>
            <w:r>
              <w:t xml:space="preserve">Section 9 (SRS Sign off, p. 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is at Version 0.8 (dated 3 March 2026), indicating a pre-release draft. SRS Section 9 (p. 19) was not accessible during document review; direct examination of the sign-off page is required. Customer signature status cannot be confirmed from available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Editorial checks performed on SRS (spell check, grammar check, editorial 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 in reviewed artefacts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documentary evidence of editorial checks (spell, grammar, editorial review completion records or annotation) was found in the repository. Requires confirmation via interview or focus group with Nevon Solutions.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plan exists and is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 in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QC plan was located anywhere in the Nevon Solutions repository or in the artefacts provided to Paragon Assurance for this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checklist exists and is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 in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QC checklist was located anywhere in the Nevon Solutions repository or in the artefacts provided to Paragon Assurance for this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findings are documented and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 in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QC findings report or findings record was located anywhere in the Nevon Solutions repository or in the artefacts provided to Paragon Assurance for this audit.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ummary-count"/>
    <w:p>
      <w:pPr>
        <w:pStyle w:val="Heading2"/>
      </w:pPr>
      <w:r>
        <w:t xml:space="preserve">Summary Count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Specifying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Checklist completed by Paragon Assurance auditor.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(Paragon Assurance Representative)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March 2026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2026-03-18T09:37:45Z</dcterms:created>
  <dcterms:modified xsi:type="dcterms:W3CDTF">2026-03-18T09:37:45Z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