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qa-audit-plan"/>
    <w:p>
      <w:pPr>
        <w:pStyle w:val="Heading1"/>
      </w:pPr>
      <w:r>
        <w:t xml:space="preserve">QA Audit Plan</w:t>
      </w:r>
    </w:p>
    <w:p>
      <w:pPr>
        <w:pStyle w:val="FirstParagraph"/>
      </w:pPr>
      <w:r>
        <w:rPr>
          <w:bCs/>
          <w:b/>
        </w:rPr>
        <w:t xml:space="preserve">Paragon Assurance — Quality Assurance Audit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Audit Reference</w:t>
            </w:r>
          </w:p>
        </w:tc>
        <w:tc>
          <w:tcPr/>
          <w:p>
            <w:pPr>
              <w:pStyle w:val="Compact"/>
              <w:jc w:val="left"/>
            </w:pPr>
            <w:r>
              <w:t xml:space="preserve">PA-QA-2026-002</w:t>
            </w:r>
          </w:p>
        </w:tc>
      </w:tr>
      <w:tr>
        <w:tc>
          <w:tcPr/>
          <w:p>
            <w:pPr>
              <w:pStyle w:val="Compact"/>
              <w:jc w:val="left"/>
            </w:pPr>
            <w:r>
              <w:rPr>
                <w:bCs/>
                <w:b/>
              </w:rPr>
              <w:t xml:space="preserve">Customer (Vendor under audit)</w:t>
            </w:r>
          </w:p>
        </w:tc>
        <w:tc>
          <w:tcPr/>
          <w:p>
            <w:pPr>
              <w:pStyle w:val="Compact"/>
              <w:jc w:val="left"/>
            </w:pPr>
            <w:r>
              <w:t xml:space="preserve">Nevon Solutions</w:t>
            </w:r>
          </w:p>
        </w:tc>
      </w:tr>
      <w:tr>
        <w:tc>
          <w:tcPr/>
          <w:p>
            <w:pPr>
              <w:pStyle w:val="Compact"/>
              <w:jc w:val="left"/>
            </w:pPr>
            <w:r>
              <w:rPr>
                <w:bCs/>
                <w:b/>
              </w:rPr>
              <w:t xml:space="preserve">End Customer</w:t>
            </w:r>
          </w:p>
        </w:tc>
        <w:tc>
          <w:tcPr/>
          <w:p>
            <w:pPr>
              <w:pStyle w:val="Compact"/>
              <w:jc w:val="left"/>
            </w:pPr>
            <w:r>
              <w:t xml:space="preserve">BioSec Educational Institution</w:t>
            </w:r>
          </w:p>
        </w:tc>
      </w:tr>
      <w:tr>
        <w:tc>
          <w:tcPr/>
          <w:p>
            <w:pPr>
              <w:pStyle w:val="Compact"/>
              <w:jc w:val="left"/>
            </w:pPr>
            <w:r>
              <w:rPr>
                <w:bCs/>
                <w:b/>
              </w:rPr>
              <w:t xml:space="preserve">Project ID</w:t>
            </w:r>
          </w:p>
        </w:tc>
        <w:tc>
          <w:tcPr/>
          <w:p>
            <w:pPr>
              <w:pStyle w:val="Compact"/>
              <w:jc w:val="left"/>
            </w:pPr>
            <w:r>
              <w:t xml:space="preserve">P2-1561W</w:t>
            </w:r>
          </w:p>
        </w:tc>
      </w:tr>
      <w:tr>
        <w:tc>
          <w:tcPr/>
          <w:p>
            <w:pPr>
              <w:pStyle w:val="Compact"/>
              <w:jc w:val="left"/>
            </w:pPr>
            <w:r>
              <w:rPr>
                <w:bCs/>
                <w:b/>
              </w:rPr>
              <w:t xml:space="preserve">Subject of Audit</w:t>
            </w:r>
          </w:p>
        </w:tc>
        <w:tc>
          <w:tcPr/>
          <w:p>
            <w:pPr>
              <w:pStyle w:val="Compact"/>
              <w:jc w:val="left"/>
            </w:pPr>
            <w:r>
              <w:t xml:space="preserve">Requirements Engineering (RE) Process — Biometric Student Attendance System</w:t>
            </w:r>
          </w:p>
        </w:tc>
      </w:tr>
      <w:tr>
        <w:tc>
          <w:tcPr/>
          <w:p>
            <w:pPr>
              <w:pStyle w:val="Compact"/>
              <w:jc w:val="left"/>
            </w:pPr>
            <w:r>
              <w:rPr>
                <w:bCs/>
                <w:b/>
              </w:rPr>
              <w:t xml:space="preserve">Auditor</w:t>
            </w:r>
          </w:p>
        </w:tc>
        <w:tc>
          <w:tcPr/>
          <w:p>
            <w:pPr>
              <w:pStyle w:val="Compact"/>
              <w:jc w:val="left"/>
            </w:pPr>
            <w:r>
              <w:t xml:space="preserve">Paragon Assurance</w:t>
            </w:r>
          </w:p>
        </w:tc>
      </w:tr>
      <w:tr>
        <w:tc>
          <w:tcPr/>
          <w:p>
            <w:pPr>
              <w:pStyle w:val="Compact"/>
              <w:jc w:val="left"/>
            </w:pPr>
            <w:r>
              <w:rPr>
                <w:bCs/>
                <w:b/>
              </w:rPr>
              <w:t xml:space="preserve">Date of Plan</w:t>
            </w:r>
          </w:p>
        </w:tc>
        <w:tc>
          <w:tcPr/>
          <w:p>
            <w:pPr>
              <w:pStyle w:val="Compact"/>
              <w:jc w:val="left"/>
            </w:pPr>
            <w:r>
              <w:t xml:space="preserve">18 March 2026</w:t>
            </w:r>
          </w:p>
        </w:tc>
      </w:tr>
    </w:tbl>
    <w:p>
      <w:r>
        <w:pict>
          <v:rect style="width:0;height:1.5pt" o:hralign="center" o:hrstd="t" o:hr="t"/>
        </w:pict>
      </w:r>
    </w:p>
    <w:bookmarkStart w:id="20" w:name="purpose"/>
    <w:p>
      <w:pPr>
        <w:pStyle w:val="Heading2"/>
      </w:pPr>
      <w:r>
        <w:t xml:space="preserve">1. Purpose</w:t>
      </w:r>
    </w:p>
    <w:p>
      <w:pPr>
        <w:pStyle w:val="FirstParagraph"/>
      </w:pPr>
      <w:r>
        <w:t xml:space="preserve">This document defines the plan by which Paragon Assurance will conduct its quality assurance audit of the Requirements Engineering (RE) process performed by Nevon Solutions for BioSec Educational Institution (Project ID: P2-1561W).</w:t>
      </w:r>
    </w:p>
    <w:p>
      <w:pPr>
        <w:pStyle w:val="BodyText"/>
      </w:pPr>
      <w:r>
        <w:t xml:space="preserve">The purpose of the audit is to verify that Nevon Solutions followed a complete and honest RE process — not to assess the content quality of individual requirements or documents. The audit is process-focused: it checks that the expected steps were started, executed, and concluded with appropriate artefacts as evidence.</w:t>
      </w:r>
    </w:p>
    <w:p>
      <w:r>
        <w:pict>
          <v:rect style="width:0;height:1.5pt" o:hralign="center" o:hrstd="t" o:hr="t"/>
        </w:pict>
      </w:r>
    </w:p>
    <w:bookmarkEnd w:id="20"/>
    <w:bookmarkStart w:id="21" w:name="scope"/>
    <w:p>
      <w:pPr>
        <w:pStyle w:val="Heading2"/>
      </w:pPr>
      <w:r>
        <w:t xml:space="preserve">2. Scope</w:t>
      </w:r>
    </w:p>
    <w:p>
      <w:pPr>
        <w:pStyle w:val="FirstParagraph"/>
      </w:pPr>
      <w:r>
        <w:t xml:space="preserve">The audit covers three RE phases in which Nevon Solutions was the responsible party: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What Is Audited</w:t>
            </w:r>
          </w:p>
        </w:tc>
      </w:tr>
      <w:tr>
        <w:tc>
          <w:tcPr/>
          <w:p>
            <w:pPr>
              <w:pStyle w:val="Compact"/>
              <w:jc w:val="left"/>
            </w:pPr>
            <w:r>
              <w:rPr>
                <w:bCs/>
                <w:b/>
              </w:rPr>
              <w:t xml:space="preserve">Analysing</w:t>
            </w:r>
          </w:p>
        </w:tc>
        <w:tc>
          <w:tcPr/>
          <w:p>
            <w:pPr>
              <w:pStyle w:val="Compact"/>
              <w:jc w:val="left"/>
            </w:pPr>
            <w:r>
              <w:t xml:space="preserve">Whether the Project Specification (PS) was accessible in the repository; whether a plan for the Analysis phase was established; whether models from the PS were carried forward into analysis and subsequently revised (with both original and revised versions retained); whether requirements were codified with unique identifiers; whether the Incongruous Requirements Checklist (IRC) exists as a standalone extractable document; whether the IRC was used (filled in, not a blank template)</w:t>
            </w:r>
          </w:p>
        </w:tc>
      </w:tr>
      <w:tr>
        <w:tc>
          <w:tcPr/>
          <w:p>
            <w:pPr>
              <w:pStyle w:val="Compact"/>
              <w:jc w:val="left"/>
            </w:pPr>
            <w:r>
              <w:rPr>
                <w:bCs/>
                <w:b/>
              </w:rPr>
              <w:t xml:space="preserve">Specifying</w:t>
            </w:r>
          </w:p>
        </w:tc>
        <w:tc>
          <w:tcPr/>
          <w:p>
            <w:pPr>
              <w:pStyle w:val="Compact"/>
              <w:jc w:val="left"/>
            </w:pPr>
            <w:r>
              <w:t xml:space="preserve">Whether the SRS references a recognised template; whether all requirements present in the repository are accounted for in the SRS; whether the Inceptive Requirements Traceability Matrix (iRTM) exists as a standalone extractable file; whether a change management template exists</w:t>
            </w:r>
          </w:p>
        </w:tc>
      </w:tr>
      <w:tr>
        <w:tc>
          <w:tcPr/>
          <w:p>
            <w:pPr>
              <w:pStyle w:val="Compact"/>
              <w:jc w:val="left"/>
            </w:pPr>
            <w:r>
              <w:rPr>
                <w:bCs/>
                <w:b/>
              </w:rPr>
              <w:t xml:space="preserve">Validating</w:t>
            </w:r>
          </w:p>
        </w:tc>
        <w:tc>
          <w:tcPr/>
          <w:p>
            <w:pPr>
              <w:pStyle w:val="Compact"/>
              <w:jc w:val="left"/>
            </w:pPr>
            <w:r>
              <w:t xml:space="preserve">Whether the customer (BioSec) has signed off on the SRS; whether editorial checks (spell, grammar, editorial) were performed on the SRS; whether the assigned QC team produced a plan, a checklist, and saved findings</w:t>
            </w:r>
          </w:p>
        </w:tc>
      </w:tr>
    </w:tbl>
    <w:p>
      <w:pPr>
        <w:pStyle w:val="BodyText"/>
      </w:pPr>
      <w:r>
        <w:rPr>
          <w:bCs/>
          <w:b/>
        </w:rPr>
        <w:t xml:space="preserve">Out of scope:</w:t>
      </w:r>
      <w:r>
        <w:t xml:space="preserve"> </w:t>
      </w:r>
      <w:r>
        <w:t xml:space="preserve">The Eliciting phase is conducted by BioSec Educational Institution and is not subject to this audit. Paragon Assurance does not audit the content, correctness, or completeness of individual requirements — that is the domain of the QC team.</w:t>
      </w:r>
    </w:p>
    <w:p>
      <w:r>
        <w:pict>
          <v:rect style="width:0;height:1.5pt" o:hralign="center" o:hrstd="t" o:hr="t"/>
        </w:pict>
      </w:r>
    </w:p>
    <w:bookmarkEnd w:id="21"/>
    <w:bookmarkStart w:id="25" w:name="audit-methodology"/>
    <w:p>
      <w:pPr>
        <w:pStyle w:val="Heading2"/>
      </w:pPr>
      <w:r>
        <w:t xml:space="preserve">3. Audit Methodology</w:t>
      </w:r>
    </w:p>
    <w:p>
      <w:pPr>
        <w:pStyle w:val="FirstParagraph"/>
      </w:pPr>
      <w:r>
        <w:t xml:space="preserve">The audit proceeds in three stages:</w:t>
      </w:r>
    </w:p>
    <w:bookmarkStart w:id="22" w:name="document-review"/>
    <w:p>
      <w:pPr>
        <w:pStyle w:val="Heading3"/>
      </w:pPr>
      <w:r>
        <w:t xml:space="preserve">3.1 Document Review</w:t>
      </w:r>
    </w:p>
    <w:p>
      <w:pPr>
        <w:pStyle w:val="FirstParagraph"/>
      </w:pPr>
      <w:r>
        <w:t xml:space="preserve">All artefacts available in the Nevon Solutions project repository are examined against the checklist in</w:t>
      </w:r>
      <w:r>
        <w:t xml:space="preserve"> </w:t>
      </w:r>
      <w:r>
        <w:rPr>
          <w:rStyle w:val="VerbatimChar"/>
        </w:rPr>
        <w:t xml:space="preserve">qa-checklist.md</w:t>
      </w:r>
      <w:r>
        <w:t xml:space="preserve">. Each artefact is assessed for existence, standalone accessibility, and evidence of use or completion.</w:t>
      </w:r>
    </w:p>
    <w:bookmarkEnd w:id="22"/>
    <w:bookmarkStart w:id="23" w:name="interview-or-focus-group"/>
    <w:p>
      <w:pPr>
        <w:pStyle w:val="Heading3"/>
      </w:pPr>
      <w:r>
        <w:t xml:space="preserve">3.2 Interview or Focus Group</w:t>
      </w:r>
    </w:p>
    <w:p>
      <w:pPr>
        <w:pStyle w:val="FirstParagraph"/>
      </w:pPr>
      <w:r>
        <w:t xml:space="preserve">Where documentary evidence is absent or insufficient to confirm a checklist item, Paragon Assurance will schedule an interview or focus group session with Nevon Solutions representatives. The session will be used to request missing artefacts, clarify ambiguities, or obtain verbal confirmation supported by supplementary evidence (e.g., screenshots of chat logs, task boards, or communication records). Evidence obtained through this mechanism will be documented and attached as Annexes in the Findings Report.</w:t>
      </w:r>
    </w:p>
    <w:bookmarkEnd w:id="23"/>
    <w:bookmarkStart w:id="24" w:name="declaration"/>
    <w:p>
      <w:pPr>
        <w:pStyle w:val="Heading3"/>
      </w:pPr>
      <w:r>
        <w:t xml:space="preserve">3.3 Declaration</w:t>
      </w:r>
    </w:p>
    <w:p>
      <w:pPr>
        <w:pStyle w:val="FirstParagraph"/>
      </w:pPr>
      <w:r>
        <w:t xml:space="preserve">Where an artefact is reported to have existed but cannot be retrieved or produced, Paragon Assurance will request a signed declaration from the Nevon Solutions Project Lead. A declaration does not constitute primary evidence but is accepted as a legal statement of good faith. All declarations will be attached as numbered Annexes in the Findings Report.</w:t>
      </w:r>
    </w:p>
    <w:p>
      <w:r>
        <w:pict>
          <v:rect style="width:0;height:1.5pt" o:hralign="center" o:hrstd="t" o:hr="t"/>
        </w:pict>
      </w:r>
    </w:p>
    <w:bookmarkEnd w:id="24"/>
    <w:bookmarkEnd w:id="25"/>
    <w:bookmarkStart w:id="26" w:name="audit-checklist-reference"/>
    <w:p>
      <w:pPr>
        <w:pStyle w:val="Heading2"/>
      </w:pPr>
      <w:r>
        <w:t xml:space="preserve">4. Audit Checklist Reference</w:t>
      </w:r>
    </w:p>
    <w:p>
      <w:pPr>
        <w:pStyle w:val="FirstParagraph"/>
      </w:pPr>
      <w:r>
        <w:t xml:space="preserve">The audit will be conducted against the checklist defined in the companion document:</w:t>
      </w:r>
    </w:p>
    <w:p>
      <w:pPr>
        <w:numPr>
          <w:ilvl w:val="0"/>
          <w:numId w:val="1001"/>
        </w:numPr>
        <w:pStyle w:val="Compact"/>
      </w:pPr>
      <w:r>
        <w:rPr>
          <w:bCs/>
          <w:b/>
        </w:rPr>
        <w:t xml:space="preserve">Checklist Document:</w:t>
      </w:r>
      <w:r>
        <w:t xml:space="preserve"> </w:t>
      </w:r>
      <w:r>
        <w:rPr>
          <w:rStyle w:val="VerbatimChar"/>
        </w:rPr>
        <w:t xml:space="preserve">qa-checklist.md</w:t>
      </w:r>
    </w:p>
    <w:p>
      <w:pPr>
        <w:numPr>
          <w:ilvl w:val="0"/>
          <w:numId w:val="1001"/>
        </w:numPr>
        <w:pStyle w:val="Compact"/>
      </w:pPr>
      <w:r>
        <w:rPr>
          <w:bCs/>
          <w:b/>
        </w:rPr>
        <w:t xml:space="preserve">Checklist Reference:</w:t>
      </w:r>
      <w:r>
        <w:t xml:space="preserve"> </w:t>
      </w:r>
      <w:r>
        <w:t xml:space="preserve">PA-QA-2026-002-CL</w:t>
      </w:r>
    </w:p>
    <w:p>
      <w:r>
        <w:pict>
          <v:rect style="width:0;height:1.5pt" o:hralign="center" o:hrstd="t" o:hr="t"/>
        </w:pict>
      </w:r>
    </w:p>
    <w:bookmarkEnd w:id="26"/>
    <w:bookmarkStart w:id="27" w:name="key-personnel"/>
    <w:p>
      <w:pPr>
        <w:pStyle w:val="Heading2"/>
      </w:pPr>
      <w:r>
        <w:t xml:space="preserve">5. Key Personnel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Organisation</w:t>
            </w:r>
          </w:p>
        </w:tc>
      </w:tr>
      <w:tr>
        <w:tc>
          <w:tcPr/>
          <w:p>
            <w:pPr>
              <w:pStyle w:val="Compact"/>
              <w:jc w:val="left"/>
            </w:pPr>
            <w:r>
              <w:t xml:space="preserve">Lead Auditor</w:t>
            </w:r>
          </w:p>
        </w:tc>
        <w:tc>
          <w:tcPr/>
          <w:p>
            <w:pPr>
              <w:pStyle w:val="Compact"/>
              <w:jc w:val="left"/>
            </w:pPr>
            <w:r>
              <w:t xml:space="preserve">Paragon Assurance Representative</w:t>
            </w:r>
          </w:p>
        </w:tc>
        <w:tc>
          <w:tcPr/>
          <w:p>
            <w:pPr>
              <w:pStyle w:val="Compact"/>
              <w:jc w:val="left"/>
            </w:pPr>
            <w:r>
              <w:t xml:space="preserve">Paragon Assurance</w:t>
            </w:r>
          </w:p>
        </w:tc>
      </w:tr>
      <w:tr>
        <w:tc>
          <w:tcPr/>
          <w:p>
            <w:pPr>
              <w:pStyle w:val="Compact"/>
              <w:jc w:val="left"/>
            </w:pPr>
            <w:r>
              <w:t xml:space="preserve">Customer Contact — Project Lead</w:t>
            </w:r>
          </w:p>
        </w:tc>
        <w:tc>
          <w:tcPr/>
          <w:p>
            <w:pPr>
              <w:pStyle w:val="Compact"/>
              <w:jc w:val="left"/>
            </w:pPr>
            <w:r>
              <w:t xml:space="preserve">Loh Wen Xuan</w:t>
            </w:r>
          </w:p>
        </w:tc>
        <w:tc>
          <w:tcPr/>
          <w:p>
            <w:pPr>
              <w:pStyle w:val="Compact"/>
              <w:jc w:val="left"/>
            </w:pPr>
            <w:r>
              <w:t xml:space="preserve">Nevon Solutions</w:t>
            </w:r>
          </w:p>
        </w:tc>
      </w:tr>
      <w:tr>
        <w:tc>
          <w:tcPr/>
          <w:p>
            <w:pPr>
              <w:pStyle w:val="Compact"/>
              <w:jc w:val="left"/>
            </w:pPr>
            <w:r>
              <w:t xml:space="preserve">Customer Contact — Requirements Manager</w:t>
            </w:r>
          </w:p>
        </w:tc>
        <w:tc>
          <w:tcPr/>
          <w:p>
            <w:pPr>
              <w:pStyle w:val="Compact"/>
              <w:jc w:val="left"/>
            </w:pPr>
            <w:r>
              <w:t xml:space="preserve">Ang Ke Ying</w:t>
            </w:r>
          </w:p>
        </w:tc>
        <w:tc>
          <w:tcPr/>
          <w:p>
            <w:pPr>
              <w:pStyle w:val="Compact"/>
              <w:jc w:val="left"/>
            </w:pPr>
            <w:r>
              <w:t xml:space="preserve">Nevon Solutions</w:t>
            </w:r>
          </w:p>
        </w:tc>
      </w:tr>
      <w:tr>
        <w:tc>
          <w:tcPr/>
          <w:p>
            <w:pPr>
              <w:pStyle w:val="Compact"/>
              <w:jc w:val="left"/>
            </w:pPr>
            <w:r>
              <w:t xml:space="preserve">Customer Contact — Technical &amp; Compliance Analyst</w:t>
            </w:r>
          </w:p>
        </w:tc>
        <w:tc>
          <w:tcPr/>
          <w:p>
            <w:pPr>
              <w:pStyle w:val="Compact"/>
              <w:jc w:val="left"/>
            </w:pPr>
            <w:r>
              <w:t xml:space="preserve">Chu Wee How Brandon</w:t>
            </w:r>
          </w:p>
        </w:tc>
        <w:tc>
          <w:tcPr/>
          <w:p>
            <w:pPr>
              <w:pStyle w:val="Compact"/>
              <w:jc w:val="left"/>
            </w:pPr>
            <w:r>
              <w:t xml:space="preserve">Nevon Solutions</w:t>
            </w:r>
          </w:p>
        </w:tc>
      </w:tr>
    </w:tbl>
    <w:p>
      <w:r>
        <w:pict>
          <v:rect style="width:0;height:1.5pt" o:hralign="center" o:hrstd="t" o:hr="t"/>
        </w:pict>
      </w:r>
    </w:p>
    <w:bookmarkEnd w:id="27"/>
    <w:bookmarkStart w:id="28" w:name="deliverables"/>
    <w:p>
      <w:pPr>
        <w:pStyle w:val="Heading2"/>
      </w:pPr>
      <w:r>
        <w:t xml:space="preserve">6. Deliverables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Document Reference</w:t>
            </w:r>
          </w:p>
        </w:tc>
        <w:tc>
          <w:tcPr/>
          <w:p>
            <w:pPr>
              <w:pStyle w:val="Compact"/>
              <w:jc w:val="left"/>
            </w:pPr>
            <w:r>
              <w:t xml:space="preserve">Location</w:t>
            </w:r>
          </w:p>
        </w:tc>
      </w:tr>
      <w:tr>
        <w:tc>
          <w:tcPr/>
          <w:p>
            <w:pPr>
              <w:pStyle w:val="Compact"/>
              <w:jc w:val="left"/>
            </w:pPr>
            <w:r>
              <w:t xml:space="preserve">QA Audit Plan (this document)</w:t>
            </w:r>
          </w:p>
        </w:tc>
        <w:tc>
          <w:tcPr/>
          <w:p>
            <w:pPr>
              <w:pStyle w:val="Compact"/>
              <w:jc w:val="left"/>
            </w:pPr>
            <w:r>
              <w:t xml:space="preserve">PA-QA-2026-002-PL</w:t>
            </w:r>
          </w:p>
        </w:tc>
        <w:tc>
          <w:tcPr/>
          <w:p>
            <w:pPr>
              <w:pStyle w:val="Compact"/>
              <w:jc w:val="left"/>
            </w:pPr>
            <w:r>
              <w:rPr>
                <w:rStyle w:val="VerbatimChar"/>
              </w:rPr>
              <w:t xml:space="preserve">qa/qa-plan.md</w:t>
            </w:r>
          </w:p>
        </w:tc>
      </w:tr>
      <w:tr>
        <w:tc>
          <w:tcPr/>
          <w:p>
            <w:pPr>
              <w:pStyle w:val="Compact"/>
              <w:jc w:val="left"/>
            </w:pPr>
            <w:r>
              <w:t xml:space="preserve">QA Audit Checklist</w:t>
            </w:r>
          </w:p>
        </w:tc>
        <w:tc>
          <w:tcPr/>
          <w:p>
            <w:pPr>
              <w:pStyle w:val="Compact"/>
              <w:jc w:val="left"/>
            </w:pPr>
            <w:r>
              <w:t xml:space="preserve">PA-QA-2026-002-CL</w:t>
            </w:r>
          </w:p>
        </w:tc>
        <w:tc>
          <w:tcPr/>
          <w:p>
            <w:pPr>
              <w:pStyle w:val="Compact"/>
              <w:jc w:val="left"/>
            </w:pPr>
            <w:r>
              <w:rPr>
                <w:rStyle w:val="VerbatimChar"/>
              </w:rPr>
              <w:t xml:space="preserve">qa/qa-checklist.md</w:t>
            </w:r>
          </w:p>
        </w:tc>
      </w:tr>
      <w:tr>
        <w:tc>
          <w:tcPr/>
          <w:p>
            <w:pPr>
              <w:pStyle w:val="Compact"/>
              <w:jc w:val="left"/>
            </w:pPr>
            <w:r>
              <w:t xml:space="preserve">QA Findings Report</w:t>
            </w:r>
          </w:p>
        </w:tc>
        <w:tc>
          <w:tcPr/>
          <w:p>
            <w:pPr>
              <w:pStyle w:val="Compact"/>
              <w:jc w:val="left"/>
            </w:pPr>
            <w:r>
              <w:t xml:space="preserve">PA-QA-2026-002</w:t>
            </w:r>
          </w:p>
        </w:tc>
        <w:tc>
          <w:tcPr/>
          <w:p>
            <w:pPr>
              <w:pStyle w:val="Compact"/>
              <w:jc w:val="left"/>
            </w:pPr>
            <w:r>
              <w:rPr>
                <w:rStyle w:val="VerbatimChar"/>
              </w:rPr>
              <w:t xml:space="preserve">qa/qa-report.md</w:t>
            </w:r>
          </w:p>
        </w:tc>
      </w:tr>
      <w:tr>
        <w:tc>
          <w:tcPr/>
          <w:p>
            <w:pPr>
              <w:pStyle w:val="Compact"/>
              <w:jc w:val="left"/>
            </w:pPr>
            <w:r>
              <w:t xml:space="preserve">Declarations (if required)</w:t>
            </w:r>
          </w:p>
        </w:tc>
        <w:tc>
          <w:tcPr/>
          <w:p>
            <w:pPr>
              <w:pStyle w:val="Compact"/>
              <w:jc w:val="left"/>
            </w:pPr>
            <w:r>
              <w:t xml:space="preserve">NEVON-DECL-xxx</w:t>
            </w:r>
          </w:p>
        </w:tc>
        <w:tc>
          <w:tcPr/>
          <w:p>
            <w:pPr>
              <w:pStyle w:val="Compact"/>
              <w:jc w:val="left"/>
            </w:pPr>
            <w:r>
              <w:rPr>
                <w:rStyle w:val="VerbatimChar"/>
              </w:rPr>
              <w:t xml:space="preserve">qa/declarations/</w:t>
            </w:r>
          </w:p>
        </w:tc>
      </w:tr>
    </w:tbl>
    <w:p>
      <w:r>
        <w:pict>
          <v:rect style="width:0;height:1.5pt" o:hralign="center" o:hrstd="t" o:hr="t"/>
        </w:pict>
      </w:r>
    </w:p>
    <w:bookmarkEnd w:id="28"/>
    <w:bookmarkStart w:id="29" w:name="sign-off"/>
    <w:p>
      <w:pPr>
        <w:pStyle w:val="Heading2"/>
      </w:pPr>
      <w:r>
        <w:t xml:space="preserve">7. Sign Off</w:t>
      </w:r>
    </w:p>
    <w:p>
      <w:pPr>
        <w:pStyle w:val="FirstParagraph"/>
      </w:pPr>
      <w:r>
        <w:t xml:space="preserve">This audit plan has been reviewed and approved by the Paragon Assurance auditor prior to commencement of the audit.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Lead Auditor</w:t>
            </w:r>
          </w:p>
        </w:tc>
        <w:tc>
          <w:tcPr/>
          <w:p>
            <w:pPr>
              <w:pStyle w:val="Compact"/>
              <w:jc w:val="left"/>
            </w:pPr>
            <w:r>
              <w:rPr>
                <w:iCs/>
                <w:i/>
              </w:rPr>
              <w:t xml:space="preserve">(Paragon Assurance Representative)</w:t>
            </w:r>
          </w:p>
        </w:tc>
        <w:tc>
          <w:tcPr/>
          <w:p>
            <w:pPr>
              <w:pStyle w:val="Compact"/>
              <w:jc w:val="left"/>
            </w:pPr>
            <w:r>
              <w:t xml:space="preserve">__________________</w:t>
            </w:r>
          </w:p>
        </w:tc>
        <w:tc>
          <w:tcPr/>
          <w:p>
            <w:pPr>
              <w:pStyle w:val="Compact"/>
              <w:jc w:val="left"/>
            </w:pPr>
            <w:r>
              <w:t xml:space="preserve">18 March 2026</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2026-03-18T09:37:45Z</dcterms:created>
  <dcterms:modified xsi:type="dcterms:W3CDTF">2026-03-18T09:37:45Z</dcterms:modified>
</cp:coreProperties>
</file>

<file path=docProps/custom.xml><?xml version="1.0" encoding="utf-8"?>
<Properties xmlns="http://schemas.openxmlformats.org/officeDocument/2006/custom-properties" xmlns:vt="http://schemas.openxmlformats.org/officeDocument/2006/docPropsVTypes"/>
</file>