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qa-findings-report"/>
    <w:p>
      <w:pPr>
        <w:pStyle w:val="Heading1"/>
      </w:pPr>
      <w:r>
        <w:t xml:space="preserve">QA Findings Report</w:t>
      </w:r>
    </w:p>
    <w:p>
      <w:pPr>
        <w:pStyle w:val="FirstParagraph"/>
      </w:pPr>
      <w:r>
        <w:rPr>
          <w:bCs/>
          <w:b/>
        </w:rPr>
        <w:t xml:space="preserve">Paragon Assurance — Quality Assurance Audit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Report Reference</w:t>
            </w:r>
          </w:p>
        </w:tc>
        <w:tc>
          <w:tcPr/>
          <w:p>
            <w:pPr>
              <w:pStyle w:val="Compact"/>
              <w:jc w:val="left"/>
            </w:pPr>
            <w:r>
              <w:t xml:space="preserve">PA-QA-2026-002</w:t>
            </w:r>
          </w:p>
        </w:tc>
      </w:tr>
      <w:tr>
        <w:tc>
          <w:tcPr/>
          <w:p>
            <w:pPr>
              <w:pStyle w:val="Compact"/>
              <w:jc w:val="left"/>
            </w:pPr>
            <w:r>
              <w:rPr>
                <w:bCs/>
                <w:b/>
              </w:rPr>
              <w:t xml:space="preserve">Checklist Reference</w:t>
            </w:r>
          </w:p>
        </w:tc>
        <w:tc>
          <w:tcPr/>
          <w:p>
            <w:pPr>
              <w:pStyle w:val="Compact"/>
              <w:jc w:val="left"/>
            </w:pPr>
            <w:r>
              <w:t xml:space="preserve">PA-QA-2026-002-CL</w:t>
            </w:r>
          </w:p>
        </w:tc>
      </w:tr>
      <w:tr>
        <w:tc>
          <w:tcPr/>
          <w:p>
            <w:pPr>
              <w:pStyle w:val="Compact"/>
              <w:jc w:val="left"/>
            </w:pPr>
            <w:r>
              <w:rPr>
                <w:bCs/>
                <w:b/>
              </w:rPr>
              <w:t xml:space="preserve">Customer (Vendor under audit)</w:t>
            </w:r>
          </w:p>
        </w:tc>
        <w:tc>
          <w:tcPr/>
          <w:p>
            <w:pPr>
              <w:pStyle w:val="Compact"/>
              <w:jc w:val="left"/>
            </w:pPr>
            <w:r>
              <w:t xml:space="preserve">Nevon Solutions</w:t>
            </w:r>
          </w:p>
        </w:tc>
      </w:tr>
      <w:tr>
        <w:tc>
          <w:tcPr/>
          <w:p>
            <w:pPr>
              <w:pStyle w:val="Compact"/>
              <w:jc w:val="left"/>
            </w:pPr>
            <w:r>
              <w:rPr>
                <w:bCs/>
                <w:b/>
              </w:rPr>
              <w:t xml:space="preserve">End Customer</w:t>
            </w:r>
          </w:p>
        </w:tc>
        <w:tc>
          <w:tcPr/>
          <w:p>
            <w:pPr>
              <w:pStyle w:val="Compact"/>
              <w:jc w:val="left"/>
            </w:pPr>
            <w:r>
              <w:t xml:space="preserve">BioSec Educational Institution</w:t>
            </w:r>
          </w:p>
        </w:tc>
      </w:tr>
      <w:tr>
        <w:tc>
          <w:tcPr/>
          <w:p>
            <w:pPr>
              <w:pStyle w:val="Compact"/>
              <w:jc w:val="left"/>
            </w:pPr>
            <w:r>
              <w:rPr>
                <w:bCs/>
                <w:b/>
              </w:rPr>
              <w:t xml:space="preserve">Project ID</w:t>
            </w:r>
          </w:p>
        </w:tc>
        <w:tc>
          <w:tcPr/>
          <w:p>
            <w:pPr>
              <w:pStyle w:val="Compact"/>
              <w:jc w:val="left"/>
            </w:pPr>
            <w:r>
              <w:t xml:space="preserve">P2-1561W</w:t>
            </w:r>
          </w:p>
        </w:tc>
      </w:tr>
      <w:tr>
        <w:tc>
          <w:tcPr/>
          <w:p>
            <w:pPr>
              <w:pStyle w:val="Compact"/>
              <w:jc w:val="left"/>
            </w:pPr>
            <w:r>
              <w:rPr>
                <w:bCs/>
                <w:b/>
              </w:rPr>
              <w:t xml:space="preserve">Subject</w:t>
            </w:r>
          </w:p>
        </w:tc>
        <w:tc>
          <w:tcPr/>
          <w:p>
            <w:pPr>
              <w:pStyle w:val="Compact"/>
              <w:jc w:val="left"/>
            </w:pPr>
            <w:r>
              <w:t xml:space="preserve">Requirements Engineering (RE) Process — Biometric Student Attendance System</w:t>
            </w:r>
          </w:p>
        </w:tc>
      </w:tr>
      <w:tr>
        <w:tc>
          <w:tcPr/>
          <w:p>
            <w:pPr>
              <w:pStyle w:val="Compact"/>
              <w:jc w:val="left"/>
            </w:pPr>
            <w:r>
              <w:rPr>
                <w:bCs/>
                <w:b/>
              </w:rPr>
              <w:t xml:space="preserve">Auditor</w:t>
            </w:r>
          </w:p>
        </w:tc>
        <w:tc>
          <w:tcPr/>
          <w:p>
            <w:pPr>
              <w:pStyle w:val="Compact"/>
              <w:jc w:val="left"/>
            </w:pPr>
            <w:r>
              <w:t xml:space="preserve">Paragon Assurance</w:t>
            </w:r>
          </w:p>
        </w:tc>
      </w:tr>
      <w:tr>
        <w:tc>
          <w:tcPr/>
          <w:p>
            <w:pPr>
              <w:pStyle w:val="Compact"/>
              <w:jc w:val="left"/>
            </w:pPr>
            <w:r>
              <w:rPr>
                <w:bCs/>
                <w:b/>
              </w:rPr>
              <w:t xml:space="preserve">Report Date</w:t>
            </w:r>
          </w:p>
        </w:tc>
        <w:tc>
          <w:tcPr/>
          <w:p>
            <w:pPr>
              <w:pStyle w:val="Compact"/>
              <w:jc w:val="left"/>
            </w:pPr>
            <w:r>
              <w:t xml:space="preserve">18 March 2026</w:t>
            </w:r>
          </w:p>
        </w:tc>
      </w:tr>
      <w:tr>
        <w:tc>
          <w:tcPr/>
          <w:p>
            <w:pPr>
              <w:pStyle w:val="Compact"/>
              <w:jc w:val="left"/>
            </w:pPr>
            <w:r>
              <w:rPr>
                <w:bCs/>
                <w:b/>
              </w:rPr>
              <w:t xml:space="preserve">SRS Version Reviewed</w:t>
            </w:r>
          </w:p>
        </w:tc>
        <w:tc>
          <w:tcPr/>
          <w:p>
            <w:pPr>
              <w:pStyle w:val="Compact"/>
              <w:jc w:val="left"/>
            </w:pPr>
            <w:r>
              <w:t xml:space="preserve">0.8 (NS-SRS-2026-001, dated 3 March 2026)</w:t>
            </w:r>
          </w:p>
        </w:tc>
      </w:tr>
      <w:tr>
        <w:tc>
          <w:tcPr/>
          <w:p>
            <w:pPr>
              <w:pStyle w:val="Compact"/>
              <w:jc w:val="left"/>
            </w:pPr>
            <w:r>
              <w:rPr>
                <w:bCs/>
                <w:b/>
              </w:rPr>
              <w:t xml:space="preserve">Analysing Report Version Reviewed</w:t>
            </w:r>
          </w:p>
        </w:tc>
        <w:tc>
          <w:tcPr/>
          <w:p>
            <w:pPr>
              <w:pStyle w:val="Compact"/>
              <w:jc w:val="left"/>
            </w:pPr>
            <w:r>
              <w:t xml:space="preserve">1.0 (NS-AR-2026-001, dated 8 February 2026)</w:t>
            </w:r>
          </w:p>
        </w:tc>
      </w:tr>
      <w:tr>
        <w:tc>
          <w:tcPr/>
          <w:p>
            <w:pPr>
              <w:pStyle w:val="Compact"/>
              <w:jc w:val="left"/>
            </w:pPr>
            <w:r>
              <w:rPr>
                <w:bCs/>
                <w:b/>
              </w:rPr>
              <w:t xml:space="preserve">IRC Version Reviewed</w:t>
            </w:r>
          </w:p>
        </w:tc>
        <w:tc>
          <w:tcPr/>
          <w:p>
            <w:pPr>
              <w:pStyle w:val="Compact"/>
              <w:jc w:val="left"/>
            </w:pPr>
            <w:r>
              <w:t xml:space="preserve">NS-IRC-2026-001, dated 8 February 2026</w:t>
            </w:r>
          </w:p>
        </w:tc>
      </w:tr>
    </w:tbl>
    <w:p>
      <w:r>
        <w:pict>
          <v:rect style="width:0;height:1.5pt" o:hralign="center" o:hrstd="t" o:hr="t"/>
        </w:pict>
      </w:r>
    </w:p>
    <w:bookmarkStart w:id="20" w:name="executive-summary"/>
    <w:p>
      <w:pPr>
        <w:pStyle w:val="Heading2"/>
      </w:pPr>
      <w:r>
        <w:t xml:space="preserve">1. Executive Summary</w:t>
      </w:r>
    </w:p>
    <w:p>
      <w:pPr>
        <w:pStyle w:val="FirstParagraph"/>
      </w:pPr>
      <w:r>
        <w:t xml:space="preserve">Paragon Assurance conducted a quality assurance audit of the Requirements Engineering (RE) process performed by Nevon Solutions for BioSec Educational Institution (Project ID: P2-1561W) in connection with the development of a Biometric Student Attendance System. The audit covered three RE phases: Analysing, Specifying, and Validating.</w:t>
      </w:r>
    </w:p>
    <w:p>
      <w:pPr>
        <w:pStyle w:val="BodyText"/>
      </w:pPr>
      <w:r>
        <w:t xml:space="preserve">The audit examined 16 process checklist items across the three phases. Eleven items passed with confirmed documentary evidence. Two items could not be fully confirmed from documentary review alone. Three items resulted in non-conformances due to the absence of expected artefacts.</w:t>
      </w:r>
    </w:p>
    <w:p>
      <w:pPr>
        <w:pStyle w:val="BodyText"/>
      </w:pPr>
      <w:r>
        <w:t xml:space="preserve">The Analysing and Specifying phases were found to be complete and well-evidenced. All seven Analysing items and all four Specifying items were confirmed as passing, with artefacts traceable in the repository. The Validating phase presents the areas of concern: the customer sign-off status on the SRS could not be confirmed, no documentary evidence of editorial checks was found, and no QC team artefacts (plan, checklist, or findings) were located in the repository or in artefacts made available to this audit.</w:t>
      </w:r>
    </w:p>
    <w:p>
      <w:pPr>
        <w:pStyle w:val="BodyText"/>
      </w:pPr>
      <w:r>
        <w:t xml:space="preserve">No solutions or corrective actions are proposed in this report. The findings are presented as a factual record of the process state as observed.</w:t>
      </w:r>
    </w:p>
    <w:p>
      <w:r>
        <w:pict>
          <v:rect style="width:0;height:1.5pt" o:hralign="center" o:hrstd="t" o:hr="t"/>
        </w:pict>
      </w:r>
    </w:p>
    <w:bookmarkEnd w:id="20"/>
    <w:bookmarkStart w:id="23" w:name="scope-and-methodology"/>
    <w:p>
      <w:pPr>
        <w:pStyle w:val="Heading2"/>
      </w:pPr>
      <w:r>
        <w:t xml:space="preserve">2. Scope and Methodology</w:t>
      </w:r>
    </w:p>
    <w:bookmarkStart w:id="21" w:name="scope"/>
    <w:p>
      <w:pPr>
        <w:pStyle w:val="Heading3"/>
      </w:pPr>
      <w:r>
        <w:t xml:space="preserve">2.1 Scope</w:t>
      </w:r>
    </w:p>
    <w:p>
      <w:pPr>
        <w:pStyle w:val="FirstParagraph"/>
      </w:pPr>
      <w:r>
        <w:t xml:space="preserve">This audit covers the Analysis, Specifying, and Validating phases of the RE process conducted by Nevon Solutions. The Eliciting phase, performed by BioSec Educational Institution, is outside the scope of this audit. This audit examines process completeness and flow — not the content quality of individual requirements, which is the domain of the assigned QC team.</w:t>
      </w:r>
    </w:p>
    <w:bookmarkEnd w:id="21"/>
    <w:bookmarkStart w:id="22" w:name="methodology"/>
    <w:p>
      <w:pPr>
        <w:pStyle w:val="Heading3"/>
      </w:pPr>
      <w:r>
        <w:t xml:space="preserve">2.2 Methodology</w:t>
      </w:r>
    </w:p>
    <w:p>
      <w:pPr>
        <w:pStyle w:val="FirstParagraph"/>
      </w:pPr>
      <w:r>
        <w:t xml:space="preserve">The audit was conducted through document review of all artefacts accessible in the Nevon Solutions project repository. Evidence was examined against the checklist (PA-QA-2026-002-CL). Where artefacts were absent or partially verified, the finding is recorded with the specific gap identified.</w:t>
      </w:r>
    </w:p>
    <w:p>
      <w:pPr>
        <w:pStyle w:val="BodyText"/>
      </w:pPr>
      <w:r>
        <w:t xml:space="preserve">The following primary source artefacts were examined: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Artefact</w:t>
            </w:r>
          </w:p>
        </w:tc>
        <w:tc>
          <w:tcPr/>
          <w:p>
            <w:pPr>
              <w:pStyle w:val="Compact"/>
              <w:jc w:val="left"/>
            </w:pPr>
            <w:r>
              <w:t xml:space="preserve">Document ID / File</w:t>
            </w:r>
          </w:p>
        </w:tc>
        <w:tc>
          <w:tcPr/>
          <w:p>
            <w:pPr>
              <w:pStyle w:val="Compact"/>
              <w:jc w:val="left"/>
            </w:pPr>
            <w:r>
              <w:t xml:space="preserve">Date</w:t>
            </w:r>
          </w:p>
        </w:tc>
      </w:tr>
      <w:tr>
        <w:tc>
          <w:tcPr/>
          <w:p>
            <w:pPr>
              <w:pStyle w:val="Compact"/>
              <w:jc w:val="left"/>
            </w:pPr>
            <w:r>
              <w:t xml:space="preserve">Analysing Report</w:t>
            </w:r>
          </w:p>
        </w:tc>
        <w:tc>
          <w:tcPr/>
          <w:p>
            <w:pPr>
              <w:pStyle w:val="Compact"/>
              <w:jc w:val="left"/>
            </w:pPr>
            <w:r>
              <w:rPr>
                <w:rStyle w:val="VerbatimChar"/>
              </w:rPr>
              <w:t xml:space="preserve">NS-AR-2026-001</w:t>
            </w:r>
            <w:r>
              <w:t xml:space="preserve"> </w:t>
            </w:r>
            <w:r>
              <w:t xml:space="preserve">/</w:t>
            </w:r>
            <w:r>
              <w:t xml:space="preserve"> </w:t>
            </w:r>
            <w:r>
              <w:rPr>
                <w:rStyle w:val="VerbatimChar"/>
              </w:rPr>
              <w:t xml:space="preserve">Analysing Report_1561W.pdf</w:t>
            </w:r>
          </w:p>
        </w:tc>
        <w:tc>
          <w:tcPr/>
          <w:p>
            <w:pPr>
              <w:pStyle w:val="Compact"/>
              <w:jc w:val="left"/>
            </w:pPr>
            <w:r>
              <w:t xml:space="preserve">8 Feb 2026</w:t>
            </w:r>
          </w:p>
        </w:tc>
      </w:tr>
      <w:tr>
        <w:tc>
          <w:tcPr/>
          <w:p>
            <w:pPr>
              <w:pStyle w:val="Compact"/>
              <w:jc w:val="left"/>
            </w:pPr>
            <w:r>
              <w:t xml:space="preserve">Incongruous Requirements Checklist</w:t>
            </w:r>
          </w:p>
        </w:tc>
        <w:tc>
          <w:tcPr/>
          <w:p>
            <w:pPr>
              <w:pStyle w:val="Compact"/>
              <w:jc w:val="left"/>
            </w:pPr>
            <w:r>
              <w:rPr>
                <w:rStyle w:val="VerbatimChar"/>
              </w:rPr>
              <w:t xml:space="preserve">NS-IRC-2026-001</w:t>
            </w:r>
            <w:r>
              <w:t xml:space="preserve"> </w:t>
            </w:r>
            <w:r>
              <w:t xml:space="preserve">/</w:t>
            </w:r>
            <w:r>
              <w:t xml:space="preserve"> </w:t>
            </w:r>
            <w:r>
              <w:rPr>
                <w:rStyle w:val="VerbatimChar"/>
              </w:rPr>
              <w:t xml:space="preserve">IRC_Nevon_Solutions.pdf</w:t>
            </w:r>
          </w:p>
        </w:tc>
        <w:tc>
          <w:tcPr/>
          <w:p>
            <w:pPr>
              <w:pStyle w:val="Compact"/>
              <w:jc w:val="left"/>
            </w:pPr>
            <w:r>
              <w:t xml:space="preserve">8 Feb 2026</w:t>
            </w:r>
          </w:p>
        </w:tc>
      </w:tr>
      <w:tr>
        <w:tc>
          <w:tcPr/>
          <w:p>
            <w:pPr>
              <w:pStyle w:val="Compact"/>
              <w:jc w:val="left"/>
            </w:pPr>
            <w:r>
              <w:t xml:space="preserve">Project Specification</w:t>
            </w:r>
          </w:p>
        </w:tc>
        <w:tc>
          <w:tcPr/>
          <w:p>
            <w:pPr>
              <w:pStyle w:val="Compact"/>
              <w:jc w:val="left"/>
            </w:pPr>
            <w:r>
              <w:rPr>
                <w:rStyle w:val="VerbatimChar"/>
              </w:rPr>
              <w:t xml:space="preserve">BS-PS-2026-001</w:t>
            </w:r>
            <w:r>
              <w:t xml:space="preserve"> </w:t>
            </w:r>
            <w:r>
              <w:t xml:space="preserve">/</w:t>
            </w:r>
            <w:r>
              <w:t xml:space="preserve"> </w:t>
            </w:r>
            <w:r>
              <w:rPr>
                <w:rStyle w:val="VerbatimChar"/>
              </w:rPr>
              <w:t xml:space="preserve">Project Specification_1561W.pdf</w:t>
            </w:r>
          </w:p>
        </w:tc>
        <w:tc>
          <w:tcPr/>
          <w:p>
            <w:pPr>
              <w:pStyle w:val="Compact"/>
              <w:jc w:val="left"/>
            </w:pPr>
            <w:r>
              <w:t xml:space="preserve">Prior to analysis</w:t>
            </w:r>
          </w:p>
        </w:tc>
      </w:tr>
      <w:tr>
        <w:tc>
          <w:tcPr/>
          <w:p>
            <w:pPr>
              <w:pStyle w:val="Compact"/>
              <w:jc w:val="left"/>
            </w:pPr>
            <w:r>
              <w:t xml:space="preserve">Software Requirements Specification</w:t>
            </w:r>
          </w:p>
        </w:tc>
        <w:tc>
          <w:tcPr/>
          <w:p>
            <w:pPr>
              <w:pStyle w:val="Compact"/>
              <w:jc w:val="left"/>
            </w:pPr>
            <w:r>
              <w:rPr>
                <w:rStyle w:val="VerbatimChar"/>
              </w:rPr>
              <w:t xml:space="preserve">NS-SRS-2026-001</w:t>
            </w:r>
            <w:r>
              <w:t xml:space="preserve"> </w:t>
            </w:r>
            <w:r>
              <w:t xml:space="preserve">/</w:t>
            </w:r>
            <w:r>
              <w:t xml:space="preserve"> </w:t>
            </w:r>
            <w:r>
              <w:rPr>
                <w:rStyle w:val="VerbatimChar"/>
              </w:rPr>
              <w:t xml:space="preserve">SRS_1561W.pdf</w:t>
            </w:r>
          </w:p>
        </w:tc>
        <w:tc>
          <w:tcPr/>
          <w:p>
            <w:pPr>
              <w:pStyle w:val="Compact"/>
              <w:jc w:val="left"/>
            </w:pPr>
            <w:r>
              <w:t xml:space="preserve">3 Mar 2026</w:t>
            </w:r>
          </w:p>
        </w:tc>
      </w:tr>
      <w:tr>
        <w:tc>
          <w:tcPr/>
          <w:p>
            <w:pPr>
              <w:pStyle w:val="Compact"/>
              <w:jc w:val="left"/>
            </w:pPr>
            <w:r>
              <w:t xml:space="preserve">iRTM</w:t>
            </w:r>
          </w:p>
        </w:tc>
        <w:tc>
          <w:tcPr/>
          <w:p>
            <w:pPr>
              <w:pStyle w:val="Compact"/>
              <w:jc w:val="left"/>
            </w:pPr>
            <w:r>
              <w:rPr>
                <w:rStyle w:val="VerbatimChar"/>
              </w:rPr>
              <w:t xml:space="preserve">iRTM.docx</w:t>
            </w:r>
          </w:p>
        </w:tc>
        <w:tc>
          <w:tcPr/>
          <w:p>
            <w:pPr>
              <w:pStyle w:val="Compact"/>
              <w:jc w:val="left"/>
            </w:pPr>
            <w:r>
              <w:t xml:space="preserve">—</w:t>
            </w:r>
          </w:p>
        </w:tc>
      </w:tr>
      <w:tr>
        <w:tc>
          <w:tcPr/>
          <w:p>
            <w:pPr>
              <w:pStyle w:val="Compact"/>
              <w:jc w:val="left"/>
            </w:pPr>
            <w:r>
              <w:t xml:space="preserve">Change Request Form Template</w:t>
            </w:r>
          </w:p>
        </w:tc>
        <w:tc>
          <w:tcPr/>
          <w:p>
            <w:pPr>
              <w:pStyle w:val="Compact"/>
              <w:jc w:val="left"/>
            </w:pPr>
            <w:r>
              <w:rPr>
                <w:rStyle w:val="VerbatimChar"/>
              </w:rPr>
              <w:t xml:space="preserve">Change Request Form Template.docx</w:t>
            </w:r>
          </w:p>
        </w:tc>
        <w:tc>
          <w:tcPr/>
          <w:p>
            <w:pPr>
              <w:pStyle w:val="Compact"/>
              <w:jc w:val="left"/>
            </w:pPr>
            <w:r>
              <w:t xml:space="preserve">—</w:t>
            </w:r>
          </w:p>
        </w:tc>
      </w:tr>
      <w:tr>
        <w:tc>
          <w:tcPr/>
          <w:p>
            <w:pPr>
              <w:pStyle w:val="Compact"/>
              <w:jc w:val="left"/>
            </w:pPr>
            <w:r>
              <w:t xml:space="preserve">Gantt Chart</w:t>
            </w:r>
          </w:p>
        </w:tc>
        <w:tc>
          <w:tcPr/>
          <w:p>
            <w:pPr>
              <w:pStyle w:val="Compact"/>
              <w:jc w:val="left"/>
            </w:pPr>
            <w:r>
              <w:rPr>
                <w:rStyle w:val="VerbatimChar"/>
              </w:rPr>
              <w:t xml:space="preserve">BioSec Gantt Chart.xlsx</w:t>
            </w:r>
          </w:p>
        </w:tc>
        <w:tc>
          <w:tcPr/>
          <w:p>
            <w:pPr>
              <w:pStyle w:val="Compact"/>
              <w:jc w:val="left"/>
            </w:pPr>
            <w:r>
              <w:t xml:space="preserve">—</w:t>
            </w:r>
          </w:p>
        </w:tc>
      </w:tr>
      <w:tr>
        <w:tc>
          <w:tcPr/>
          <w:p>
            <w:pPr>
              <w:pStyle w:val="Compact"/>
              <w:jc w:val="left"/>
            </w:pPr>
            <w:r>
              <w:t xml:space="preserve">IEEE SRS Template</w:t>
            </w:r>
          </w:p>
        </w:tc>
        <w:tc>
          <w:tcPr/>
          <w:p>
            <w:pPr>
              <w:pStyle w:val="Compact"/>
              <w:jc w:val="left"/>
            </w:pPr>
            <w:r>
              <w:rPr>
                <w:rStyle w:val="VerbatimChar"/>
              </w:rPr>
              <w:t xml:space="preserve">srs_template-ieee.doc</w:t>
            </w:r>
          </w:p>
        </w:tc>
        <w:tc>
          <w:tcPr/>
          <w:p>
            <w:pPr>
              <w:pStyle w:val="Compact"/>
              <w:jc w:val="left"/>
            </w:pPr>
            <w:r>
              <w:t xml:space="preserve">—</w:t>
            </w:r>
          </w:p>
        </w:tc>
      </w:tr>
      <w:tr>
        <w:tc>
          <w:tcPr/>
          <w:p>
            <w:pPr>
              <w:pStyle w:val="Compact"/>
              <w:jc w:val="left"/>
            </w:pPr>
            <w:r>
              <w:t xml:space="preserve">Requirements files</w:t>
            </w:r>
          </w:p>
        </w:tc>
        <w:tc>
          <w:tcPr/>
          <w:p>
            <w:pPr>
              <w:pStyle w:val="Compact"/>
              <w:jc w:val="left"/>
            </w:pPr>
            <w:r>
              <w:rPr>
                <w:rStyle w:val="VerbatimChar"/>
              </w:rPr>
              <w:t xml:space="preserve">bizops-requirements.md</w:t>
            </w:r>
            <w:r>
              <w:t xml:space="preserve">,</w:t>
            </w:r>
            <w:r>
              <w:t xml:space="preserve"> </w:t>
            </w:r>
            <w:r>
              <w:rPr>
                <w:rStyle w:val="VerbatimChar"/>
              </w:rPr>
              <w:t xml:space="preserve">technical-requirements.md</w:t>
            </w:r>
          </w:p>
        </w:tc>
        <w:tc>
          <w:tcPr/>
          <w:p>
            <w:pPr>
              <w:pStyle w:val="Compact"/>
              <w:jc w:val="left"/>
            </w:pPr>
            <w:r>
              <w:t xml:space="preserve">—</w:t>
            </w:r>
          </w:p>
        </w:tc>
      </w:tr>
      <w:tr>
        <w:tc>
          <w:tcPr/>
          <w:p>
            <w:pPr>
              <w:pStyle w:val="Compact"/>
              <w:jc w:val="left"/>
            </w:pPr>
            <w:r>
              <w:t xml:space="preserve">Context Diagram (Revised)</w:t>
            </w:r>
          </w:p>
        </w:tc>
        <w:tc>
          <w:tcPr/>
          <w:p>
            <w:pPr>
              <w:pStyle w:val="Compact"/>
              <w:jc w:val="left"/>
            </w:pPr>
            <w:r>
              <w:rPr>
                <w:rStyle w:val="VerbatimChar"/>
              </w:rPr>
              <w:t xml:space="preserve">context-diagram.pdf</w:t>
            </w:r>
          </w:p>
        </w:tc>
        <w:tc>
          <w:tcPr/>
          <w:p>
            <w:pPr>
              <w:pStyle w:val="Compact"/>
              <w:jc w:val="left"/>
            </w:pPr>
            <w:r>
              <w:t xml:space="preserve">—</w:t>
            </w:r>
          </w:p>
        </w:tc>
      </w:tr>
      <w:tr>
        <w:tc>
          <w:tcPr/>
          <w:p>
            <w:pPr>
              <w:pStyle w:val="Compact"/>
              <w:jc w:val="left"/>
            </w:pPr>
            <w:r>
              <w:t xml:space="preserve">Paper Napkin Model</w:t>
            </w:r>
          </w:p>
        </w:tc>
        <w:tc>
          <w:tcPr/>
          <w:p>
            <w:pPr>
              <w:pStyle w:val="Compact"/>
              <w:jc w:val="left"/>
            </w:pPr>
            <w:r>
              <w:rPr>
                <w:rStyle w:val="VerbatimChar"/>
              </w:rPr>
              <w:t xml:space="preserve">paper-napkin-model.jpg</w:t>
            </w:r>
          </w:p>
        </w:tc>
        <w:tc>
          <w:tcPr/>
          <w:p>
            <w:pPr>
              <w:pStyle w:val="Compact"/>
              <w:jc w:val="left"/>
            </w:pPr>
            <w:r>
              <w:t xml:space="preserve">—</w:t>
            </w:r>
          </w:p>
        </w:tc>
      </w:tr>
    </w:tbl>
    <w:p>
      <w:r>
        <w:pict>
          <v:rect style="width:0;height:1.5pt" o:hralign="center" o:hrstd="t" o:hr="t"/>
        </w:pict>
      </w:r>
    </w:p>
    <w:bookmarkEnd w:id="22"/>
    <w:bookmarkEnd w:id="23"/>
    <w:bookmarkStart w:id="31" w:name="analysing-phase-findings"/>
    <w:p>
      <w:pPr>
        <w:pStyle w:val="Heading2"/>
      </w:pPr>
      <w:r>
        <w:t xml:space="preserve">3. Analysing Phase — Findings</w:t>
      </w:r>
    </w:p>
    <w:bookmarkStart w:id="24" w:name="project-specification-in-repository"/>
    <w:p>
      <w:pPr>
        <w:pStyle w:val="Heading3"/>
      </w:pPr>
      <w:r>
        <w:t xml:space="preserve">3.1 Project Specification in Repository</w:t>
      </w:r>
    </w:p>
    <w:p>
      <w:pPr>
        <w:pStyle w:val="FirstParagraph"/>
      </w:pPr>
      <w:r>
        <w:rPr>
          <w:bCs/>
          <w:b/>
        </w:rPr>
        <w:t xml:space="preserve">Status: Pass</w:t>
      </w:r>
    </w:p>
    <w:p>
      <w:pPr>
        <w:pStyle w:val="BodyText"/>
      </w:pPr>
      <w:r>
        <w:t xml:space="preserve">The Project Specification (</w:t>
      </w:r>
      <w:r>
        <w:rPr>
          <w:rStyle w:val="VerbatimChar"/>
        </w:rPr>
        <w:t xml:space="preserve">Project Specification_1561W.pdf</w:t>
      </w:r>
      <w:r>
        <w:t xml:space="preserve">, Document ID: BS-PS-2026-001) is present in the repository under</w:t>
      </w:r>
      <w:r>
        <w:t xml:space="preserve"> </w:t>
      </w:r>
      <w:r>
        <w:rPr>
          <w:rStyle w:val="VerbatimChar"/>
        </w:rPr>
        <w:t xml:space="preserve">documents/</w:t>
      </w:r>
      <w:r>
        <w:t xml:space="preserve">. It is referenced throughout the Analysing Report (NS-AR-2026-001), including in the Executive Summary, Section 2 (Breakdown), and Section 4 (Repository). The repository link cited in the Analysing Report (Section 4) is consistent with the repository structure observed during this audit.</w:t>
      </w:r>
    </w:p>
    <w:p>
      <w:pPr>
        <w:pStyle w:val="BodyText"/>
      </w:pPr>
      <w:r>
        <w:t xml:space="preserve">The PS is available and accessible as required for the Analysing phase to proceed.</w:t>
      </w:r>
    </w:p>
    <w:bookmarkEnd w:id="24"/>
    <w:bookmarkStart w:id="25" w:name="plan-for-the-analysis-phase"/>
    <w:p>
      <w:pPr>
        <w:pStyle w:val="Heading3"/>
      </w:pPr>
      <w:r>
        <w:t xml:space="preserve">3.2 Plan for the Analysis Phase</w:t>
      </w:r>
    </w:p>
    <w:p>
      <w:pPr>
        <w:pStyle w:val="FirstParagraph"/>
      </w:pPr>
      <w:r>
        <w:rPr>
          <w:bCs/>
          <w:b/>
        </w:rPr>
        <w:t xml:space="preserve">Status: Pass</w:t>
      </w:r>
    </w:p>
    <w:p>
      <w:pPr>
        <w:pStyle w:val="BodyText"/>
      </w:pPr>
      <w:r>
        <w:t xml:space="preserve">The repository contains a Gantt Chart (</w:t>
      </w:r>
      <w:r>
        <w:rPr>
          <w:rStyle w:val="VerbatimChar"/>
        </w:rPr>
        <w:t xml:space="preserve">BioSec Gantt Chart.xlsx</w:t>
      </w:r>
      <w:r>
        <w:t xml:space="preserve">) which constitutes the planning artefact for the Analysis phase. In addition, the Analysing Report records structured, time-bounded activities that are consistent with a planned approach: the Breakdown sub-phase spanned ten working days (Section 2.1), and the Clarification sub-phase spanned eight working days (Section 3.2). Meeting codes BC-01 (07/02/2026) and TC-02 (09/02/2026) indicate pre-scheduled, documented sessions with named attendees and defined objectives.</w:t>
      </w:r>
    </w:p>
    <w:p>
      <w:pPr>
        <w:pStyle w:val="BodyText"/>
      </w:pPr>
      <w:r>
        <w:t xml:space="preserve">The Account Manager’s role in scheduling and facilitating structured sessions, as documented in Section 3.2 of the Analysing Report, further reflects an organised, planned approach to the Analysing phase activities.</w:t>
      </w:r>
    </w:p>
    <w:bookmarkEnd w:id="25"/>
    <w:bookmarkStart w:id="26" w:name="models-carried-forward-from-ps"/>
    <w:p>
      <w:pPr>
        <w:pStyle w:val="Heading3"/>
      </w:pPr>
      <w:r>
        <w:t xml:space="preserve">3.3 Models Carried Forward from PS</w:t>
      </w:r>
    </w:p>
    <w:p>
      <w:pPr>
        <w:pStyle w:val="FirstParagraph"/>
      </w:pPr>
      <w:r>
        <w:rPr>
          <w:bCs/>
          <w:b/>
        </w:rPr>
        <w:t xml:space="preserve">Status: Pass</w:t>
      </w:r>
    </w:p>
    <w:p>
      <w:pPr>
        <w:pStyle w:val="BodyText"/>
      </w:pPr>
      <w:r>
        <w:t xml:space="preserve">The Analysing Report confirms that models from the PS were carried forward into the Analysing phase. The original context diagram from the PS was brought into analysis and subsequently revised (see Section 3.4). A paper napkin model was created during the BC-01 Business Requirement Clarification Session (07/02/2026) and is present as Appendix A of the Analysing Report (captioned</w:t>
      </w:r>
      <w:r>
        <w:t xml:space="preserve"> </w:t>
      </w:r>
      <w:r>
        <w:t xml:space="preserve">“</w:t>
      </w:r>
      <w:r>
        <w:t xml:space="preserve">Conceptual</w:t>
      </w:r>
      <w:r>
        <w:t xml:space="preserve"> </w:t>
      </w:r>
      <w:r>
        <w:t xml:space="preserve">‘</w:t>
      </w:r>
      <w:r>
        <w:t xml:space="preserve">Paper Napkin</w:t>
      </w:r>
      <w:r>
        <w:t xml:space="preserve">’</w:t>
      </w:r>
      <w:r>
        <w:t xml:space="preserve"> </w:t>
      </w:r>
      <w:r>
        <w:t xml:space="preserve">model sketched during the BC-01 Clarification Session (07/02/2026)</w:t>
      </w:r>
      <w:r>
        <w:t xml:space="preserve">”</w:t>
      </w:r>
      <w:r>
        <w:t xml:space="preserve">).</w:t>
      </w:r>
    </w:p>
    <w:p>
      <w:pPr>
        <w:pStyle w:val="BodyText"/>
      </w:pPr>
      <w:r>
        <w:t xml:space="preserve">Both models are also present as standalone files in the repository:</w:t>
      </w:r>
      <w:r>
        <w:t xml:space="preserve"> </w:t>
      </w:r>
      <w:r>
        <w:rPr>
          <w:rStyle w:val="VerbatimChar"/>
        </w:rPr>
        <w:t xml:space="preserve">requirement-models/paper-napkin-model.jpg</w:t>
      </w:r>
      <w:r>
        <w:t xml:space="preserve"> </w:t>
      </w:r>
      <w:r>
        <w:t xml:space="preserve">and</w:t>
      </w:r>
      <w:r>
        <w:t xml:space="preserve"> </w:t>
      </w:r>
      <w:r>
        <w:rPr>
          <w:rStyle w:val="VerbatimChar"/>
        </w:rPr>
        <w:t xml:space="preserve">requirement-models/context-diagram.pdf</w:t>
      </w:r>
      <w:r>
        <w:t xml:space="preserve">.</w:t>
      </w:r>
    </w:p>
    <w:bookmarkEnd w:id="26"/>
    <w:bookmarkStart w:id="27" w:name="X9d9ce72408d921ce28225237d104f8383fc21e8"/>
    <w:p>
      <w:pPr>
        <w:pStyle w:val="Heading3"/>
      </w:pPr>
      <w:r>
        <w:t xml:space="preserve">3.4 Models Revised; Original and Revised Both Retained</w:t>
      </w:r>
    </w:p>
    <w:p>
      <w:pPr>
        <w:pStyle w:val="FirstParagraph"/>
      </w:pPr>
      <w:r>
        <w:rPr>
          <w:bCs/>
          <w:b/>
        </w:rPr>
        <w:t xml:space="preserve">Status: Pass</w:t>
      </w:r>
    </w:p>
    <w:p>
      <w:pPr>
        <w:pStyle w:val="BodyText"/>
      </w:pPr>
      <w:r>
        <w:t xml:space="preserve">The context diagram is explicitly identified as revised in the Analysing Report. Appendix B is titled</w:t>
      </w:r>
      <w:r>
        <w:t xml:space="preserve"> </w:t>
      </w:r>
      <w:r>
        <w:t xml:space="preserve">“</w:t>
      </w:r>
      <w:r>
        <w:t xml:space="preserve">Context Diagram (Revised)</w:t>
      </w:r>
      <w:r>
        <w:t xml:space="preserve">”</w:t>
      </w:r>
      <w:r>
        <w:t xml:space="preserve"> </w:t>
      </w:r>
      <w:r>
        <w:t xml:space="preserve">and the figure caption states:</w:t>
      </w:r>
      <w:r>
        <w:t xml:space="preserve"> </w:t>
      </w:r>
      <w:r>
        <w:rPr>
          <w:iCs/>
          <w:i/>
        </w:rPr>
        <w:t xml:space="preserve">“</w:t>
      </w:r>
      <w:r>
        <w:rPr>
          <w:iCs/>
          <w:i/>
        </w:rPr>
        <w:t xml:space="preserve">Revised version of the Context Diagram originally provided in the BioSec Project Specification (PS).</w:t>
      </w:r>
      <w:r>
        <w:rPr>
          <w:iCs/>
          <w:i/>
        </w:rPr>
        <w:t xml:space="preserve">”</w:t>
      </w:r>
      <w:r>
        <w:t xml:space="preserve"> </w:t>
      </w:r>
      <w:r>
        <w:t xml:space="preserve">The TC-02 session outcome (Section 3.4) records:</w:t>
      </w:r>
      <w:r>
        <w:t xml:space="preserve"> </w:t>
      </w:r>
      <w:r>
        <w:rPr>
          <w:iCs/>
          <w:i/>
        </w:rPr>
        <w:t xml:space="preserve">“</w:t>
      </w:r>
      <w:r>
        <w:rPr>
          <w:iCs/>
          <w:i/>
        </w:rPr>
        <w:t xml:space="preserve">Context DFD updated to reflect all external system interfaces identified during clarification.</w:t>
      </w:r>
      <w:r>
        <w:rPr>
          <w:iCs/>
          <w:i/>
        </w:rPr>
        <w:t xml:space="preserve">”</w:t>
      </w:r>
    </w:p>
    <w:p>
      <w:pPr>
        <w:pStyle w:val="BodyText"/>
      </w:pPr>
      <w:r>
        <w:t xml:space="preserve">The original context diagram is traceable via the Project Specification (</w:t>
      </w:r>
      <w:r>
        <w:rPr>
          <w:rStyle w:val="VerbatimChar"/>
        </w:rPr>
        <w:t xml:space="preserve">Project Specification_1561W.pdf</w:t>
      </w:r>
      <w:r>
        <w:t xml:space="preserve">). The revised version is present as Appendix B of the Analysing Report and as</w:t>
      </w:r>
      <w:r>
        <w:t xml:space="preserve"> </w:t>
      </w:r>
      <w:r>
        <w:rPr>
          <w:rStyle w:val="VerbatimChar"/>
        </w:rPr>
        <w:t xml:space="preserve">requirement-models/context-diagram.pdf</w:t>
      </w:r>
      <w:r>
        <w:t xml:space="preserve"> </w:t>
      </w:r>
      <w:r>
        <w:t xml:space="preserve">in the repository.</w:t>
      </w:r>
    </w:p>
    <w:p>
      <w:pPr>
        <w:pStyle w:val="BodyText"/>
      </w:pPr>
      <w:r>
        <w:t xml:space="preserve">The paper napkin model from BC-01 is dated (07/02/2026) and preserved in Appendix A and as</w:t>
      </w:r>
      <w:r>
        <w:t xml:space="preserve"> </w:t>
      </w:r>
      <w:r>
        <w:rPr>
          <w:rStyle w:val="VerbatimChar"/>
        </w:rPr>
        <w:t xml:space="preserve">requirement-models/paper-napkin-model.jpg</w:t>
      </w:r>
      <w:r>
        <w:t xml:space="preserve">. The distinction between original and revised artefacts is documented and traceable.</w:t>
      </w:r>
    </w:p>
    <w:bookmarkEnd w:id="27"/>
    <w:bookmarkStart w:id="28" w:name="Xc7443cb3e498d0d2710d75d92f7b7c63e1bf6c6"/>
    <w:p>
      <w:pPr>
        <w:pStyle w:val="Heading3"/>
      </w:pPr>
      <w:r>
        <w:t xml:space="preserve">3.5 Requirements Codified with Unique Identifiers</w:t>
      </w:r>
    </w:p>
    <w:p>
      <w:pPr>
        <w:pStyle w:val="FirstParagraph"/>
      </w:pPr>
      <w:r>
        <w:rPr>
          <w:bCs/>
          <w:b/>
        </w:rPr>
        <w:t xml:space="preserve">Status: Pass</w:t>
      </w:r>
    </w:p>
    <w:p>
      <w:pPr>
        <w:pStyle w:val="BodyText"/>
      </w:pPr>
      <w:r>
        <w:t xml:space="preserve">Requirements are codified throughout the repository and Analysing Report using a consistent identifier scheme: Business Operations Requirements use the prefix</w:t>
      </w:r>
      <w:r>
        <w:t xml:space="preserve"> </w:t>
      </w:r>
      <w:r>
        <w:rPr>
          <w:rStyle w:val="VerbatimChar"/>
        </w:rPr>
        <w:t xml:space="preserve">BOR-{level}-{category}-{number}</w:t>
      </w:r>
      <w:r>
        <w:t xml:space="preserve"> </w:t>
      </w:r>
      <w:r>
        <w:t xml:space="preserve">(e.g. BOR-1-ATT-01), and Technical Requirements use</w:t>
      </w:r>
      <w:r>
        <w:t xml:space="preserve"> </w:t>
      </w:r>
      <w:r>
        <w:rPr>
          <w:rStyle w:val="VerbatimChar"/>
        </w:rPr>
        <w:t xml:space="preserve">TR-{level}-{category}-{number}</w:t>
      </w:r>
      <w:r>
        <w:t xml:space="preserve"> </w:t>
      </w:r>
      <w:r>
        <w:t xml:space="preserve">(e.g. TR-1-BE-04). Atomic requirements derived from compound decomposition carry both an atomic ID and a parent ID reference (e.g. BOR-1-MOB-02a, parent BOR-1-MOB-02), as documented in Analysing Report Section 2.3.</w:t>
      </w:r>
    </w:p>
    <w:p>
      <w:pPr>
        <w:pStyle w:val="BodyText"/>
      </w:pPr>
      <w:r>
        <w:t xml:space="preserve">The repository requirements files (</w:t>
      </w:r>
      <w:r>
        <w:rPr>
          <w:rStyle w:val="VerbatimChar"/>
        </w:rPr>
        <w:t xml:space="preserve">bizops-requirements.md</w:t>
      </w:r>
      <w:r>
        <w:t xml:space="preserve">,</w:t>
      </w:r>
      <w:r>
        <w:t xml:space="preserve"> </w:t>
      </w:r>
      <w:r>
        <w:rPr>
          <w:rStyle w:val="VerbatimChar"/>
        </w:rPr>
        <w:t xml:space="preserve">technical-requirements.md</w:t>
      </w:r>
      <w:r>
        <w:t xml:space="preserve">) and the Analysing Report are consistent in their use of this coding system.</w:t>
      </w:r>
    </w:p>
    <w:bookmarkEnd w:id="28"/>
    <w:bookmarkStart w:id="29" w:name="X6c95f44f05ef97ca0386dbeeab297e6522ec379"/>
    <w:p>
      <w:pPr>
        <w:pStyle w:val="Heading3"/>
      </w:pPr>
      <w:r>
        <w:t xml:space="preserve">3.6 IRC Exists as a Standalone Extractable Document</w:t>
      </w:r>
    </w:p>
    <w:p>
      <w:pPr>
        <w:pStyle w:val="FirstParagraph"/>
      </w:pPr>
      <w:r>
        <w:rPr>
          <w:bCs/>
          <w:b/>
        </w:rPr>
        <w:t xml:space="preserve">Status: Pass</w:t>
      </w:r>
    </w:p>
    <w:p>
      <w:pPr>
        <w:pStyle w:val="BodyText"/>
      </w:pPr>
      <w:r>
        <w:t xml:space="preserve">The Incongruous Requirements Checklist (IRC) is present as a standalone PDF file:</w:t>
      </w:r>
      <w:r>
        <w:t xml:space="preserve"> </w:t>
      </w:r>
      <w:r>
        <w:rPr>
          <w:rStyle w:val="VerbatimChar"/>
        </w:rPr>
        <w:t xml:space="preserve">documents/IRC_Nevon_Solutions.pdf</w:t>
      </w:r>
      <w:r>
        <w:t xml:space="preserve"> </w:t>
      </w:r>
      <w:r>
        <w:t xml:space="preserve">(Document ID: NS-IRC-2026-001). It is separate from the Analysing Report and can be extracted and distributed independently. The document is two pages, structured as a tabular checklist with three columns: Category, Check Item, and Application in This Project.</w:t>
      </w:r>
    </w:p>
    <w:bookmarkEnd w:id="29"/>
    <w:bookmarkStart w:id="30" w:name="irc-was-used-filled-in"/>
    <w:p>
      <w:pPr>
        <w:pStyle w:val="Heading3"/>
      </w:pPr>
      <w:r>
        <w:t xml:space="preserve">3.7 IRC Was Used (Filled In)</w:t>
      </w:r>
    </w:p>
    <w:p>
      <w:pPr>
        <w:pStyle w:val="FirstParagraph"/>
      </w:pPr>
      <w:r>
        <w:rPr>
          <w:bCs/>
          <w:b/>
        </w:rPr>
        <w:t xml:space="preserve">Status: Pass</w:t>
      </w:r>
    </w:p>
    <w:p>
      <w:pPr>
        <w:pStyle w:val="BodyText"/>
      </w:pPr>
      <w:r>
        <w:t xml:space="preserve">The IRC PDF (NS-IRC-2026-001) contains completed</w:t>
      </w:r>
      <w:r>
        <w:t xml:space="preserve"> </w:t>
      </w:r>
      <w:r>
        <w:t xml:space="preserve">“</w:t>
      </w:r>
      <w:r>
        <w:t xml:space="preserve">Application in This Project</w:t>
      </w:r>
      <w:r>
        <w:t xml:space="preserve">”</w:t>
      </w:r>
      <w:r>
        <w:t xml:space="preserve"> </w:t>
      </w:r>
      <w:r>
        <w:t xml:space="preserve">entries for all nine categories: Imperative, Continuance, Ambiguity, Testability, Consistency, Completeness, Feasibility, Compound, PDPA Compliance, and External Systems. Each entry contains specific project findings with requirement IDs. The document is not a blank template.</w:t>
      </w:r>
    </w:p>
    <w:p>
      <w:pPr>
        <w:pStyle w:val="BodyText"/>
      </w:pPr>
      <w:r>
        <w:t xml:space="preserve">Selected evidence of usage:</w:t>
      </w:r>
      <w:r>
        <w:t xml:space="preserve"> </w:t>
      </w:r>
      <w:r>
        <w:t xml:space="preserve">-</w:t>
      </w:r>
      <w:r>
        <w:t xml:space="preserve"> </w:t>
      </w:r>
      <w:r>
        <w:rPr>
          <w:bCs/>
          <w:b/>
        </w:rPr>
        <w:t xml:space="preserve">Ambiguity:</w:t>
      </w:r>
      <w:r>
        <w:t xml:space="preserve"> </w:t>
      </w:r>
      <w:r>
        <w:t xml:space="preserve">Seven specific requirements identified with vague language (BOR-1-ATT-01</w:t>
      </w:r>
      <w:r>
        <w:t xml:space="preserve"> </w:t>
      </w:r>
      <w:r>
        <w:t xml:space="preserve">“</w:t>
      </w:r>
      <w:r>
        <w:t xml:space="preserve">quickly</w:t>
      </w:r>
      <w:r>
        <w:t xml:space="preserve">”</w:t>
      </w:r>
      <w:r>
        <w:t xml:space="preserve">, BOR-1-MOB-02</w:t>
      </w:r>
      <w:r>
        <w:t xml:space="preserve"> </w:t>
      </w:r>
      <w:r>
        <w:t xml:space="preserve">“</w:t>
      </w:r>
      <w:r>
        <w:t xml:space="preserve">accurate and up to date</w:t>
      </w:r>
      <w:r>
        <w:t xml:space="preserve">”</w:t>
      </w:r>
      <w:r>
        <w:t xml:space="preserve">, TR-1-BE-01</w:t>
      </w:r>
      <w:r>
        <w:t xml:space="preserve"> </w:t>
      </w:r>
      <w:r>
        <w:t xml:space="preserve">“</w:t>
      </w:r>
      <w:r>
        <w:t xml:space="preserve">1000+</w:t>
      </w:r>
      <w:r>
        <w:t xml:space="preserve">”</w:t>
      </w:r>
      <w:r>
        <w:t xml:space="preserve">), all documented as rewritten with quantified criteria</w:t>
      </w:r>
      <w:r>
        <w:t xml:space="preserve"> </w:t>
      </w:r>
      <w:r>
        <w:t xml:space="preserve">-</w:t>
      </w:r>
      <w:r>
        <w:t xml:space="preserve"> </w:t>
      </w:r>
      <w:r>
        <w:rPr>
          <w:bCs/>
          <w:b/>
        </w:rPr>
        <w:t xml:space="preserve">Feasibility:</w:t>
      </w:r>
      <w:r>
        <w:t xml:space="preserve"> </w:t>
      </w:r>
      <w:r>
        <w:t xml:space="preserve">Two infeasible requirements identified with specific technical reasons (TR-1-BE-04 FAR 0.001%, TR-1-BE-02 99.999% uptime), both documented as revised</w:t>
      </w:r>
      <w:r>
        <w:t xml:space="preserve"> </w:t>
      </w:r>
      <w:r>
        <w:t xml:space="preserve">-</w:t>
      </w:r>
      <w:r>
        <w:t xml:space="preserve"> </w:t>
      </w:r>
      <w:r>
        <w:rPr>
          <w:bCs/>
          <w:b/>
        </w:rPr>
        <w:t xml:space="preserve">Compound:</w:t>
      </w:r>
      <w:r>
        <w:t xml:space="preserve"> </w:t>
      </w:r>
      <w:r>
        <w:t xml:space="preserve">Five compound requirements identified and decomposed with parent IDs retained</w:t>
      </w:r>
    </w:p>
    <w:p>
      <w:pPr>
        <w:pStyle w:val="BodyText"/>
      </w:pPr>
      <w:r>
        <w:t xml:space="preserve">The closing statement of the IRC confirms:</w:t>
      </w:r>
      <w:r>
        <w:t xml:space="preserve"> </w:t>
      </w:r>
      <w:r>
        <w:rPr>
          <w:iCs/>
          <w:i/>
        </w:rPr>
        <w:t xml:space="preserve">“</w:t>
      </w:r>
      <w:r>
        <w:rPr>
          <w:iCs/>
          <w:i/>
        </w:rPr>
        <w:t xml:space="preserve">The IRC guided all BCIC Breakdown activities and ensured disciplined, consistent rewriting of all 27 requirements from the BioSec Project Specification.</w:t>
      </w:r>
      <w:r>
        <w:rPr>
          <w:iCs/>
          <w:i/>
        </w:rPr>
        <w:t xml:space="preserve">”</w:t>
      </w:r>
    </w:p>
    <w:p>
      <w:r>
        <w:pict>
          <v:rect style="width:0;height:1.5pt" o:hralign="center" o:hrstd="t" o:hr="t"/>
        </w:pict>
      </w:r>
    </w:p>
    <w:bookmarkEnd w:id="30"/>
    <w:bookmarkEnd w:id="31"/>
    <w:bookmarkStart w:id="36" w:name="specifying-phase-findings"/>
    <w:p>
      <w:pPr>
        <w:pStyle w:val="Heading2"/>
      </w:pPr>
      <w:r>
        <w:t xml:space="preserve">4. Specifying Phase — Findings</w:t>
      </w:r>
    </w:p>
    <w:bookmarkStart w:id="32" w:name="srs-references-a-recognised-template"/>
    <w:p>
      <w:pPr>
        <w:pStyle w:val="Heading3"/>
      </w:pPr>
      <w:r>
        <w:t xml:space="preserve">4.1 SRS References a Recognised Template</w:t>
      </w:r>
    </w:p>
    <w:p>
      <w:pPr>
        <w:pStyle w:val="FirstParagraph"/>
      </w:pPr>
      <w:r>
        <w:rPr>
          <w:bCs/>
          <w:b/>
        </w:rPr>
        <w:t xml:space="preserve">Status: Pass</w:t>
      </w:r>
    </w:p>
    <w:p>
      <w:pPr>
        <w:pStyle w:val="BodyText"/>
      </w:pPr>
      <w:r>
        <w:t xml:space="preserve">SRS Section 1.2 (Document Conventions) states:</w:t>
      </w:r>
      <w:r>
        <w:t xml:space="preserve"> </w:t>
      </w:r>
      <w:r>
        <w:rPr>
          <w:iCs/>
          <w:i/>
        </w:rPr>
        <w:t xml:space="preserve">“</w:t>
      </w:r>
      <w:r>
        <w:rPr>
          <w:iCs/>
          <w:i/>
        </w:rPr>
        <w:t xml:space="preserve">This SRS is based on the IEEE Recommended Practice for Software Requirements Specifications (IEEE Std 830-1998) template by Karl E. Wiegers.</w:t>
      </w:r>
      <w:r>
        <w:rPr>
          <w:iCs/>
          <w:i/>
        </w:rPr>
        <w:t xml:space="preserve">”</w:t>
      </w:r>
      <w:r>
        <w:t xml:space="preserve"> </w:t>
      </w:r>
      <w:r>
        <w:t xml:space="preserve">The original template file (</w:t>
      </w:r>
      <w:r>
        <w:rPr>
          <w:rStyle w:val="VerbatimChar"/>
        </w:rPr>
        <w:t xml:space="preserve">documents/srs_template-ieee.doc</w:t>
      </w:r>
      <w:r>
        <w:t xml:space="preserve">) is also present in the repository, providing direct evidence of the template used.</w:t>
      </w:r>
    </w:p>
    <w:p>
      <w:pPr>
        <w:pStyle w:val="BodyText"/>
      </w:pPr>
      <w:r>
        <w:t xml:space="preserve">The SRS acknowledges structural modifications made to accommodate the project’s RE methodology, specifically the addition of an iRTM section (Appendix D) and a Change Mitigation Strategies section (Section 8).</w:t>
      </w:r>
    </w:p>
    <w:bookmarkEnd w:id="32"/>
    <w:bookmarkStart w:id="33" w:name="Xde8104fd1020013e2abdc86352518f505d8d271"/>
    <w:p>
      <w:pPr>
        <w:pStyle w:val="Heading3"/>
      </w:pPr>
      <w:r>
        <w:t xml:space="preserve">4.2 All Repository Requirements Accounted for in SRS</w:t>
      </w:r>
    </w:p>
    <w:p>
      <w:pPr>
        <w:pStyle w:val="FirstParagraph"/>
      </w:pPr>
      <w:r>
        <w:rPr>
          <w:bCs/>
          <w:b/>
        </w:rPr>
        <w:t xml:space="preserve">Status: Pass</w:t>
      </w:r>
    </w:p>
    <w:p>
      <w:pPr>
        <w:pStyle w:val="BodyText"/>
      </w:pPr>
      <w:r>
        <w:t xml:space="preserve">SRS Section 1.1 states the document</w:t>
      </w:r>
      <w:r>
        <w:t xml:space="preserve"> </w:t>
      </w:r>
      <w:r>
        <w:rPr>
          <w:iCs/>
          <w:i/>
        </w:rPr>
        <w:t xml:space="preserve">“</w:t>
      </w:r>
      <w:r>
        <w:rPr>
          <w:iCs/>
          <w:i/>
        </w:rPr>
        <w:t xml:space="preserve">incorporates all business operations and technical requirements produced from the Analysing method, including breakdown, clarification, interpretation, and categorisation of the BioSec Project Specification.</w:t>
      </w:r>
      <w:r>
        <w:rPr>
          <w:iCs/>
          <w:i/>
        </w:rPr>
        <w:t xml:space="preserve">”</w:t>
      </w:r>
      <w:r>
        <w:t xml:space="preserve"> </w:t>
      </w:r>
      <w:r>
        <w:t xml:space="preserve">The iRTM (Appendix D of the SRS and standalone</w:t>
      </w:r>
      <w:r>
        <w:t xml:space="preserve"> </w:t>
      </w:r>
      <w:r>
        <w:rPr>
          <w:rStyle w:val="VerbatimChar"/>
        </w:rPr>
        <w:t xml:space="preserve">iRTM.docx</w:t>
      </w:r>
      <w:r>
        <w:t xml:space="preserve">) establishes traceability from the PS through the repository to the SRS for each requirement.</w:t>
      </w:r>
    </w:p>
    <w:p>
      <w:pPr>
        <w:pStyle w:val="BodyText"/>
      </w:pPr>
      <w:r>
        <w:t xml:space="preserve">The SRS Sections 4–6 contain functional requirements with explicit back-references to BOR and TR identifiers, consistent with the repository requirements files. The iRTM is described in SRS Section 7 as systematically establishing</w:t>
      </w:r>
      <w:r>
        <w:t xml:space="preserve"> </w:t>
      </w:r>
      <w:r>
        <w:rPr>
          <w:iCs/>
          <w:i/>
        </w:rPr>
        <w:t xml:space="preserve">“</w:t>
      </w:r>
      <w:r>
        <w:rPr>
          <w:iCs/>
          <w:i/>
        </w:rPr>
        <w:t xml:space="preserve">the chain of custody for all requirements from BioSec Project Specification (BS-PS-2026-001) to Nevon Solutions Software Requirements Specification (NS-SRS-2026-001).</w:t>
      </w:r>
      <w:r>
        <w:rPr>
          <w:iCs/>
          <w:i/>
        </w:rPr>
        <w:t xml:space="preserve">”</w:t>
      </w:r>
    </w:p>
    <w:bookmarkEnd w:id="33"/>
    <w:bookmarkStart w:id="34" w:name="irtm-as-a-standalone-extractable-file"/>
    <w:p>
      <w:pPr>
        <w:pStyle w:val="Heading3"/>
      </w:pPr>
      <w:r>
        <w:t xml:space="preserve">4.3 iRTM as a Standalone Extractable File</w:t>
      </w:r>
    </w:p>
    <w:p>
      <w:pPr>
        <w:pStyle w:val="FirstParagraph"/>
      </w:pPr>
      <w:r>
        <w:rPr>
          <w:bCs/>
          <w:b/>
        </w:rPr>
        <w:t xml:space="preserve">Status: Pass</w:t>
      </w:r>
    </w:p>
    <w:p>
      <w:pPr>
        <w:pStyle w:val="BodyText"/>
      </w:pPr>
      <w:r>
        <w:t xml:space="preserve">The iRTM is present as a standalone Word document:</w:t>
      </w:r>
      <w:r>
        <w:t xml:space="preserve"> </w:t>
      </w:r>
      <w:r>
        <w:rPr>
          <w:rStyle w:val="VerbatimChar"/>
        </w:rPr>
        <w:t xml:space="preserve">documents/iRTM.docx</w:t>
      </w:r>
      <w:r>
        <w:t xml:space="preserve">. This satisfies the requirement for the iRTM to be a separate, extractable file that can be distributed independently of the SRS PDF.</w:t>
      </w:r>
    </w:p>
    <w:bookmarkEnd w:id="34"/>
    <w:bookmarkStart w:id="35" w:name="change-management-template-exists"/>
    <w:p>
      <w:pPr>
        <w:pStyle w:val="Heading3"/>
      </w:pPr>
      <w:r>
        <w:t xml:space="preserve">4.4 Change Management Template Exists</w:t>
      </w:r>
    </w:p>
    <w:p>
      <w:pPr>
        <w:pStyle w:val="FirstParagraph"/>
      </w:pPr>
      <w:r>
        <w:rPr>
          <w:bCs/>
          <w:b/>
        </w:rPr>
        <w:t xml:space="preserve">Status: Pass</w:t>
      </w:r>
    </w:p>
    <w:p>
      <w:pPr>
        <w:pStyle w:val="BodyText"/>
      </w:pPr>
      <w:r>
        <w:t xml:space="preserve">A Change Request Form Template is present as a standalone document:</w:t>
      </w:r>
      <w:r>
        <w:t xml:space="preserve"> </w:t>
      </w:r>
      <w:r>
        <w:rPr>
          <w:rStyle w:val="VerbatimChar"/>
        </w:rPr>
        <w:t xml:space="preserve">requirement-models/Change Request Form Template.docx</w:t>
      </w:r>
      <w:r>
        <w:t xml:space="preserve">. The SRS also references change management in Section 8 (Change Mitigation Strategies) and Appendix E (Change Request Form), with Section 8.3 describing a High-Risk Change Control Process that references the template.</w:t>
      </w:r>
    </w:p>
    <w:p>
      <w:r>
        <w:pict>
          <v:rect style="width:0;height:1.5pt" o:hralign="center" o:hrstd="t" o:hr="t"/>
        </w:pict>
      </w:r>
    </w:p>
    <w:bookmarkEnd w:id="35"/>
    <w:bookmarkEnd w:id="36"/>
    <w:bookmarkStart w:id="42" w:name="validating-phase-findings"/>
    <w:p>
      <w:pPr>
        <w:pStyle w:val="Heading2"/>
      </w:pPr>
      <w:r>
        <w:t xml:space="preserve">5. Validating Phase — Findings</w:t>
      </w:r>
    </w:p>
    <w:bookmarkStart w:id="37" w:name="customer-sign-off-on-srs"/>
    <w:p>
      <w:pPr>
        <w:pStyle w:val="Heading3"/>
      </w:pPr>
      <w:r>
        <w:t xml:space="preserve">5.1 Customer Sign-Off on SRS</w:t>
      </w:r>
    </w:p>
    <w:p>
      <w:pPr>
        <w:pStyle w:val="FirstParagraph"/>
      </w:pPr>
      <w:r>
        <w:rPr>
          <w:bCs/>
          <w:b/>
        </w:rPr>
        <w:t xml:space="preserve">Status: Partial — Not Confirmed</w:t>
      </w:r>
    </w:p>
    <w:p>
      <w:pPr>
        <w:pStyle w:val="BodyText"/>
      </w:pPr>
      <w:r>
        <w:t xml:space="preserve">The SRS (NS-SRS-2026-001) is at Version 0.8, dated 3 March 2026. The version numbering indicates a pre-release draft. The SRS contains a Section 9 titled</w:t>
      </w:r>
      <w:r>
        <w:t xml:space="preserve"> </w:t>
      </w:r>
      <w:r>
        <w:t xml:space="preserve">“</w:t>
      </w:r>
      <w:r>
        <w:t xml:space="preserve">SRS Sign off</w:t>
      </w:r>
      <w:r>
        <w:t xml:space="preserve">”</w:t>
      </w:r>
      <w:r>
        <w:t xml:space="preserve"> </w:t>
      </w:r>
      <w:r>
        <w:t xml:space="preserve">(Table of Contents, p. 19 of document body), which is the designated location for customer (BioSec) approval signatures.</w:t>
      </w:r>
    </w:p>
    <w:p>
      <w:pPr>
        <w:pStyle w:val="BodyText"/>
      </w:pPr>
      <w:r>
        <w:t xml:space="preserve">During document review, the content of Section 9 was not fully accessible for examination. The presence or absence of a signed BioSec approval in Section 9 could not be confirmed from the artefacts reviewed.</w:t>
      </w:r>
    </w:p>
    <w:p>
      <w:pPr>
        <w:pStyle w:val="BodyText"/>
      </w:pPr>
      <w:r>
        <w:t xml:space="preserve">The SRS Declaration page (signed by Project Lead Loh Wen Xuan, 03/03/2026) confirms the document was reviewed and approved internally by Nevon Solutions. However, internal sign-off by the vendor is distinct from customer (BioSec) validation sign-off, which is required to complete the Validating phase process.</w:t>
      </w:r>
    </w:p>
    <w:p>
      <w:pPr>
        <w:pStyle w:val="BodyText"/>
      </w:pPr>
      <w:r>
        <w:t xml:space="preserve">This item requires direct examination of SRS Section 9 (p. 19 of body) or confirmation via interview with Nevon Solutions.</w:t>
      </w:r>
    </w:p>
    <w:bookmarkEnd w:id="37"/>
    <w:bookmarkStart w:id="38" w:name="editorial-checks-performed-on-srs"/>
    <w:p>
      <w:pPr>
        <w:pStyle w:val="Heading3"/>
      </w:pPr>
      <w:r>
        <w:t xml:space="preserve">5.2 Editorial Checks Performed on SRS</w:t>
      </w:r>
    </w:p>
    <w:p>
      <w:pPr>
        <w:pStyle w:val="FirstParagraph"/>
      </w:pPr>
      <w:r>
        <w:rPr>
          <w:bCs/>
          <w:b/>
        </w:rPr>
        <w:t xml:space="preserve">Status: Partial — Not Confirmed</w:t>
      </w:r>
    </w:p>
    <w:p>
      <w:pPr>
        <w:pStyle w:val="BodyText"/>
      </w:pPr>
      <w:r>
        <w:t xml:space="preserve">No documentary evidence of spell check, grammar check, or editorial review completion was found in the repository or within the artefacts reviewed. The SRS Declaration page states the document was</w:t>
      </w:r>
      <w:r>
        <w:t xml:space="preserve"> </w:t>
      </w:r>
      <w:r>
        <w:rPr>
          <w:iCs/>
          <w:i/>
        </w:rPr>
        <w:t xml:space="preserve">“</w:t>
      </w:r>
      <w:r>
        <w:rPr>
          <w:iCs/>
          <w:i/>
        </w:rPr>
        <w:t xml:space="preserve">reviewed, validated, and approved</w:t>
      </w:r>
      <w:r>
        <w:rPr>
          <w:iCs/>
          <w:i/>
        </w:rPr>
        <w:t xml:space="preserve">”</w:t>
      </w:r>
      <w:r>
        <w:t xml:space="preserve"> </w:t>
      </w:r>
      <w:r>
        <w:t xml:space="preserve">by the Project Lead, but does not specifically record editorial checks as a distinct activity.</w:t>
      </w:r>
    </w:p>
    <w:p>
      <w:pPr>
        <w:pStyle w:val="BodyText"/>
      </w:pPr>
      <w:r>
        <w:t xml:space="preserve">This item requires confirmation via interview or focus group with Nevon Solutions to establish whether spell, grammar, and editorial checks were performed prior to submission.</w:t>
      </w:r>
    </w:p>
    <w:bookmarkEnd w:id="38"/>
    <w:bookmarkStart w:id="39" w:name="qc-plan"/>
    <w:p>
      <w:pPr>
        <w:pStyle w:val="Heading3"/>
      </w:pPr>
      <w:r>
        <w:t xml:space="preserve">5.3 QC Plan</w:t>
      </w:r>
    </w:p>
    <w:p>
      <w:pPr>
        <w:pStyle w:val="FirstParagraph"/>
      </w:pPr>
      <w:r>
        <w:rPr>
          <w:bCs/>
          <w:b/>
        </w:rPr>
        <w:t xml:space="preserve">Status: Fail — Not Found</w:t>
      </w:r>
    </w:p>
    <w:p>
      <w:pPr>
        <w:pStyle w:val="BodyText"/>
      </w:pPr>
      <w:r>
        <w:t xml:space="preserve">No QC plan was located in the Nevon Solutions repository or in any artefacts provided to Paragon Assurance for this audit. The repository contains no folder or file that corresponds to a QC team’s plan for their review of the SRS.</w:t>
      </w:r>
    </w:p>
    <w:p>
      <w:pPr>
        <w:pStyle w:val="BodyText"/>
      </w:pPr>
      <w:r>
        <w:t xml:space="preserve">The QC plan is an expected artefact at the start of the Validating phase, establishing how the QC team intends to approach their review. Its absence means the initiation of the QC process cannot be confirmed.</w:t>
      </w:r>
    </w:p>
    <w:bookmarkEnd w:id="39"/>
    <w:bookmarkStart w:id="40" w:name="qc-checklist"/>
    <w:p>
      <w:pPr>
        <w:pStyle w:val="Heading3"/>
      </w:pPr>
      <w:r>
        <w:t xml:space="preserve">5.4 QC Checklist</w:t>
      </w:r>
    </w:p>
    <w:p>
      <w:pPr>
        <w:pStyle w:val="FirstParagraph"/>
      </w:pPr>
      <w:r>
        <w:rPr>
          <w:bCs/>
          <w:b/>
        </w:rPr>
        <w:t xml:space="preserve">Status: Fail — Not Found</w:t>
      </w:r>
    </w:p>
    <w:p>
      <w:pPr>
        <w:pStyle w:val="BodyText"/>
      </w:pPr>
      <w:r>
        <w:t xml:space="preserve">No QC checklist was located in the Nevon Solutions repository or in any artefacts provided to Paragon Assurance for this audit. The repository contains no file corresponding to a QC team’s checklist of items to be reviewed in the SRS.</w:t>
      </w:r>
    </w:p>
    <w:p>
      <w:pPr>
        <w:pStyle w:val="BodyText"/>
      </w:pPr>
      <w:r>
        <w:t xml:space="preserve">The QC checklist is the mechanism by which the QC team records what was examined and verifies each item was addressed. Its absence means the execution of the QC review process cannot be confirmed.</w:t>
      </w:r>
    </w:p>
    <w:bookmarkEnd w:id="40"/>
    <w:bookmarkStart w:id="41" w:name="qc-findings-documented-and-saved"/>
    <w:p>
      <w:pPr>
        <w:pStyle w:val="Heading3"/>
      </w:pPr>
      <w:r>
        <w:t xml:space="preserve">5.5 QC Findings Documented and Saved</w:t>
      </w:r>
    </w:p>
    <w:p>
      <w:pPr>
        <w:pStyle w:val="FirstParagraph"/>
      </w:pPr>
      <w:r>
        <w:rPr>
          <w:bCs/>
          <w:b/>
        </w:rPr>
        <w:t xml:space="preserve">Status: Fail — Not Found</w:t>
      </w:r>
    </w:p>
    <w:p>
      <w:pPr>
        <w:pStyle w:val="BodyText"/>
      </w:pPr>
      <w:r>
        <w:t xml:space="preserve">No QC findings report or findings record was located in the Nevon Solutions repository or in any artefacts provided to Paragon Assurance for this audit. There is no evidence that QC findings were recorded, whether in a separate report, a findings log, or within another artefact.</w:t>
      </w:r>
    </w:p>
    <w:p>
      <w:pPr>
        <w:pStyle w:val="BodyText"/>
      </w:pPr>
      <w:r>
        <w:t xml:space="preserve">The QC findings are the output of the Validating phase review by the QC team. Their absence means the conclusion of the QC review process cannot be confirmed.</w:t>
      </w:r>
    </w:p>
    <w:p>
      <w:r>
        <w:pict>
          <v:rect style="width:0;height:1.5pt" o:hralign="center" o:hrstd="t" o:hr="t"/>
        </w:pict>
      </w:r>
    </w:p>
    <w:bookmarkEnd w:id="41"/>
    <w:bookmarkEnd w:id="42"/>
    <w:bookmarkStart w:id="43" w:name="summary-of-non-conformances"/>
    <w:p>
      <w:pPr>
        <w:pStyle w:val="Heading2"/>
      </w:pPr>
      <w:r>
        <w:t xml:space="preserve">6. Summary of Non-Conformances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NC ID</w:t>
            </w:r>
          </w:p>
        </w:tc>
        <w:tc>
          <w:tcPr/>
          <w:p>
            <w:pPr>
              <w:pStyle w:val="Compact"/>
              <w:jc w:val="left"/>
            </w:pPr>
            <w:r>
              <w:t xml:space="preserve">Phase</w:t>
            </w:r>
          </w:p>
        </w:tc>
        <w:tc>
          <w:tcPr/>
          <w:p>
            <w:pPr>
              <w:pStyle w:val="Compact"/>
              <w:jc w:val="left"/>
            </w:pPr>
            <w:r>
              <w:t xml:space="preserve">Checklist Item</w:t>
            </w:r>
          </w:p>
        </w:tc>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NC-01</w:t>
            </w:r>
          </w:p>
        </w:tc>
        <w:tc>
          <w:tcPr/>
          <w:p>
            <w:pPr>
              <w:pStyle w:val="Compact"/>
              <w:jc w:val="left"/>
            </w:pPr>
            <w:r>
              <w:t xml:space="preserve">Validating</w:t>
            </w:r>
          </w:p>
        </w:tc>
        <w:tc>
          <w:tcPr/>
          <w:p>
            <w:pPr>
              <w:pStyle w:val="Compact"/>
              <w:jc w:val="left"/>
            </w:pPr>
            <w:r>
              <w:t xml:space="preserve">V-01 — Customer sign-off</w:t>
            </w:r>
          </w:p>
        </w:tc>
        <w:tc>
          <w:tcPr/>
          <w:p>
            <w:pPr>
              <w:pStyle w:val="Compact"/>
              <w:jc w:val="left"/>
            </w:pPr>
            <w:r>
              <w:t xml:space="preserve">Partial</w:t>
            </w:r>
          </w:p>
        </w:tc>
        <w:tc>
          <w:tcPr/>
          <w:p>
            <w:pPr>
              <w:pStyle w:val="Compact"/>
              <w:jc w:val="left"/>
            </w:pPr>
            <w:r>
              <w:t xml:space="preserve">SRS at v0.8 (draft); BioSec sign-off in Section 9 not confirmed from reviewed artefacts</w:t>
            </w:r>
          </w:p>
        </w:tc>
      </w:tr>
      <w:tr>
        <w:tc>
          <w:tcPr/>
          <w:p>
            <w:pPr>
              <w:pStyle w:val="Compact"/>
              <w:jc w:val="left"/>
            </w:pPr>
            <w:r>
              <w:t xml:space="preserve">NC-02</w:t>
            </w:r>
          </w:p>
        </w:tc>
        <w:tc>
          <w:tcPr/>
          <w:p>
            <w:pPr>
              <w:pStyle w:val="Compact"/>
              <w:jc w:val="left"/>
            </w:pPr>
            <w:r>
              <w:t xml:space="preserve">Validating</w:t>
            </w:r>
          </w:p>
        </w:tc>
        <w:tc>
          <w:tcPr/>
          <w:p>
            <w:pPr>
              <w:pStyle w:val="Compact"/>
              <w:jc w:val="left"/>
            </w:pPr>
            <w:r>
              <w:t xml:space="preserve">V-02 — Editorial checks</w:t>
            </w:r>
          </w:p>
        </w:tc>
        <w:tc>
          <w:tcPr/>
          <w:p>
            <w:pPr>
              <w:pStyle w:val="Compact"/>
              <w:jc w:val="left"/>
            </w:pPr>
            <w:r>
              <w:t xml:space="preserve">Partial</w:t>
            </w:r>
          </w:p>
        </w:tc>
        <w:tc>
          <w:tcPr/>
          <w:p>
            <w:pPr>
              <w:pStyle w:val="Compact"/>
              <w:jc w:val="left"/>
            </w:pPr>
            <w:r>
              <w:t xml:space="preserve">No documentary evidence of spell, grammar, or editorial checks found in repository</w:t>
            </w:r>
          </w:p>
        </w:tc>
      </w:tr>
      <w:tr>
        <w:tc>
          <w:tcPr/>
          <w:p>
            <w:pPr>
              <w:pStyle w:val="Compact"/>
              <w:jc w:val="left"/>
            </w:pPr>
            <w:r>
              <w:t xml:space="preserve">NC-03</w:t>
            </w:r>
          </w:p>
        </w:tc>
        <w:tc>
          <w:tcPr/>
          <w:p>
            <w:pPr>
              <w:pStyle w:val="Compact"/>
              <w:jc w:val="left"/>
            </w:pPr>
            <w:r>
              <w:t xml:space="preserve">Validating</w:t>
            </w:r>
          </w:p>
        </w:tc>
        <w:tc>
          <w:tcPr/>
          <w:p>
            <w:pPr>
              <w:pStyle w:val="Compact"/>
              <w:jc w:val="left"/>
            </w:pPr>
            <w:r>
              <w:t xml:space="preserve">V-03 — QC plan</w:t>
            </w:r>
          </w:p>
        </w:tc>
        <w:tc>
          <w:tcPr/>
          <w:p>
            <w:pPr>
              <w:pStyle w:val="Compact"/>
              <w:jc w:val="left"/>
            </w:pPr>
            <w:r>
              <w:t xml:space="preserve">Fail</w:t>
            </w:r>
          </w:p>
        </w:tc>
        <w:tc>
          <w:tcPr/>
          <w:p>
            <w:pPr>
              <w:pStyle w:val="Compact"/>
              <w:jc w:val="left"/>
            </w:pPr>
            <w:r>
              <w:t xml:space="preserve">QC plan not present in repository or artefacts made available to audit</w:t>
            </w:r>
          </w:p>
        </w:tc>
      </w:tr>
      <w:tr>
        <w:tc>
          <w:tcPr/>
          <w:p>
            <w:pPr>
              <w:pStyle w:val="Compact"/>
              <w:jc w:val="left"/>
            </w:pPr>
            <w:r>
              <w:t xml:space="preserve">NC-04</w:t>
            </w:r>
          </w:p>
        </w:tc>
        <w:tc>
          <w:tcPr/>
          <w:p>
            <w:pPr>
              <w:pStyle w:val="Compact"/>
              <w:jc w:val="left"/>
            </w:pPr>
            <w:r>
              <w:t xml:space="preserve">Validating</w:t>
            </w:r>
          </w:p>
        </w:tc>
        <w:tc>
          <w:tcPr/>
          <w:p>
            <w:pPr>
              <w:pStyle w:val="Compact"/>
              <w:jc w:val="left"/>
            </w:pPr>
            <w:r>
              <w:t xml:space="preserve">V-04 — QC checklist</w:t>
            </w:r>
          </w:p>
        </w:tc>
        <w:tc>
          <w:tcPr/>
          <w:p>
            <w:pPr>
              <w:pStyle w:val="Compact"/>
              <w:jc w:val="left"/>
            </w:pPr>
            <w:r>
              <w:t xml:space="preserve">Fail</w:t>
            </w:r>
          </w:p>
        </w:tc>
        <w:tc>
          <w:tcPr/>
          <w:p>
            <w:pPr>
              <w:pStyle w:val="Compact"/>
              <w:jc w:val="left"/>
            </w:pPr>
            <w:r>
              <w:t xml:space="preserve">QC checklist not present in repository or artefacts made available to audit</w:t>
            </w:r>
          </w:p>
        </w:tc>
      </w:tr>
      <w:tr>
        <w:tc>
          <w:tcPr/>
          <w:p>
            <w:pPr>
              <w:pStyle w:val="Compact"/>
              <w:jc w:val="left"/>
            </w:pPr>
            <w:r>
              <w:t xml:space="preserve">NC-05</w:t>
            </w:r>
          </w:p>
        </w:tc>
        <w:tc>
          <w:tcPr/>
          <w:p>
            <w:pPr>
              <w:pStyle w:val="Compact"/>
              <w:jc w:val="left"/>
            </w:pPr>
            <w:r>
              <w:t xml:space="preserve">Validating</w:t>
            </w:r>
          </w:p>
        </w:tc>
        <w:tc>
          <w:tcPr/>
          <w:p>
            <w:pPr>
              <w:pStyle w:val="Compact"/>
              <w:jc w:val="left"/>
            </w:pPr>
            <w:r>
              <w:t xml:space="preserve">V-05 — QC findings</w:t>
            </w:r>
          </w:p>
        </w:tc>
        <w:tc>
          <w:tcPr/>
          <w:p>
            <w:pPr>
              <w:pStyle w:val="Compact"/>
              <w:jc w:val="left"/>
            </w:pPr>
            <w:r>
              <w:t xml:space="preserve">Fail</w:t>
            </w:r>
          </w:p>
        </w:tc>
        <w:tc>
          <w:tcPr/>
          <w:p>
            <w:pPr>
              <w:pStyle w:val="Compact"/>
              <w:jc w:val="left"/>
            </w:pPr>
            <w:r>
              <w:t xml:space="preserve">QC findings not present in repository or artefacts made available to audit</w:t>
            </w:r>
          </w:p>
        </w:tc>
      </w:tr>
    </w:tbl>
    <w:p>
      <w:r>
        <w:pict>
          <v:rect style="width:0;height:1.5pt" o:hralign="center" o:hrstd="t" o:hr="t"/>
        </w:pict>
      </w:r>
    </w:p>
    <w:bookmarkEnd w:id="43"/>
    <w:bookmarkStart w:id="44" w:name="conclusion"/>
    <w:p>
      <w:pPr>
        <w:pStyle w:val="Heading2"/>
      </w:pPr>
      <w:r>
        <w:t xml:space="preserve">7. Conclusion</w:t>
      </w:r>
    </w:p>
    <w:p>
      <w:pPr>
        <w:pStyle w:val="FirstParagraph"/>
      </w:pPr>
      <w:r>
        <w:t xml:space="preserve">The Analysing and Specifying phases of the Nevon Solutions RE process for Project P2-1561W are complete and well-evidenced. All seven Analysing phase items and all four Specifying phase items were confirmed as passing based on documentary evidence in the repository. Key strengths include the thorough and systematic use of the IRC (NS-IRC-2026-001), clear traceability of models from original to revised versions, and the presence of all required standalone artefacts (IRC, iRTM, Change Request Form Template, IEEE SRS template).</w:t>
      </w:r>
    </w:p>
    <w:p>
      <w:pPr>
        <w:pStyle w:val="BodyText"/>
      </w:pPr>
      <w:r>
        <w:t xml:space="preserve">The Validating phase presents five areas that could not be confirmed. Three of these (NC-03, NC-04, NC-05) are definitive non-conformances: the QC team artefacts — plan, checklist, and findings — are absent from all artefacts reviewed. Two items (NC-01, NC-02) require further investigation to determine their status: the customer sign-off page and evidence of editorial checks require either direct document access or interview/focus group confirmation.</w:t>
      </w:r>
    </w:p>
    <w:p>
      <w:pPr>
        <w:pStyle w:val="BodyText"/>
      </w:pPr>
      <w:r>
        <w:t xml:space="preserve">This report is a factual record of the process state as observed by Paragon Assurance. No solutions or corrective actions are proposed.</w:t>
      </w:r>
    </w:p>
    <w:p>
      <w:r>
        <w:pict>
          <v:rect style="width:0;height:1.5pt" o:hralign="center" o:hrstd="t" o:hr="t"/>
        </w:pict>
      </w:r>
    </w:p>
    <w:bookmarkEnd w:id="44"/>
    <w:bookmarkStart w:id="45" w:name="annexes"/>
    <w:p>
      <w:pPr>
        <w:pStyle w:val="Heading2"/>
      </w:pPr>
      <w:r>
        <w:t xml:space="preserve">Annexes</w:t>
      </w:r>
    </w:p>
    <w:p>
      <w:pPr>
        <w:pStyle w:val="FirstParagraph"/>
      </w:pPr>
      <w:r>
        <w:rPr>
          <w:iCs/>
          <w:i/>
        </w:rPr>
        <w:t xml:space="preserve">Annexes contain physical copies of standalone external artefacts referenced as evidence in this report. To be populated as evidence is gathered, particularly for items requiring follow-up (NC-01, NC-02).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Annex</w:t>
            </w:r>
          </w:p>
        </w:tc>
        <w:tc>
          <w:tcPr/>
          <w:p>
            <w:pPr>
              <w:pStyle w:val="Compact"/>
              <w:jc w:val="left"/>
            </w:pPr>
            <w:r>
              <w:t xml:space="preserve">Description</w:t>
            </w:r>
          </w:p>
        </w:tc>
      </w:tr>
      <w:tr>
        <w:tc>
          <w:tcPr/>
          <w:p>
            <w:pPr>
              <w:pStyle w:val="Compact"/>
              <w:jc w:val="left"/>
            </w:pPr>
            <w:r>
              <w:t xml:space="preserve">Annex 1</w:t>
            </w:r>
          </w:p>
        </w:tc>
        <w:tc>
          <w:tcPr/>
          <w:p>
            <w:pPr>
              <w:pStyle w:val="Compact"/>
              <w:jc w:val="left"/>
            </w:pPr>
            <w:r>
              <w:t xml:space="preserve">IRC — Incongruous Requirements Checklist (NS-IRC-2026-001) — evidence for A-06, A-07</w:t>
            </w:r>
          </w:p>
        </w:tc>
      </w:tr>
      <w:tr>
        <w:tc>
          <w:tcPr/>
          <w:p>
            <w:pPr>
              <w:pStyle w:val="Compact"/>
              <w:jc w:val="left"/>
            </w:pPr>
            <w:r>
              <w:t xml:space="preserve">Annex 2</w:t>
            </w:r>
          </w:p>
        </w:tc>
        <w:tc>
          <w:tcPr/>
          <w:p>
            <w:pPr>
              <w:pStyle w:val="Compact"/>
              <w:jc w:val="left"/>
            </w:pPr>
            <w:r>
              <w:t xml:space="preserve">Analysing Report cover page and sign-off — evidence for A-01, A-02</w:t>
            </w:r>
          </w:p>
        </w:tc>
      </w:tr>
      <w:tr>
        <w:tc>
          <w:tcPr/>
          <w:p>
            <w:pPr>
              <w:pStyle w:val="Compact"/>
              <w:jc w:val="left"/>
            </w:pPr>
            <w:r>
              <w:t xml:space="preserve">Annex 3</w:t>
            </w:r>
          </w:p>
        </w:tc>
        <w:tc>
          <w:tcPr/>
          <w:p>
            <w:pPr>
              <w:pStyle w:val="Compact"/>
              <w:jc w:val="left"/>
            </w:pPr>
            <w:r>
              <w:t xml:space="preserve">SRS Section 1.2 (template reference) — evidence for S-01</w:t>
            </w:r>
          </w:p>
        </w:tc>
      </w:tr>
      <w:tr>
        <w:tc>
          <w:tcPr/>
          <w:p>
            <w:pPr>
              <w:pStyle w:val="Compact"/>
              <w:jc w:val="left"/>
            </w:pPr>
            <w:r>
              <w:t xml:space="preserve">Annex 4</w:t>
            </w:r>
          </w:p>
        </w:tc>
        <w:tc>
          <w:tcPr/>
          <w:p>
            <w:pPr>
              <w:pStyle w:val="Compact"/>
              <w:jc w:val="left"/>
            </w:pPr>
            <w:r>
              <w:t xml:space="preserve">SRS Section 1.1 and iRTM reference — evidence for S-02, S-03</w:t>
            </w:r>
          </w:p>
        </w:tc>
      </w:tr>
      <w:tr>
        <w:tc>
          <w:tcPr/>
          <w:p>
            <w:pPr>
              <w:pStyle w:val="Compact"/>
              <w:jc w:val="left"/>
            </w:pPr>
            <w:r>
              <w:t xml:space="preserve">Annex 5</w:t>
            </w:r>
          </w:p>
        </w:tc>
        <w:tc>
          <w:tcPr/>
          <w:p>
            <w:pPr>
              <w:pStyle w:val="Compact"/>
              <w:jc w:val="left"/>
            </w:pPr>
            <w:r>
              <w:t xml:space="preserve">SRS Table of Contents (Section 9 reference) — evidence for NC-01</w:t>
            </w:r>
          </w:p>
        </w:tc>
      </w:tr>
      <w:tr>
        <w:tc>
          <w:tcPr/>
          <w:p>
            <w:pPr>
              <w:pStyle w:val="Compact"/>
              <w:jc w:val="left"/>
            </w:pPr>
            <w:r>
              <w:t xml:space="preserve">Annex 6</w:t>
            </w:r>
          </w:p>
        </w:tc>
        <w:tc>
          <w:tcPr/>
          <w:p>
            <w:pPr>
              <w:pStyle w:val="Compact"/>
              <w:jc w:val="left"/>
            </w:pPr>
            <w:r>
              <w:rPr>
                <w:iCs/>
                <w:i/>
              </w:rPr>
              <w:t xml:space="preserve">(To be added)</w:t>
            </w:r>
            <w:r>
              <w:t xml:space="preserve"> </w:t>
            </w:r>
            <w:r>
              <w:t xml:space="preserve">Interview/focus group record — pending NC-01, NC-02 follow-up</w:t>
            </w:r>
          </w:p>
        </w:tc>
      </w:tr>
    </w:tbl>
    <w:bookmarkEnd w:id="45"/>
    <w:bookmarkStart w:id="46" w:name="appendices"/>
    <w:p>
      <w:pPr>
        <w:pStyle w:val="Heading2"/>
      </w:pPr>
      <w:r>
        <w:t xml:space="preserve">Appendices</w:t>
      </w:r>
    </w:p>
    <w:p>
      <w:pPr>
        <w:pStyle w:val="FirstParagraph"/>
      </w:pPr>
      <w:r>
        <w:rPr>
          <w:iCs/>
          <w:i/>
        </w:rPr>
        <w:t xml:space="preserve">Appendices contain detailed investigation notes where the search for evidence was extended or non-trivial.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Appendix</w:t>
            </w:r>
          </w:p>
        </w:tc>
        <w:tc>
          <w:tcPr/>
          <w:p>
            <w:pPr>
              <w:pStyle w:val="Compact"/>
              <w:jc w:val="left"/>
            </w:pPr>
            <w:r>
              <w:t xml:space="preserve">Description</w:t>
            </w:r>
          </w:p>
        </w:tc>
      </w:tr>
      <w:tr>
        <w:tc>
          <w:tcPr/>
          <w:p>
            <w:pPr>
              <w:pStyle w:val="Compact"/>
              <w:jc w:val="left"/>
            </w:pPr>
            <w:r>
              <w:t xml:space="preserve">Appendix A</w:t>
            </w:r>
          </w:p>
        </w:tc>
        <w:tc>
          <w:tcPr/>
          <w:p>
            <w:pPr>
              <w:pStyle w:val="Compact"/>
              <w:jc w:val="left"/>
            </w:pPr>
            <w:r>
              <w:t xml:space="preserve">Investigation notes — SRS customer sign-off (NC-01): SRS version history, Section 9 accessibility limitation, basis for Partial status</w:t>
            </w:r>
          </w:p>
        </w:tc>
      </w:tr>
      <w:tr>
        <w:tc>
          <w:tcPr/>
          <w:p>
            <w:pPr>
              <w:pStyle w:val="Compact"/>
              <w:jc w:val="left"/>
            </w:pPr>
            <w:r>
              <w:t xml:space="preserve">Appendix B</w:t>
            </w:r>
          </w:p>
        </w:tc>
        <w:tc>
          <w:tcPr/>
          <w:p>
            <w:pPr>
              <w:pStyle w:val="Compact"/>
              <w:jc w:val="left"/>
            </w:pPr>
            <w:r>
              <w:t xml:space="preserve">Investigation notes — QC artefacts (NC-03, NC-04, NC-05): repository search record, directories examined, null result</w:t>
            </w:r>
          </w:p>
        </w:tc>
      </w:tr>
    </w:tbl>
    <w:p>
      <w:r>
        <w:pict>
          <v:rect style="width:0;height:1.5pt" o:hralign="center" o:hrstd="t" o:hr="t"/>
        </w:pict>
      </w:r>
    </w:p>
    <w:p>
      <w:pPr>
        <w:pStyle w:val="FirstParagraph"/>
      </w:pPr>
      <w:r>
        <w:rPr>
          <w:iCs/>
          <w:i/>
        </w:rPr>
        <w:t xml:space="preserve">Report prepared by Paragon Assurance.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rPr>
                <w:iCs/>
                <w:i/>
              </w:rPr>
              <w:t xml:space="preserve">(Paragon Assurance Representative)</w:t>
            </w:r>
          </w:p>
        </w:tc>
        <w:tc>
          <w:tcPr/>
          <w:p>
            <w:pPr>
              <w:pStyle w:val="Compact"/>
              <w:jc w:val="left"/>
            </w:pPr>
            <w:r>
              <w:t xml:space="preserve">__________________</w:t>
            </w:r>
          </w:p>
        </w:tc>
        <w:tc>
          <w:tcPr/>
          <w:p>
            <w:pPr>
              <w:pStyle w:val="Compact"/>
              <w:jc w:val="left"/>
            </w:pPr>
            <w:r>
              <w:t xml:space="preserve">18 March 2026</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2026-03-18T09:37:45Z</dcterms:created>
  <dcterms:modified xsi:type="dcterms:W3CDTF">2026-03-18T09:37:45Z</dcterms:modified>
</cp:coreProperties>
</file>

<file path=docProps/custom.xml><?xml version="1.0" encoding="utf-8"?>
<Properties xmlns="http://schemas.openxmlformats.org/officeDocument/2006/custom-properties" xmlns:vt="http://schemas.openxmlformats.org/officeDocument/2006/docPropsVTypes"/>
</file>