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61.8181818181818" w:lineRule="auto"/>
        <w:jc w:val="both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-82386</wp:posOffset>
            </wp:positionH>
            <wp:positionV relativeFrom="margin">
              <wp:posOffset>-400049</wp:posOffset>
            </wp:positionV>
            <wp:extent cx="6810375" cy="1409651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1409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after="240" w:before="120" w:lineRule="auto"/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Inceptive Requirements Traceability Matrix (iRTM)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Biometric Student Attendance System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3 March 2026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0.8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Document ID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NS-SRS-2026-001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Prepared by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Nevon Solutions Business Analysis Department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5685"/>
        <w:tblGridChange w:id="0">
          <w:tblGrid>
            <w:gridCol w:w="3735"/>
            <w:gridCol w:w="5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Role / 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Loh Wen Xuan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Lead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Ang Ke 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Requirements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Chu Wee How Brandon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Technical &amp; Compliance Analyst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Haimirul Hakim Bin Hamidi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Solutions Architect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Lim Zong Wei Glenn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Quality Assurance Analyst</w:t>
            </w:r>
          </w:p>
        </w:tc>
      </w:tr>
    </w:tbl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720" w:top="720" w:left="720" w:right="720" w:header="720" w:footer="720"/>
          <w:pgNumType w:start="1"/>
        </w:sectPr>
      </w:pPr>
      <w:bookmarkStart w:colFirst="0" w:colLast="0" w:name="_t7cb73h9ssv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 type:  Inceptive Requirements Traceability Matrix (iRTM)</w:t>
        <w:br w:type="textWrapping"/>
        <w:t xml:space="preserve">Project ID:  NS-PROJ-2026-001</w:t>
        <w:br w:type="textWrapping"/>
        <w:t xml:space="preserve">Project Name:  Biometric Student Attendance System - Nevon Solutions (NS)</w:t>
        <w:br w:type="textWrapping"/>
        <w:t xml:space="preserve">Document date:  3 March 2026</w:t>
        <w:br w:type="textWrapping"/>
        <w:t xml:space="preserve">Assumption(s):  Platform-level constraints (BOR-0-xx, TR-0-xx) are precursors applicable to the entire system. All requirements from PS (BS-PS-2026-001) have undergone regulated-revision via the Analysing method before inclusion in this SRS.</w:t>
        <w:br w:type="textWrapping"/>
        <w:t xml:space="preserve">Constraint(s):  All biometric data handling must comply with PDPA 2012.</w:t>
        <w:br w:type="textWrapping"/>
        <w:t xml:space="preserve">Regulation(s):  Singapore Personal Data Protection Act (PDPA) 2012, as amended.</w:t>
      </w:r>
    </w:p>
    <w:tbl>
      <w:tblPr>
        <w:tblStyle w:val="Table2"/>
        <w:tblW w:w="1653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15"/>
        <w:gridCol w:w="1440"/>
        <w:gridCol w:w="2325"/>
        <w:gridCol w:w="1155"/>
        <w:gridCol w:w="1155"/>
        <w:gridCol w:w="1500"/>
        <w:gridCol w:w="1380"/>
        <w:gridCol w:w="2925"/>
        <w:gridCol w:w="960"/>
        <w:gridCol w:w="915"/>
        <w:gridCol w:w="1320"/>
        <w:tblGridChange w:id="0">
          <w:tblGrid>
            <w:gridCol w:w="540"/>
            <w:gridCol w:w="915"/>
            <w:gridCol w:w="1440"/>
            <w:gridCol w:w="2325"/>
            <w:gridCol w:w="1155"/>
            <w:gridCol w:w="1155"/>
            <w:gridCol w:w="1500"/>
            <w:gridCol w:w="1380"/>
            <w:gridCol w:w="2925"/>
            <w:gridCol w:w="960"/>
            <w:gridCol w:w="915"/>
            <w:gridCol w:w="13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Ser</w:t>
            </w:r>
          </w:p>
        </w:tc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Project Specification</w:t>
            </w:r>
          </w:p>
        </w:tc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Software Requirement Specification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2005013" cy="3629025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2005013" cy="3629025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005013" cy="3629025"/>
                      <wp:effectExtent b="0" l="0" r="0" t="0"/>
                      <wp:docPr id="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05013" cy="3629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Stakeholder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Precedence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Owner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Ranking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BOR-0-01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shall enforce role-based access control for all user classes across all campuses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PM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FR-RBAC-01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RBAC for three user classes enforced at application and API layers.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FR-RBAC-02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creates user accounts with unique ID, role, and linked entity.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FR-RBAC-03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updates role assignment, resets credentials, unlocks accounts. Changes logged.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FR-RBAC-04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deactivates accounts. Denied login immediately, kept for audit.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BOR-0-02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Each user class shall access only functions and data required for their role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PM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FR-RBAC-01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Role-scoped access consistent across all five campuses. Enforced at application and API layers.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173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BOR-0-03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Only biometric scan results are valid attendance records; manual override after 3 failed scans; scanner failure handling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Ops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External Interface Requirements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FR-HW-01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system receives scan data from fingerprint devices at five campuses, each identified by unique device_id.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FR-HW-04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After 3 consecutive failed scans, supervised manual override initiated with flagged record for admin review.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FR-HW-05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Scanner failure does not auto-mark absent. Failure logged with device_id and timestamp.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2038350" cy="6338888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2038350" cy="6338888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038350" cy="6338888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8350" cy="63388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Only biometric scan results are valid. Manual recording not permitted except via supervised override.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notified of scanner device failure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4736328125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BOR-1-MOB-01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and teachers must authenticate before accessing attendance features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PM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FR-AUTH-01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Credentials validated before enabling access to attendance functionality.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4736328125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FR-AUTH-02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Session token generated on success, terminated after configurable inactivity.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BOR-1-MOB-02a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BOR-1-MOB-02b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BOR-1-MOB-02c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view own child attendance; teachers view assigned classes; mobile sync every 5 min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PM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Communications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FR-ATT-01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view attendance for registered child only, enforced at application and API layers.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FR-ATT-02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Teachers view attendance for assigned classes only, enforced at application and API layers.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FR-ATT-03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AttendanceRecord created per scan storing student ID, session ID, campus, timestamp, capture method.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FR-ATT-04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deletion of AttendanceRecord entries. Deletion attempts rejected and recorded.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FR-COM-01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Mobile sync every 5 min when connected. Max data staleness 30 min.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BOR-1-MOB-03a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BOR-1-MOB-03b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submit leave requests with MCS medical certificate validation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PM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FR-LEAVE-01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Authenticated parents submit leave requests for registered child.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FR-LEAVE-02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MC submitted to MCS for validation before recording. Leave not recorded if MCS fails.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FR-LEAVE-03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submissions logged with timestamp, user ID, student ID, leave reason, MCS outcome.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FR-LEAVE-04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view status of all leave requests including MCS outcome and admin decision.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1966913" cy="6191250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1966913" cy="6191250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66913" cy="6191250"/>
                      <wp:effectExtent b="0" l="0" r="0" t="0"/>
                      <wp:docPr id="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66913" cy="6191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BOR-1-MOB-04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shall send push notifications for absence events and leave status updates within 15 minutes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PM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notified via push within 15 min of missed attendance session.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notified via push of leave request status changes (approved/rejected).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Notification record created per dispatch with recipient, type, content, timestamp, channel, status.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Parents view notification history ordered by most recent.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Delivery status updated when confirmed by Firebase, APNS, SMS gateway, or fallback activated.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Notification records retained at least 12 months before archive or purge.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Teachers notified via push of attendance events for assigned classes.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NFR-PERF-04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Push notifications within 15 minutes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.9375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BOR-1-WEB-01a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BOR-1-WEB-01b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Administrator web portal for attendance oversight and compliance monitoring across five campuses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Admin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FR-OVS-01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Web portal displays attendance for all students across five campuses, filterable by campus, class, student, date.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FR-OVS-02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configures compliance threshold percentage. Changes immediate, logged with admin ID and timestamp.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FR-OVS-03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flags students whose attendance falls below configured threshold.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FR-OVS-04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delivers compliance warning letter to parent email of flagged students.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FR-OVS-05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WarningLetter record generated per letter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FR-OVS-06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Attendance reports saved 12 months. No deletion. System archives on regular basis.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1938338" cy="6096000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1938338" cy="6096000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8338" cy="6096000"/>
                      <wp:effectExtent b="0" l="0" r="0" t="0"/>
                      <wp:docPr id="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8338" cy="609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BOR-1-WEB-02a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BOR-1-WEB-02b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Administrators review, approve/reject leave requests with MCS validation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Admin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FR-LVR-01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retrieves and views all pending leave requests with MCS validation outcome.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FR-LVR-02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Approval blocked if MC not validated by MCS.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FR-LVR-03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Attendance record updated with approved leave status upon admin approval.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FR-LVR-04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LeaveRequest status updated to Approved/Rejected with admin ID, timestamp, comments.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FR-LVR-05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deletion of LeaveRequest records. All kept for audit.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FR-NOTIF-07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notified of new pending leave request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Biz Ops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BOR-1-ATT-01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Attendance capture only during scheduled sessions; scanner failure shall not mark students absent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Ops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Business Rules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Only biometric scan results are valid attendance records. Manual override per FR-HW-04 only.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Attendance capture only during scheduled academic sessions. Scans outside session windows rejected.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NFR-SAF-02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Scanner failure shall not auto-mark absent. Prevents incorrect attendance penalties.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97070312500006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TR-0-01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shall support Android (min 10) and iOS (min 14) mobile apps with push notification via Firebase and APNS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Interfaces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Quality 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FR-SW-03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Push notifications via FCM for Android and APNS for iOS, covering attendance and leave alerts.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9707031250000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FR-COM-02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Push via Firebase and APNS. SMS fallback if undelivered after 30 min.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9707031250000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QA-PORT-01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Native Android 10+ and iOS 14+ apps. Backend deployable on Azure without platform-specific changes.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4560546875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TR-0-02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shall be hosted on Microsoft Azure Singapore region with HTTPS and TLS 1.2+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Quality Attributes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NFR-PERF-05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Support 1,500 concurrent sessions. Graceful degradation to 2,000 at max 4s response. Auto-scale at 70% CPU.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4560546875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QA-PORT-01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Backend deployable on Microsoft Azure without platform-specific code changes.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1947863" cy="6000750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1947863" cy="6000750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47863" cy="6000750"/>
                      <wp:effectExtent b="0" l="0" r="0" t="0"/>
                      <wp:docPr id="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47863" cy="6000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TR-1-BE-01b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shall meet performance thresholds for API response, scan processing, and report generation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NFR-PERF-01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Web portal pages load within 3s under normal conditions.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NFR-PERF-02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95% of API responses within 500ms under normal load.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NFR-PERF-03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Reports within 10s for single class, 60s for institution-wide.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NFR-PERF-05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1,500 concurrent user sessions without compromising response time or scan throughput.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TR-1-BE-02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MCS integration via HTTPS REST API with OAuth 2.0; 5s timeout, 3 retries with exponential backoff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Interfaces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FR-SW-01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MC validated via MCS REST API using HTTPS and OAuth 2.0 before recording leave.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FR-SW-02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5s timeout, 3 retries with exponential backoff. Failures logged. Admin notified on exhaustion.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FR-COM-03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MCS API communication per interface contract in FR-SW-01 and FR-SW-02.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MCS API via HTTPS and OAuth 2.0. No alternative auth mechanism permitted.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TR-1-BE-03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data encrypted AES-256 at rest and TLS 1.2+ in transit; immutable audit logs; PDPA compliance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Biometric data encrypted AES-256 at rest, TLS 1.2+ in transit. No plaintext at any point.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PII processed and stored in accordance with PDPA retention policy.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logs retained 12 months. Protected from modification or deletion.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82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NFR-SAF-01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Prohibit overwriting/deleting attendance records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82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NFR-SAF-03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biometric data encrypted AES-256 at rest and TLS 1.2+ in transit.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NFR-SAF-04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logs immutable once written. No user may modify or delete entries.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2043113" cy="6000750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2043113" cy="6000750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043113" cy="6000750"/>
                      <wp:effectExtent b="0" l="0" r="0" t="0"/>
                      <wp:docPr id="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3113" cy="6000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Biometric data for attendance only. Not shared with third parties without legal permission.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logs are official record. No user role may modify or delete entries.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NFR-LEGAL-01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PDPA compliance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.96484375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TR-1-BE-04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Biometric scan processing within 2 seconds; 50 students per device per 10 minutes throughput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External Interface Requirements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Quality Attributes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FR-HW-02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Scan processing ≤2s per attempt. 50 students/device/10 min during peak.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.96484375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FR-HW-03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200 concurrent scans across all campus devices without exceeding 2s or degrading API response.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.96484375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QA-EFFIC-01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Scans in 2s, API in 500ms for 95% of calls. No redundant DB queries per transaction.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TR-1-BE-05a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TR-1-BE-05b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TR-1-BE-05c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Microsoft SQL Server on Azure SQL Database; AES-256 biometric encryption; daily backup with monthly restoration verification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Interfaces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Other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FR-SW-05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Azure SQL Database with AES-256 for biometric data. Daily backups. Monthly restoration verification.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NFR-DB-01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Microsoft SQL Server on Azure SQL Database. Daily automated backups, monthly restoration verification.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NFR-DB-02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Referential integrity enforced. Duplicates detected and rejected at application and database layers.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NFR-DB-03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biometric templates encrypted AES-256. No plaintext biometric data written to the database.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4560546875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TR-1-CL-01a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TR-1-CL-01b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Mobile apps distributed via Google Play Store and Apple App Store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Quality Attributes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QA-PORT-01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Native Android 10+ and iOS 14+ apps. Backend on Azure without platform-specific changes.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4560546875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Apps code-signed with BioSec institutional certificates before store distribution.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TR-1-CL-01c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Mobile apps shall sync attendance data every 5 minutes with max 30 min staleness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Communications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FR-COM-01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Sync every 5 min when connected. Max data staleness 30 min.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TR-1-CL-01d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Mobile apps must be code-signed with BioSec institutional certificates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Code-signed with BioSec institutional certificates before Google Play and App Store distribution.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2071688" cy="5867400"/>
                      <wp:effectExtent b="0" l="0" r="0" t="0"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2071688" cy="5867400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071688" cy="5867400"/>
                      <wp:effectExtent b="0" l="0" r="0" t="0"/>
                      <wp:docPr id="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1688" cy="586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TR-1-CL-01e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Support for new OS versions within 30 days of public release during warranty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Desirable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Other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NFR-MAINT-01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New OS version support within 30 days during warranty. All updates backward compatible.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Medium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TR-1-CL-01f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Offline viewing and leave drafting for up to 48 hours; 50MB local storage limit; AES-256 local encryption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NFR-SEC-09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Local cache encrypted AES-256. Auto-purge after 48 hours. 50MB local storage limit.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Web portal access restricted to campus networks or secure VPN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 portal restricted to campus networks or VPN. No direct internet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TR-1-CPR-01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Two-factor authentication for administrators; session management; account lockout policy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 Requirements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2FA enforced for all admin accounts accessing the web portal.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Account locked after configurable failed login attempts. Configurable lockout duration. Events logged.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NFR-SEC-06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logs retained 12 months. Protected from modification or deletion.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TR-1-CPR-03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Referential integrity; duplicate student ID detection at application and database layers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Other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NFR-DB-02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Referential integrity enforced. Duplicates rejected at application and database layers.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NFR-MIG-01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Legacy data migration from Excel/CSV. All current year data migrated and validated before go-live.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NFR-MIG-02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Duplicate student IDs flagged during migration. Duplicates not imported, reported to BioSec.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4560546875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TR-1-CPR-04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Three-tier severity maintenance model during 12-month warranty period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 Quality Attributes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Other Requirements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QA-MAINT-01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Critical: 4h response/24h resolution. High: 8h/48h. Medium: 24h/5-day. 12-month warranty.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.953125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NFR-MAINT-01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New OS version support within 30 days during warranty. Backward compatible updates.</w:t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4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Tech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TR-1-DOC-01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TR-1-DOC-02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TR-1-DOC-03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TR-1-DOC-04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Delivery of user manuals, API docs, database docs, source code docs, and architecture diagrams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BioSec IT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Essential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Other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NFR-DOC-01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Admin/Teacher/Parent manuals in PDF with screenshots and campus-specific procedures.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1957388" cy="2695575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63375" y="615675"/>
                                <a:ext cx="1957388" cy="2695575"/>
                                <a:chOff x="4763375" y="615675"/>
                                <a:chExt cx="4073100" cy="62339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763375" y="620450"/>
                                  <a:ext cx="320400" cy="6224400"/>
                                </a:xfrm>
                                <a:prstGeom prst="rightBrace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5083775" y="3424850"/>
                                  <a:ext cx="3752700" cy="61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Go to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Design Stage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57388" cy="2695575"/>
                      <wp:effectExtent b="0" l="0" r="0" t="0"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7388" cy="269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NFR-DOC-02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API docs in Swagger/OpenAPI. DB schema with ERD and stored procedures.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NFR-DOC-03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 architecture diagrams and deployment docs for expansion and disaster recovery.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NFR-LEGAL-02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source code, schemas, API docs, manuals, and architecture artifacts owned by BioSec.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Table D.1 – Inceptive Requirements Traceability Matrix (PS to SRS)</w:t>
      </w:r>
    </w:p>
    <w:p w:rsidR="00000000" w:rsidDel="00000000" w:rsidP="00000000" w:rsidRDefault="00000000" w:rsidRPr="00000000" w14:paraId="000004AA">
      <w:pPr>
        <w:keepNext w:val="1"/>
        <w:keepLines w:val="1"/>
        <w:spacing w:after="240" w:before="120" w:lineRule="auto"/>
        <w:jc w:val="left"/>
        <w:rPr>
          <w:rFonts w:ascii="Arial" w:cs="Arial" w:eastAsia="Arial" w:hAnsi="Arial"/>
          <w:b w:val="1"/>
          <w:bCs w:val="1"/>
          <w:sz w:val="36"/>
          <w:szCs w:val="36"/>
        </w:rPr>
        <w:sectPr>
          <w:headerReference r:id="rId12" w:type="default"/>
          <w:footerReference r:id="rId13" w:type="default"/>
          <w:type w:val="nextPage"/>
          <w:pgSz w:h="11906" w:w="16838" w:orient="landscape"/>
          <w:pgMar w:bottom="720" w:top="720" w:left="720" w:right="720" w:header="0" w:footer="28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spacing w:before="120" w:lineRule="auto"/>
        <w:jc w:val="center"/>
        <w:rPr>
          <w:sz w:val="36"/>
          <w:szCs w:val="36"/>
        </w:rPr>
      </w:pPr>
      <w:bookmarkStart w:colFirst="0" w:colLast="0" w:name="_bt1qislk1rp2" w:id="1"/>
      <w:bookmarkEnd w:id="1"/>
      <w:r w:rsidDel="00000000" w:rsidR="00000000" w:rsidRPr="00000000">
        <w:rPr>
          <w:sz w:val="36"/>
          <w:szCs w:val="36"/>
          <w:rtl w:val="0"/>
        </w:rPr>
        <w:t xml:space="preserve">Appendix E</w:t>
      </w:r>
    </w:p>
    <w:p w:rsidR="00000000" w:rsidDel="00000000" w:rsidP="00000000" w:rsidRDefault="00000000" w:rsidRPr="00000000" w14:paraId="000004AC">
      <w:pPr>
        <w:keepNext w:val="1"/>
        <w:keepLines w:val="1"/>
        <w:spacing w:after="240" w:before="12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Change Request Form</w:t>
      </w:r>
    </w:p>
    <w:p w:rsidR="00000000" w:rsidDel="00000000" w:rsidP="00000000" w:rsidRDefault="00000000" w:rsidRPr="00000000" w14:paraId="000004AD">
      <w:pPr>
        <w:keepNext w:val="1"/>
        <w:keepLines w:val="1"/>
        <w:spacing w:after="240" w:before="12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appendix provides the standard Change Request Form template to be used for all change requests governed by the High-Risk Change Control Process defined in Section 8.3.</w:t>
      </w:r>
    </w:p>
    <w:p w:rsidR="00000000" w:rsidDel="00000000" w:rsidP="00000000" w:rsidRDefault="00000000" w:rsidRPr="00000000" w14:paraId="000004AE">
      <w:pPr>
        <w:keepNext w:val="1"/>
        <w:keepLines w:val="1"/>
        <w:spacing w:after="240" w:before="12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5728067" cy="8148638"/>
            <wp:effectExtent b="12700" l="12700" r="12700" t="127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067" cy="81486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1"/>
        <w:keepLines w:val="1"/>
        <w:spacing w:after="240" w:before="12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5802150" cy="8306538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2150" cy="83065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br w:type="textWrapping"/>
      </w:r>
    </w:p>
    <w:sectPr>
      <w:footerReference r:id="rId16" w:type="default"/>
      <w:type w:val="nextPage"/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jc w:val="center"/>
      <w:rPr/>
    </w:pPr>
    <w:r w:rsidDel="00000000" w:rsidR="00000000" w:rsidRPr="00000000">
      <w:rPr>
        <w:rtl w:val="0"/>
      </w:rPr>
      <w:t xml:space="preserve">Appx D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5">
    <w:pPr>
      <w:ind w:left="3600" w:firstLine="0"/>
      <w:jc w:val="both"/>
      <w:rPr/>
    </w:pPr>
    <w:r w:rsidDel="00000000" w:rsidR="00000000" w:rsidRPr="00000000">
      <w:rPr>
        <w:rtl w:val="0"/>
      </w:rPr>
      <w:tab/>
      <w:t xml:space="preserve">Figure 1 — 1</w:t>
    </w:r>
  </w:p>
  <w:p w:rsidR="00000000" w:rsidDel="00000000" w:rsidP="00000000" w:rsidRDefault="00000000" w:rsidRPr="00000000" w14:paraId="000004B6">
    <w:pPr>
      <w:ind w:left="360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7">
    <w:pPr>
      <w:jc w:val="center"/>
      <w:rPr/>
    </w:pPr>
    <w:r w:rsidDel="00000000" w:rsidR="00000000" w:rsidRPr="00000000">
      <w:rPr>
        <w:rtl w:val="0"/>
      </w:rPr>
      <w:t xml:space="preserve">Appx E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3">
    <w:pPr>
      <w:rPr/>
    </w:pPr>
    <w:r w:rsidDel="00000000" w:rsidR="00000000" w:rsidRPr="00000000">
      <w:rPr/>
      <w:pict>
        <v:shape id="WordPictureWatermark1" style="position:absolute;width:680.2582677165356pt;height:880.470644237652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4">
    <w:pPr>
      <w:rPr/>
    </w:pPr>
    <w:r w:rsidDel="00000000" w:rsidR="00000000" w:rsidRPr="00000000">
      <w:rPr/>
      <w:pict>
        <v:shape id="WordPictureWatermark2" style="position:absolute;width:680.2582677165356pt;height:880.470644237652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right="30"/>
      <w:jc w:val="both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spacing w:after="240" w:before="240" w:lineRule="auto"/>
      <w:ind w:firstLine="634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footer" Target="footer3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