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A7935" w14:textId="2173EF81" w:rsidR="00BC452B" w:rsidRDefault="00920D47" w:rsidP="00235224">
      <w:pPr>
        <w:pStyle w:val="Heading1"/>
      </w:pPr>
      <w:r>
        <w:t>Data Spec</w:t>
      </w:r>
      <w:r w:rsidR="003F3680">
        <w:t xml:space="preserve">ification for </w:t>
      </w:r>
      <w:proofErr w:type="spellStart"/>
      <w:r w:rsidR="0010602E">
        <w:t>OneInThineHand</w:t>
      </w:r>
      <w:proofErr w:type="spellEnd"/>
      <w:r w:rsidR="0010602E">
        <w:t xml:space="preserve"> </w:t>
      </w:r>
      <w:r w:rsidR="003F3680">
        <w:t>Notes</w:t>
      </w:r>
    </w:p>
    <w:p w14:paraId="001DE8AF" w14:textId="53AF9F6B" w:rsidR="00581165" w:rsidRDefault="00235224">
      <w:r>
        <w:t>27 May 2019</w:t>
      </w:r>
    </w:p>
    <w:p w14:paraId="1383B320" w14:textId="74E4D0A3" w:rsidR="00235224" w:rsidRDefault="00235224"/>
    <w:p w14:paraId="4A3D7E24" w14:textId="3AC6E30F" w:rsidR="005A57B3" w:rsidRDefault="005A57B3">
      <w:r>
        <w:t xml:space="preserve">1. Overlay files are kept in a folder called "notes", which is a sibling to a "scriptures" folder containing raw </w:t>
      </w:r>
      <w:proofErr w:type="spellStart"/>
      <w:r>
        <w:t>ldsSource</w:t>
      </w:r>
      <w:proofErr w:type="spellEnd"/>
      <w:r>
        <w:t xml:space="preserve"> files.</w:t>
      </w:r>
    </w:p>
    <w:p w14:paraId="06CA9FBE" w14:textId="77777777" w:rsidR="005A57B3" w:rsidRDefault="005A57B3"/>
    <w:p w14:paraId="75A7B7C2" w14:textId="180A45E0" w:rsidR="005A57B3" w:rsidRDefault="005A57B3">
      <w:r>
        <w:t>2</w:t>
      </w:r>
      <w:r w:rsidR="00617D79">
        <w:t xml:space="preserve">. Notes </w:t>
      </w:r>
      <w:r>
        <w:t xml:space="preserve">for a given overlay </w:t>
      </w:r>
      <w:r w:rsidR="00617D79">
        <w:t xml:space="preserve">are kept in </w:t>
      </w:r>
      <w:r>
        <w:t>html files</w:t>
      </w:r>
      <w:r w:rsidR="00617D79">
        <w:t xml:space="preserve">. </w:t>
      </w:r>
      <w:r>
        <w:t xml:space="preserve">These may include the notes for an arbitrary subset of scripture books and chapters, </w:t>
      </w:r>
      <w:r w:rsidR="002339A8" w:rsidRPr="002339A8">
        <w:t>or all the notes for that overlay</w:t>
      </w:r>
      <w:r w:rsidRPr="002339A8">
        <w:t>.</w:t>
      </w:r>
      <w:r>
        <w:t xml:space="preserve"> The filename is arbitrary.</w:t>
      </w:r>
    </w:p>
    <w:p w14:paraId="3951E8FF" w14:textId="5B92BF73" w:rsidR="005A57B3" w:rsidRDefault="005A57B3"/>
    <w:p w14:paraId="27C7844F" w14:textId="7405FAA1" w:rsidR="005A57B3" w:rsidRDefault="005A57B3">
      <w:r>
        <w:t>3. The &lt;head&gt; element of each &lt;html&gt; file contains UTF-8, CSS and script information.</w:t>
      </w:r>
    </w:p>
    <w:p w14:paraId="7DA1E0D1" w14:textId="463ABDF7" w:rsidR="005A57B3" w:rsidRDefault="005A57B3"/>
    <w:p w14:paraId="5696994D" w14:textId="452A8F36" w:rsidR="005A57B3" w:rsidRDefault="005A57B3">
      <w:r>
        <w:t xml:space="preserve">4. The &lt;body&gt; contains a table of contents with links to the </w:t>
      </w:r>
      <w:proofErr w:type="spellStart"/>
      <w:r>
        <w:t>ldsSource</w:t>
      </w:r>
      <w:proofErr w:type="spellEnd"/>
      <w:r>
        <w:t xml:space="preserve"> files for which notes are included.</w:t>
      </w:r>
    </w:p>
    <w:p w14:paraId="0CC4D686" w14:textId="7666863A" w:rsidR="007C15E2" w:rsidRDefault="007C15E2"/>
    <w:p w14:paraId="56385E13" w14:textId="19D29F7D" w:rsidR="007C15E2" w:rsidRDefault="007C15E2">
      <w:r>
        <w:t xml:space="preserve">5. </w:t>
      </w:r>
      <w:r w:rsidR="0051212F">
        <w:t>A</w:t>
      </w:r>
      <w:r>
        <w:t>n empty &lt;footer&gt; element</w:t>
      </w:r>
      <w:r w:rsidR="0051212F">
        <w:t xml:space="preserve"> comes next</w:t>
      </w:r>
      <w:r>
        <w:t>.</w:t>
      </w:r>
      <w:r w:rsidR="0057564C">
        <w:t xml:space="preserve"> This area is used by the </w:t>
      </w:r>
      <w:proofErr w:type="spellStart"/>
      <w:r w:rsidR="0057564C">
        <w:t>OneInThineHand</w:t>
      </w:r>
      <w:proofErr w:type="spellEnd"/>
      <w:r w:rsidR="0057564C">
        <w:t xml:space="preserve"> editor</w:t>
      </w:r>
      <w:r w:rsidR="00BD4CD1">
        <w:t>.</w:t>
      </w:r>
    </w:p>
    <w:p w14:paraId="2591CDD6" w14:textId="65926002" w:rsidR="005A57B3" w:rsidRDefault="005A57B3"/>
    <w:p w14:paraId="599623DF" w14:textId="23197B10" w:rsidR="00CA667B" w:rsidRDefault="007C15E2">
      <w:r>
        <w:t>6. Following the &lt;footer&gt; element</w:t>
      </w:r>
      <w:r w:rsidR="0057564C">
        <w:t xml:space="preserve"> come </w:t>
      </w:r>
      <w:r w:rsidR="00BD4CD1">
        <w:t xml:space="preserve">chapter </w:t>
      </w:r>
      <w:r w:rsidR="00D560F7">
        <w:t>&lt;</w:t>
      </w:r>
      <w:r w:rsidR="0057564C">
        <w:t>div</w:t>
      </w:r>
      <w:r w:rsidR="00D560F7">
        <w:t>&gt; elements</w:t>
      </w:r>
      <w:r w:rsidR="0057564C">
        <w:t>.</w:t>
      </w:r>
      <w:r w:rsidR="00EB7CB1">
        <w:t xml:space="preserve"> These include </w:t>
      </w:r>
      <w:r w:rsidR="009C495F">
        <w:t>@data-aid, @data-aid-version, @data-</w:t>
      </w:r>
      <w:proofErr w:type="spellStart"/>
      <w:r w:rsidR="009C495F">
        <w:t>uri</w:t>
      </w:r>
      <w:proofErr w:type="spellEnd"/>
      <w:r w:rsidR="009C495F">
        <w:t>, and @</w:t>
      </w:r>
      <w:proofErr w:type="spellStart"/>
      <w:r w:rsidR="009C495F">
        <w:t>lang</w:t>
      </w:r>
      <w:proofErr w:type="spellEnd"/>
      <w:r w:rsidR="009C495F">
        <w:t xml:space="preserve"> attributes matching those in the </w:t>
      </w:r>
      <w:r w:rsidR="00090B11">
        <w:t xml:space="preserve">corresponding </w:t>
      </w:r>
      <w:proofErr w:type="spellStart"/>
      <w:r w:rsidR="00E84753">
        <w:t>ldsSource</w:t>
      </w:r>
      <w:proofErr w:type="spellEnd"/>
      <w:r w:rsidR="00E84753">
        <w:t xml:space="preserve"> </w:t>
      </w:r>
      <w:r w:rsidR="00090B11">
        <w:t>chapter</w:t>
      </w:r>
      <w:r w:rsidR="00E84753">
        <w:t>.</w:t>
      </w:r>
    </w:p>
    <w:p w14:paraId="25314758" w14:textId="6E8AB749" w:rsidR="00CA667B" w:rsidRDefault="00CA667B"/>
    <w:p w14:paraId="2A0FCE34" w14:textId="3874418D" w:rsidR="00090B11" w:rsidRPr="00090B11" w:rsidRDefault="00090B11" w:rsidP="00090B11">
      <w:pPr>
        <w:ind w:left="720"/>
        <w:rPr>
          <w:highlight w:val="white"/>
        </w:rPr>
      </w:pPr>
      <w:r w:rsidRPr="00090B11">
        <w:rPr>
          <w:highlight w:val="white"/>
        </w:rPr>
        <w:t>&lt;</w:t>
      </w:r>
      <w:r w:rsidR="00EB7CB1">
        <w:rPr>
          <w:highlight w:val="white"/>
        </w:rPr>
        <w:t>div class="cha</w:t>
      </w:r>
      <w:r w:rsidR="005627F6">
        <w:rPr>
          <w:highlight w:val="white"/>
        </w:rPr>
        <w:t>p</w:t>
      </w:r>
      <w:r w:rsidR="00EB7CB1">
        <w:rPr>
          <w:highlight w:val="white"/>
        </w:rPr>
        <w:t>ter"</w:t>
      </w:r>
      <w:r w:rsidRPr="00090B11">
        <w:rPr>
          <w:highlight w:val="white"/>
        </w:rPr>
        <w:t xml:space="preserve"> data-aid="128421300" data-aid-version="3" data-</w:t>
      </w:r>
      <w:proofErr w:type="spellStart"/>
      <w:r w:rsidRPr="00090B11">
        <w:rPr>
          <w:highlight w:val="white"/>
        </w:rPr>
        <w:t>uri</w:t>
      </w:r>
      <w:proofErr w:type="spellEnd"/>
      <w:r w:rsidRPr="00090B11">
        <w:rPr>
          <w:highlight w:val="white"/>
        </w:rPr>
        <w:t>="/scriptures/</w:t>
      </w:r>
      <w:proofErr w:type="spellStart"/>
      <w:r w:rsidRPr="00090B11">
        <w:rPr>
          <w:highlight w:val="white"/>
        </w:rPr>
        <w:t>ot</w:t>
      </w:r>
      <w:proofErr w:type="spellEnd"/>
      <w:r w:rsidRPr="00090B11">
        <w:rPr>
          <w:highlight w:val="white"/>
        </w:rPr>
        <w:t xml:space="preserve">/gen/1" </w:t>
      </w:r>
      <w:proofErr w:type="spellStart"/>
      <w:r w:rsidRPr="00090B11">
        <w:rPr>
          <w:highlight w:val="white"/>
        </w:rPr>
        <w:t>lang</w:t>
      </w:r>
      <w:proofErr w:type="spellEnd"/>
      <w:r w:rsidRPr="00090B11">
        <w:rPr>
          <w:highlight w:val="white"/>
        </w:rPr>
        <w:t>="</w:t>
      </w:r>
      <w:proofErr w:type="spellStart"/>
      <w:r w:rsidRPr="00090B11">
        <w:rPr>
          <w:highlight w:val="white"/>
        </w:rPr>
        <w:t>eng</w:t>
      </w:r>
      <w:proofErr w:type="spellEnd"/>
      <w:r w:rsidRPr="00090B11">
        <w:rPr>
          <w:highlight w:val="white"/>
        </w:rPr>
        <w:t>"&gt;</w:t>
      </w:r>
    </w:p>
    <w:p w14:paraId="5AA64DD3" w14:textId="12E989A7" w:rsidR="00CA667B" w:rsidRDefault="00CA667B"/>
    <w:p w14:paraId="2452849E" w14:textId="3B11A6D0" w:rsidR="00B75BB9" w:rsidRDefault="00B75BB9">
      <w:r>
        <w:t xml:space="preserve">Note that chapters included do not need to come from a single </w:t>
      </w:r>
      <w:proofErr w:type="spellStart"/>
      <w:r>
        <w:t>ldsSource</w:t>
      </w:r>
      <w:proofErr w:type="spellEnd"/>
      <w:r>
        <w:t xml:space="preserve"> book.</w:t>
      </w:r>
    </w:p>
    <w:p w14:paraId="4A27E3F1" w14:textId="77777777" w:rsidR="00B75BB9" w:rsidRDefault="00B75BB9"/>
    <w:p w14:paraId="740BE628" w14:textId="012EE7E0" w:rsidR="00955154" w:rsidRPr="00D566A1" w:rsidRDefault="0058755D" w:rsidP="00D566A1">
      <w:r>
        <w:t>7</w:t>
      </w:r>
      <w:r w:rsidR="00994C55" w:rsidRPr="00D566A1">
        <w:t xml:space="preserve">. </w:t>
      </w:r>
      <w:r w:rsidR="00955154" w:rsidRPr="00D566A1">
        <w:t xml:space="preserve">The first child of the </w:t>
      </w:r>
      <w:r w:rsidR="009E7BC6">
        <w:t>chapter div</w:t>
      </w:r>
      <w:r w:rsidR="00955154" w:rsidRPr="00D566A1">
        <w:t xml:space="preserve"> is a </w:t>
      </w:r>
      <w:r w:rsidR="009E7BC6">
        <w:t>&lt;</w:t>
      </w:r>
      <w:r w:rsidR="00955154" w:rsidRPr="00D566A1">
        <w:t>note</w:t>
      </w:r>
      <w:r w:rsidR="009E7BC6">
        <w:t>&gt;</w:t>
      </w:r>
      <w:r w:rsidR="00955154" w:rsidRPr="00D566A1">
        <w:t xml:space="preserve"> element.</w:t>
      </w:r>
    </w:p>
    <w:p w14:paraId="172751AF" w14:textId="77777777" w:rsidR="00955154" w:rsidRPr="00D566A1" w:rsidRDefault="00955154" w:rsidP="00D566A1"/>
    <w:p w14:paraId="31DB094B" w14:textId="7A0C13AA" w:rsidR="00955154" w:rsidRPr="00D566A1" w:rsidRDefault="00955154" w:rsidP="00D566A1">
      <w:pPr>
        <w:rPr>
          <w:highlight w:val="white"/>
        </w:rPr>
      </w:pPr>
      <w:r w:rsidRPr="00D566A1">
        <w:tab/>
      </w:r>
      <w:r w:rsidRPr="00D566A1">
        <w:rPr>
          <w:highlight w:val="white"/>
        </w:rPr>
        <w:t>&lt;note id="note1"&gt;</w:t>
      </w:r>
    </w:p>
    <w:p w14:paraId="44084D1C" w14:textId="3CC5EE13" w:rsidR="00955154" w:rsidRPr="00D566A1" w:rsidRDefault="00955154" w:rsidP="00D566A1"/>
    <w:p w14:paraId="104B1F3B" w14:textId="515BB487" w:rsidR="00955154" w:rsidRPr="00D566A1" w:rsidRDefault="00955154" w:rsidP="00D566A1">
      <w:r w:rsidRPr="00D566A1">
        <w:t xml:space="preserve">The @id attribute is built from the @id of the </w:t>
      </w:r>
      <w:r w:rsidR="000C23D8">
        <w:t>matching</w:t>
      </w:r>
      <w:r w:rsidRPr="00D566A1">
        <w:t xml:space="preserve"> &lt;p&gt; element in the corresponding </w:t>
      </w:r>
      <w:proofErr w:type="spellStart"/>
      <w:r w:rsidRPr="00D566A1">
        <w:t>ldsSource</w:t>
      </w:r>
      <w:proofErr w:type="spellEnd"/>
      <w:r w:rsidRPr="00D566A1">
        <w:t xml:space="preserve"> file. If the @id is a number, prepend "note"; otherwise </w:t>
      </w:r>
      <w:r w:rsidR="00D550F2">
        <w:t>pre</w:t>
      </w:r>
      <w:r w:rsidRPr="00D566A1">
        <w:t>pend "note_".</w:t>
      </w:r>
    </w:p>
    <w:p w14:paraId="28968645" w14:textId="31A9D28B" w:rsidR="004B52F5" w:rsidRPr="00D566A1" w:rsidRDefault="004B52F5" w:rsidP="00D566A1"/>
    <w:p w14:paraId="5AFEF14A" w14:textId="6373E8F7" w:rsidR="004B52F5" w:rsidRPr="00D566A1" w:rsidRDefault="005F6CD4" w:rsidP="00D566A1">
      <w:r>
        <w:t>8</w:t>
      </w:r>
      <w:r w:rsidR="004B52F5" w:rsidRPr="00D566A1">
        <w:t>. Notes for verse spans may be added in the future. These would have IDs as follows:</w:t>
      </w:r>
    </w:p>
    <w:p w14:paraId="1CDAD395" w14:textId="11F3B487" w:rsidR="004B52F5" w:rsidRPr="00D566A1" w:rsidRDefault="004B52F5" w:rsidP="00D566A1"/>
    <w:p w14:paraId="4D6157C3" w14:textId="5B05AD6C" w:rsidR="004B52F5" w:rsidRPr="00D566A1" w:rsidRDefault="004B52F5" w:rsidP="00D566A1">
      <w:r w:rsidRPr="00D566A1">
        <w:tab/>
      </w:r>
      <w:r w:rsidRPr="00D566A1">
        <w:rPr>
          <w:highlight w:val="white"/>
        </w:rPr>
        <w:t>&lt;note id="note_1-2"&gt;</w:t>
      </w:r>
    </w:p>
    <w:p w14:paraId="1F321F3C" w14:textId="77777777" w:rsidR="005F6CD4" w:rsidRDefault="005F6CD4" w:rsidP="004B52F5"/>
    <w:p w14:paraId="1A3380E6" w14:textId="2DBBF852" w:rsidR="004B52F5" w:rsidRPr="004B52F5" w:rsidRDefault="004B52F5" w:rsidP="004B52F5">
      <w:r w:rsidRPr="004B52F5">
        <w:t xml:space="preserve">This would sort above </w:t>
      </w:r>
      <w:r w:rsidRPr="004B52F5">
        <w:rPr>
          <w:highlight w:val="white"/>
        </w:rPr>
        <w:t>&lt;note id="note1"&gt;</w:t>
      </w:r>
      <w:r w:rsidRPr="004B52F5">
        <w:t>.</w:t>
      </w:r>
    </w:p>
    <w:p w14:paraId="78D99970" w14:textId="77777777" w:rsidR="00955154" w:rsidRPr="00D968A6" w:rsidRDefault="00955154" w:rsidP="00D968A6"/>
    <w:p w14:paraId="628B2B9E" w14:textId="71E3FD5B" w:rsidR="00090B11" w:rsidRPr="00D968A6" w:rsidRDefault="005F6CD4" w:rsidP="00D968A6">
      <w:r>
        <w:t>9</w:t>
      </w:r>
      <w:r w:rsidR="00D566A1" w:rsidRPr="00D968A6">
        <w:t xml:space="preserve">. Note elements </w:t>
      </w:r>
      <w:r w:rsidR="000704EE">
        <w:t xml:space="preserve">that are not empty </w:t>
      </w:r>
      <w:r w:rsidR="00D566A1" w:rsidRPr="00D968A6">
        <w:t>begin with a note title and a short title:</w:t>
      </w:r>
    </w:p>
    <w:p w14:paraId="6F35F781" w14:textId="04650880" w:rsidR="00D566A1" w:rsidRPr="00D968A6" w:rsidRDefault="00D566A1" w:rsidP="00D968A6"/>
    <w:p w14:paraId="69CAB4C2" w14:textId="0775E30E" w:rsidR="0010602E" w:rsidRPr="00D968A6" w:rsidRDefault="0010602E" w:rsidP="00D968A6">
      <w:pPr>
        <w:rPr>
          <w:highlight w:val="white"/>
        </w:rPr>
      </w:pPr>
      <w:r w:rsidRPr="00D968A6">
        <w:rPr>
          <w:highlight w:val="white"/>
        </w:rPr>
        <w:lastRenderedPageBreak/>
        <w:tab/>
      </w:r>
      <w:r w:rsidRPr="00D968A6">
        <w:rPr>
          <w:highlight w:val="white"/>
        </w:rPr>
        <w:tab/>
        <w:t>&lt;note id="note_title_number1"&gt;</w:t>
      </w:r>
      <w:r w:rsidRPr="00D968A6">
        <w:rPr>
          <w:highlight w:val="white"/>
        </w:rPr>
        <w:br/>
      </w:r>
      <w:r w:rsidRPr="00D968A6">
        <w:rPr>
          <w:highlight w:val="white"/>
        </w:rPr>
        <w:tab/>
      </w:r>
      <w:r w:rsidRPr="00D968A6">
        <w:rPr>
          <w:highlight w:val="white"/>
        </w:rPr>
        <w:tab/>
      </w:r>
      <w:r w:rsidRPr="00D968A6">
        <w:rPr>
          <w:highlight w:val="white"/>
        </w:rPr>
        <w:tab/>
        <w:t>&lt;p class="note-title"&gt;Genesis 1</w:t>
      </w:r>
      <w:r w:rsidR="006C56B5">
        <w:rPr>
          <w:highlight w:val="white"/>
        </w:rPr>
        <w:t>:1</w:t>
      </w:r>
      <w:r w:rsidRPr="00D968A6">
        <w:rPr>
          <w:highlight w:val="white"/>
        </w:rPr>
        <w:t xml:space="preserve"> Notes&lt;/p&gt;</w:t>
      </w:r>
      <w:r w:rsidRPr="00D968A6">
        <w:rPr>
          <w:highlight w:val="white"/>
        </w:rPr>
        <w:br/>
      </w:r>
      <w:r w:rsidRPr="00D968A6">
        <w:rPr>
          <w:highlight w:val="white"/>
        </w:rPr>
        <w:tab/>
      </w:r>
      <w:r w:rsidRPr="00D968A6">
        <w:rPr>
          <w:highlight w:val="white"/>
        </w:rPr>
        <w:tab/>
      </w:r>
      <w:r w:rsidRPr="00D968A6">
        <w:rPr>
          <w:highlight w:val="white"/>
        </w:rPr>
        <w:tab/>
        <w:t>&lt;p class="note-short-title"&gt;</w:t>
      </w:r>
      <w:r w:rsidR="007D10A3">
        <w:rPr>
          <w:highlight w:val="white"/>
        </w:rPr>
        <w:t>Verse</w:t>
      </w:r>
      <w:r w:rsidRPr="00D968A6">
        <w:rPr>
          <w:highlight w:val="white"/>
        </w:rPr>
        <w:t xml:space="preserve"> 1 Notes&lt;/p&gt;</w:t>
      </w:r>
    </w:p>
    <w:p w14:paraId="3303DB0F" w14:textId="5AF2D86D" w:rsidR="00D566A1" w:rsidRPr="00D968A6" w:rsidRDefault="00D566A1" w:rsidP="00D968A6"/>
    <w:p w14:paraId="3165B573" w14:textId="71B121AE" w:rsidR="0010602E" w:rsidRPr="00D968A6" w:rsidRDefault="0010602E" w:rsidP="00D968A6">
      <w:r w:rsidRPr="00D968A6">
        <w:t xml:space="preserve">Typically an application would use one or the other. </w:t>
      </w:r>
      <w:proofErr w:type="spellStart"/>
      <w:r w:rsidRPr="00D968A6">
        <w:t>OneInThineHand</w:t>
      </w:r>
      <w:proofErr w:type="spellEnd"/>
      <w:r w:rsidRPr="00D968A6">
        <w:t xml:space="preserve"> uses the short title.</w:t>
      </w:r>
    </w:p>
    <w:p w14:paraId="3365FCEF" w14:textId="086F568F" w:rsidR="0010602E" w:rsidRPr="00D968A6" w:rsidRDefault="0010602E" w:rsidP="00D968A6"/>
    <w:p w14:paraId="32586B6A" w14:textId="62ACCFF0" w:rsidR="008876A9" w:rsidRPr="00D968A6" w:rsidRDefault="005F6CD4" w:rsidP="00D968A6">
      <w:r>
        <w:t>10</w:t>
      </w:r>
      <w:r w:rsidR="00FD4985" w:rsidRPr="00D968A6">
        <w:t xml:space="preserve">. The short title is followed by one or more note </w:t>
      </w:r>
      <w:r w:rsidR="00116A3C">
        <w:t>&lt;</w:t>
      </w:r>
      <w:r w:rsidR="00FD4985" w:rsidRPr="00D968A6">
        <w:t>div</w:t>
      </w:r>
      <w:r w:rsidR="00116A3C">
        <w:t>&gt; element</w:t>
      </w:r>
      <w:r w:rsidR="00FD4985" w:rsidRPr="00D968A6">
        <w:t>s</w:t>
      </w:r>
      <w:r w:rsidR="003C4F10" w:rsidRPr="00D968A6">
        <w:t>. These correspond to individual notes</w:t>
      </w:r>
      <w:r w:rsidR="00FD4985" w:rsidRPr="00D968A6">
        <w:t>.</w:t>
      </w:r>
      <w:r w:rsidR="003C4F10" w:rsidRPr="00D968A6">
        <w:t xml:space="preserve"> Here is an example</w:t>
      </w:r>
    </w:p>
    <w:p w14:paraId="05A00E0D" w14:textId="6847BBE6" w:rsidR="003C4F10" w:rsidRPr="00D968A6" w:rsidRDefault="003C4F10" w:rsidP="00D968A6"/>
    <w:p w14:paraId="6CFA1BDB" w14:textId="6098A24E" w:rsidR="003C4F10" w:rsidRPr="00D968A6" w:rsidRDefault="003C4F10" w:rsidP="00D968A6">
      <w:pPr>
        <w:rPr>
          <w:highlight w:val="white"/>
        </w:rPr>
      </w:pPr>
      <w:r w:rsidRPr="00D968A6">
        <w:tab/>
      </w:r>
      <w:r w:rsidRPr="00D968A6">
        <w:rPr>
          <w:highlight w:val="white"/>
        </w:rPr>
        <w:t>&lt;div class="</w:t>
      </w:r>
      <w:r w:rsidR="006D709B">
        <w:rPr>
          <w:highlight w:val="white"/>
        </w:rPr>
        <w:t>new</w:t>
      </w:r>
      <w:r w:rsidRPr="00D968A6">
        <w:rPr>
          <w:highlight w:val="white"/>
        </w:rPr>
        <w:t>" id="2018-09-15-15-14-37-93" offset="23-31"&gt;</w:t>
      </w:r>
    </w:p>
    <w:p w14:paraId="230042B8" w14:textId="164E03B8" w:rsidR="003C4F10" w:rsidRPr="00D968A6" w:rsidRDefault="003C4F10" w:rsidP="00D968A6"/>
    <w:p w14:paraId="788FB94C" w14:textId="77777777" w:rsidR="00FA0A15" w:rsidRDefault="003C4F10" w:rsidP="00FA0A15">
      <w:r w:rsidRPr="00D968A6">
        <w:t xml:space="preserve">The @class attribute is named for the overlay </w:t>
      </w:r>
      <w:r w:rsidR="00960FB6">
        <w:t xml:space="preserve">type </w:t>
      </w:r>
      <w:r w:rsidRPr="00D968A6">
        <w:t xml:space="preserve">of which this note is a part. </w:t>
      </w:r>
      <w:r w:rsidR="00FA0A15">
        <w:t>As of today, there are three overlay types:</w:t>
      </w:r>
    </w:p>
    <w:p w14:paraId="5C8BFC4B" w14:textId="77777777" w:rsidR="00FA0A15" w:rsidRDefault="00FA0A15" w:rsidP="00FA0A15"/>
    <w:p w14:paraId="0D04369B" w14:textId="77777777" w:rsidR="00FA0A15" w:rsidRDefault="00FA0A15" w:rsidP="00FA0A15"/>
    <w:tbl>
      <w:tblPr>
        <w:tblStyle w:val="TableGrid"/>
        <w:tblW w:w="0" w:type="auto"/>
        <w:tblLook w:val="04A0" w:firstRow="1" w:lastRow="0" w:firstColumn="1" w:lastColumn="0" w:noHBand="0" w:noVBand="1"/>
      </w:tblPr>
      <w:tblGrid>
        <w:gridCol w:w="1165"/>
        <w:gridCol w:w="3240"/>
      </w:tblGrid>
      <w:tr w:rsidR="00FA0A15" w:rsidRPr="00FA0A15" w14:paraId="257D4851" w14:textId="77777777" w:rsidTr="00FD3BFA">
        <w:tc>
          <w:tcPr>
            <w:tcW w:w="1165" w:type="dxa"/>
          </w:tcPr>
          <w:p w14:paraId="0DA35253" w14:textId="3340BB1E" w:rsidR="00FA0A15" w:rsidRPr="00FA0A15" w:rsidRDefault="00FA0A15" w:rsidP="00295394">
            <w:r w:rsidRPr="00FA0A15">
              <w:t>new</w:t>
            </w:r>
            <w:r w:rsidR="00D33EC1">
              <w:t>-note</w:t>
            </w:r>
          </w:p>
        </w:tc>
        <w:tc>
          <w:tcPr>
            <w:tcW w:w="3240" w:type="dxa"/>
          </w:tcPr>
          <w:p w14:paraId="4D99EF47" w14:textId="77777777" w:rsidR="00FA0A15" w:rsidRPr="00FA0A15" w:rsidRDefault="00FA0A15" w:rsidP="00295394">
            <w:r w:rsidRPr="00FA0A15">
              <w:t>New notes</w:t>
            </w:r>
          </w:p>
        </w:tc>
      </w:tr>
      <w:tr w:rsidR="00FA0A15" w:rsidRPr="00FA0A15" w14:paraId="180D9843" w14:textId="77777777" w:rsidTr="00FD3BFA">
        <w:tc>
          <w:tcPr>
            <w:tcW w:w="1165" w:type="dxa"/>
          </w:tcPr>
          <w:p w14:paraId="524C16E1" w14:textId="5ADFD4CB" w:rsidR="00FA0A15" w:rsidRPr="00FA0A15" w:rsidRDefault="00FA0A15" w:rsidP="00295394">
            <w:proofErr w:type="spellStart"/>
            <w:r w:rsidRPr="00FA0A15">
              <w:t>eng</w:t>
            </w:r>
            <w:proofErr w:type="spellEnd"/>
            <w:r w:rsidR="00D33EC1">
              <w:t>-note</w:t>
            </w:r>
          </w:p>
        </w:tc>
        <w:tc>
          <w:tcPr>
            <w:tcW w:w="3240" w:type="dxa"/>
          </w:tcPr>
          <w:p w14:paraId="4C168C35" w14:textId="5A5274DD" w:rsidR="00FA0A15" w:rsidRPr="00FA0A15" w:rsidRDefault="00FA0A15" w:rsidP="00295394">
            <w:r w:rsidRPr="00FA0A15">
              <w:t>English print notes</w:t>
            </w:r>
          </w:p>
        </w:tc>
      </w:tr>
      <w:tr w:rsidR="00FA0A15" w:rsidRPr="00FA0A15" w14:paraId="44BE36EC" w14:textId="77777777" w:rsidTr="00FD3BFA">
        <w:tc>
          <w:tcPr>
            <w:tcW w:w="1165" w:type="dxa"/>
          </w:tcPr>
          <w:p w14:paraId="5C96EEFF" w14:textId="4B00F679" w:rsidR="00FA0A15" w:rsidRPr="00FA0A15" w:rsidRDefault="00FA0A15" w:rsidP="00295394">
            <w:proofErr w:type="spellStart"/>
            <w:r w:rsidRPr="00FA0A15">
              <w:t>tc</w:t>
            </w:r>
            <w:proofErr w:type="spellEnd"/>
            <w:r w:rsidR="00D33EC1">
              <w:t>-note</w:t>
            </w:r>
          </w:p>
        </w:tc>
        <w:tc>
          <w:tcPr>
            <w:tcW w:w="3240" w:type="dxa"/>
          </w:tcPr>
          <w:p w14:paraId="255B905E" w14:textId="285A19E1" w:rsidR="00FA0A15" w:rsidRPr="00FA0A15" w:rsidRDefault="00FA0A15" w:rsidP="00295394">
            <w:r w:rsidRPr="00FA0A15">
              <w:t>Translator's Copy print notes</w:t>
            </w:r>
          </w:p>
        </w:tc>
      </w:tr>
    </w:tbl>
    <w:p w14:paraId="4567FDA1" w14:textId="77777777" w:rsidR="00FA0A15" w:rsidRDefault="00FA0A15" w:rsidP="00FA0A15"/>
    <w:p w14:paraId="62B3245C" w14:textId="1AC1D6B6" w:rsidR="0056205C" w:rsidRDefault="0056205C" w:rsidP="0056205C">
      <w:r>
        <w:t>N</w:t>
      </w:r>
      <w:r w:rsidR="008E66BA">
        <w:t>ote type</w:t>
      </w:r>
      <w:r>
        <w:t>s</w:t>
      </w:r>
      <w:r w:rsidR="008E66BA">
        <w:t xml:space="preserve"> can be toggled on and off by the end user</w:t>
      </w:r>
      <w:r w:rsidR="00084622">
        <w:t>—when off, no notes of any kind in that &lt;div&gt; element display</w:t>
      </w:r>
      <w:r>
        <w:t>s</w:t>
      </w:r>
      <w:r w:rsidR="008E66BA">
        <w:t xml:space="preserve">. </w:t>
      </w:r>
      <w:r w:rsidR="00BF2594">
        <w:t xml:space="preserve">More than one overlay </w:t>
      </w:r>
      <w:proofErr w:type="spellStart"/>
      <w:r w:rsidR="00BF2594">
        <w:t>cna</w:t>
      </w:r>
      <w:proofErr w:type="spellEnd"/>
      <w:r w:rsidR="00BF2594">
        <w:t xml:space="preserve"> be assigned the same </w:t>
      </w:r>
      <w:r>
        <w:t xml:space="preserve">overlay type—they are merged in </w:t>
      </w:r>
      <w:proofErr w:type="spellStart"/>
      <w:r>
        <w:t>One</w:t>
      </w:r>
      <w:r w:rsidR="00BF2594">
        <w:t>InThineHand</w:t>
      </w:r>
      <w:proofErr w:type="spellEnd"/>
      <w:r w:rsidR="00BF2594">
        <w:t xml:space="preserve"> and can be turned on and off together.</w:t>
      </w:r>
    </w:p>
    <w:p w14:paraId="58D6F059" w14:textId="77777777" w:rsidR="00084622" w:rsidRDefault="00084622" w:rsidP="00D968A6"/>
    <w:p w14:paraId="7695879D" w14:textId="77777777" w:rsidR="000E4715" w:rsidRDefault="003C4F10" w:rsidP="00D968A6">
      <w:r w:rsidRPr="008E66BA">
        <w:t>The</w:t>
      </w:r>
      <w:r w:rsidRPr="00D968A6">
        <w:t xml:space="preserve"> @id attribute is a globally unique identifier. The @offset attribute corresponds to the first and last character positions in the verse of the phrase being annotated.</w:t>
      </w:r>
      <w:r w:rsidR="00084622">
        <w:t xml:space="preserve"> </w:t>
      </w:r>
      <w:r w:rsidR="00CF73C9" w:rsidRPr="00D968A6">
        <w:t>T</w:t>
      </w:r>
      <w:r w:rsidR="00EC337B" w:rsidRPr="00D968A6">
        <w:t>he offsets are derived by counting the beginning of the verse, including the verse number, beginning with zero.</w:t>
      </w:r>
    </w:p>
    <w:p w14:paraId="1957E3DD" w14:textId="77777777" w:rsidR="000E4715" w:rsidRDefault="000E4715" w:rsidP="00D968A6"/>
    <w:p w14:paraId="161E70D9" w14:textId="6D9E1050" w:rsidR="003C4F10" w:rsidRPr="00D968A6" w:rsidRDefault="00CF73C9" w:rsidP="00D968A6">
      <w:r w:rsidRPr="00D968A6">
        <w:t xml:space="preserve">In Genesis 1:1, </w:t>
      </w:r>
      <w:r w:rsidR="00B432EC" w:rsidRPr="00D968A6">
        <w:t xml:space="preserve">the verse number ("1") is at position 0, the space following it is at position 1, and the </w:t>
      </w:r>
      <w:r w:rsidRPr="00D968A6">
        <w:t>offset value for the phrase "</w:t>
      </w:r>
      <w:r w:rsidR="00B432EC" w:rsidRPr="00D968A6">
        <w:t>In the beginning</w:t>
      </w:r>
      <w:r w:rsidRPr="00D968A6">
        <w:t>" is</w:t>
      </w:r>
      <w:r w:rsidR="00B432EC" w:rsidRPr="00D968A6">
        <w:t xml:space="preserve"> </w:t>
      </w:r>
      <w:r w:rsidR="00EC337B" w:rsidRPr="00D968A6">
        <w:t>"</w:t>
      </w:r>
      <w:r w:rsidR="00B432EC" w:rsidRPr="00D968A6">
        <w:t>2</w:t>
      </w:r>
      <w:r w:rsidR="00EC337B" w:rsidRPr="00D968A6">
        <w:t>-</w:t>
      </w:r>
      <w:r w:rsidR="00B432EC" w:rsidRPr="00D968A6">
        <w:t>17".</w:t>
      </w:r>
    </w:p>
    <w:p w14:paraId="588EF5FF" w14:textId="7F802D6C" w:rsidR="0061367D" w:rsidRPr="00D968A6" w:rsidRDefault="0061367D" w:rsidP="00D968A6"/>
    <w:p w14:paraId="735B76C0" w14:textId="601A1A2D" w:rsidR="0061367D" w:rsidRPr="00D968A6" w:rsidRDefault="0061367D" w:rsidP="00D968A6">
      <w:r w:rsidRPr="00D968A6">
        <w:t xml:space="preserve">Note that phrases do not need to be contiguous. Offset </w:t>
      </w:r>
      <w:r w:rsidR="00DF18BB" w:rsidRPr="00D968A6">
        <w:t>values use commas to represent gaps</w:t>
      </w:r>
      <w:r w:rsidR="002C51B0" w:rsidRPr="00D968A6">
        <w:t xml:space="preserve"> in phrases</w:t>
      </w:r>
      <w:r w:rsidRPr="00D968A6">
        <w:t>.</w:t>
      </w:r>
    </w:p>
    <w:p w14:paraId="646B278F" w14:textId="6A16C1E1" w:rsidR="00E47E8E" w:rsidRDefault="00E47E8E" w:rsidP="00D968A6"/>
    <w:p w14:paraId="7C7DEEF8" w14:textId="7ADFF184" w:rsidR="00374CF9" w:rsidRPr="00D968A6" w:rsidRDefault="00374CF9" w:rsidP="00374CF9">
      <w:pPr>
        <w:rPr>
          <w:highlight w:val="white"/>
        </w:rPr>
      </w:pPr>
      <w:r>
        <w:rPr>
          <w:highlight w:val="white"/>
        </w:rPr>
        <w:t xml:space="preserve">When the whole verse is selected, the </w:t>
      </w:r>
      <w:r>
        <w:rPr>
          <w:highlight w:val="white"/>
        </w:rPr>
        <w:t xml:space="preserve">offset </w:t>
      </w:r>
      <w:r w:rsidR="00AD5D65">
        <w:rPr>
          <w:highlight w:val="white"/>
        </w:rPr>
        <w:t xml:space="preserve">value </w:t>
      </w:r>
      <w:bookmarkStart w:id="0" w:name="_GoBack"/>
      <w:bookmarkEnd w:id="0"/>
      <w:r>
        <w:rPr>
          <w:highlight w:val="white"/>
        </w:rPr>
        <w:t>is "all".</w:t>
      </w:r>
    </w:p>
    <w:p w14:paraId="0618B254" w14:textId="77777777" w:rsidR="00374CF9" w:rsidRPr="00D968A6" w:rsidRDefault="00374CF9" w:rsidP="00D968A6"/>
    <w:p w14:paraId="1A0721B4" w14:textId="171A3BE5" w:rsidR="00E47E8E" w:rsidRPr="00D968A6" w:rsidRDefault="005F6CD4" w:rsidP="00D968A6">
      <w:r>
        <w:t>11</w:t>
      </w:r>
      <w:r w:rsidR="00E47E8E" w:rsidRPr="00D968A6">
        <w:t>. Every note div has one note phrase, like th</w:t>
      </w:r>
      <w:r w:rsidR="00FC7C8E" w:rsidRPr="00D968A6">
        <w:t>ese:</w:t>
      </w:r>
    </w:p>
    <w:p w14:paraId="50C32FCC" w14:textId="6B0D8517" w:rsidR="00FC7C8E" w:rsidRPr="00D968A6" w:rsidRDefault="00FC7C8E" w:rsidP="00D968A6"/>
    <w:p w14:paraId="10B99A73" w14:textId="208075E2" w:rsidR="00FC7C8E" w:rsidRPr="00D968A6" w:rsidRDefault="00FC7C8E" w:rsidP="00D968A6">
      <w:pPr>
        <w:rPr>
          <w:highlight w:val="white"/>
        </w:rPr>
      </w:pPr>
      <w:r w:rsidRPr="00D968A6">
        <w:tab/>
      </w:r>
      <w:r w:rsidRPr="00D968A6">
        <w:rPr>
          <w:highlight w:val="white"/>
        </w:rPr>
        <w:t>&lt;p class="note-phrase"&gt;“In the beginning”&lt;/p&gt;</w:t>
      </w:r>
    </w:p>
    <w:p w14:paraId="00B7B759" w14:textId="7A06265D" w:rsidR="00FC7C8E" w:rsidRPr="00D968A6" w:rsidRDefault="00FC7C8E" w:rsidP="00D968A6"/>
    <w:p w14:paraId="58FAAFE6" w14:textId="2BE220E5" w:rsidR="00FC7C8E" w:rsidRPr="00D968A6" w:rsidRDefault="00FC7C8E" w:rsidP="00D968A6">
      <w:r w:rsidRPr="00D968A6">
        <w:t>The text, inside curly quotes, corresponds to the phrase indicated by the @offset attribute. However, editors are free to change this text; for example, they may use ellipses for long phrases. A note phrase for an entire verse is indicated like this (no quotation marks):</w:t>
      </w:r>
    </w:p>
    <w:p w14:paraId="37A0B84A" w14:textId="2BCAC67A" w:rsidR="00FC7C8E" w:rsidRPr="00D968A6" w:rsidRDefault="00FC7C8E" w:rsidP="00D968A6"/>
    <w:p w14:paraId="61035268" w14:textId="0548D44F" w:rsidR="00FC7C8E" w:rsidRDefault="00FC7C8E" w:rsidP="00D968A6">
      <w:pPr>
        <w:rPr>
          <w:highlight w:val="white"/>
        </w:rPr>
      </w:pPr>
      <w:r w:rsidRPr="00D968A6">
        <w:tab/>
      </w:r>
      <w:r w:rsidRPr="00D968A6">
        <w:rPr>
          <w:highlight w:val="white"/>
        </w:rPr>
        <w:t>&lt;p class="note-phrase"&gt;whole verse&lt;/p&gt;</w:t>
      </w:r>
    </w:p>
    <w:p w14:paraId="56059C1C" w14:textId="3042CDF7" w:rsidR="0020499A" w:rsidRDefault="0020499A" w:rsidP="00D968A6">
      <w:pPr>
        <w:rPr>
          <w:highlight w:val="white"/>
        </w:rPr>
      </w:pPr>
    </w:p>
    <w:p w14:paraId="1D2CF6C3" w14:textId="63A69E68" w:rsidR="00FC7C8E" w:rsidRDefault="00FC7C8E"/>
    <w:p w14:paraId="0A17DB18" w14:textId="7F783092" w:rsidR="00EC001C" w:rsidRDefault="00EC001C">
      <w:r>
        <w:t>1</w:t>
      </w:r>
      <w:r w:rsidR="005F6CD4">
        <w:t>2</w:t>
      </w:r>
      <w:r>
        <w:t>. Note phrases are followed by one or more reference lines</w:t>
      </w:r>
      <w:r w:rsidR="005D4EB9">
        <w:t>:</w:t>
      </w:r>
    </w:p>
    <w:p w14:paraId="02A87FFF" w14:textId="1542FC08" w:rsidR="00EC001C" w:rsidRDefault="00EC001C"/>
    <w:p w14:paraId="0B185D9E" w14:textId="4A0D1A37" w:rsidR="005D4EB9" w:rsidRPr="0061141D" w:rsidRDefault="005D4EB9" w:rsidP="0061141D">
      <w:pPr>
        <w:ind w:left="720"/>
        <w:rPr>
          <w:highlight w:val="white"/>
        </w:rPr>
      </w:pPr>
      <w:r w:rsidRPr="0061141D">
        <w:rPr>
          <w:highlight w:val="white"/>
        </w:rPr>
        <w:t>&lt;p class="note-phrase"&gt;“fiery flying serpents”&lt;/p&gt;</w:t>
      </w:r>
      <w:r w:rsidRPr="0061141D">
        <w:rPr>
          <w:highlight w:val="white"/>
        </w:rPr>
        <w:br/>
        <w:t xml:space="preserve">&lt;p class="note-reference"&gt;&lt;span class="reference-label-translation"&gt; &lt;/span&gt;darting </w:t>
      </w:r>
      <w:r w:rsidR="00321D08">
        <w:t xml:space="preserve">venomous </w:t>
      </w:r>
      <w:r w:rsidRPr="0061141D">
        <w:rPr>
          <w:highlight w:val="white"/>
        </w:rPr>
        <w:t>snake&lt;/p&gt;</w:t>
      </w:r>
    </w:p>
    <w:p w14:paraId="45CB80B2" w14:textId="090C0500" w:rsidR="00EC001C" w:rsidRDefault="005D4EB9" w:rsidP="0061141D">
      <w:pPr>
        <w:ind w:left="720"/>
      </w:pPr>
      <w:r w:rsidRPr="0061141D">
        <w:rPr>
          <w:highlight w:val="white"/>
        </w:rPr>
        <w:t>&lt;p class="note-reference"&gt;&lt;span class="reference-label-cross-ref"&gt; &lt;/span&gt;Num. 21:6, 8; Isa. 14:29&lt;/p&gt;</w:t>
      </w:r>
      <w:r w:rsidRPr="0061141D">
        <w:rPr>
          <w:highlight w:val="white"/>
        </w:rPr>
        <w:br/>
      </w:r>
    </w:p>
    <w:p w14:paraId="56D25301" w14:textId="21EC7F21" w:rsidR="000E4715" w:rsidRDefault="000E4715" w:rsidP="000E4715">
      <w:r>
        <w:t xml:space="preserve">13. Every note reference line must begin with a note label indicating the type of information in the note. These indicate what are known in </w:t>
      </w:r>
      <w:proofErr w:type="spellStart"/>
      <w:r>
        <w:t>OneInThineHand</w:t>
      </w:r>
      <w:proofErr w:type="spellEnd"/>
      <w:r>
        <w:t xml:space="preserve"> as note </w:t>
      </w:r>
      <w:r>
        <w:rPr>
          <w:i/>
        </w:rPr>
        <w:t>categories.</w:t>
      </w:r>
      <w:r>
        <w:t xml:space="preserve"> Like note types, note categories can be toggled on and off by the end user.</w:t>
      </w:r>
    </w:p>
    <w:p w14:paraId="08D5DD5F" w14:textId="3B812DA2" w:rsidR="000E4715" w:rsidRDefault="000E4715" w:rsidP="000E4715"/>
    <w:p w14:paraId="65C06A7A" w14:textId="301E9401" w:rsidR="000E4715" w:rsidRDefault="000E4715" w:rsidP="000E4715">
      <w:r>
        <w:t>Note labels contain only</w:t>
      </w:r>
      <w:r w:rsidR="002E3119">
        <w:t xml:space="preserve"> a non-breaking space, but applications should insert text for display. Adding the text is handled at this stage so that labels can be changed globally without having to reprocess notes. The notes in the previous sample would render as follows:</w:t>
      </w:r>
    </w:p>
    <w:p w14:paraId="2020A6D5" w14:textId="1FAD0343" w:rsidR="002E3119" w:rsidRDefault="002E3119" w:rsidP="000E4715"/>
    <w:p w14:paraId="4B62D890" w14:textId="58AE9AFE" w:rsidR="002E3119" w:rsidRDefault="002E3119" w:rsidP="000E4715">
      <w:r>
        <w:tab/>
      </w:r>
      <w:r w:rsidR="00E32B06" w:rsidRPr="00A44FC4">
        <w:rPr>
          <w:b/>
        </w:rPr>
        <w:t>TRN</w:t>
      </w:r>
      <w:r w:rsidRPr="00A44FC4">
        <w:rPr>
          <w:b/>
        </w:rPr>
        <w:t> </w:t>
      </w:r>
      <w:r>
        <w:t xml:space="preserve">darting </w:t>
      </w:r>
      <w:r w:rsidR="002936B6">
        <w:t>venomous</w:t>
      </w:r>
      <w:r>
        <w:t xml:space="preserve"> snakes</w:t>
      </w:r>
    </w:p>
    <w:p w14:paraId="7C1D5ECC" w14:textId="3FF2209B" w:rsidR="00E32B06" w:rsidRDefault="00E32B06" w:rsidP="00E32B06">
      <w:r>
        <w:tab/>
      </w:r>
      <w:r w:rsidRPr="00A44FC4">
        <w:rPr>
          <w:b/>
        </w:rPr>
        <w:t>CR </w:t>
      </w:r>
      <w:r w:rsidRPr="0061141D">
        <w:rPr>
          <w:highlight w:val="white"/>
        </w:rPr>
        <w:t>Num. 21:6, 8; Isa. 14:29</w:t>
      </w:r>
    </w:p>
    <w:p w14:paraId="63EFBF93" w14:textId="77777777" w:rsidR="001A14E3" w:rsidRPr="00F161DF" w:rsidRDefault="001A14E3" w:rsidP="00F161DF">
      <w:pPr>
        <w:rPr>
          <w:highlight w:val="yellow"/>
        </w:rPr>
      </w:pPr>
    </w:p>
    <w:p w14:paraId="1E89F7A0" w14:textId="7F4900A8" w:rsidR="001A14E3" w:rsidRPr="00330626" w:rsidRDefault="00330626" w:rsidP="00F161DF">
      <w:r w:rsidRPr="00F161DF">
        <w:t>The</w:t>
      </w:r>
      <w:r w:rsidRPr="00330626">
        <w:t xml:space="preserve"> following label classes are allowed:</w:t>
      </w:r>
    </w:p>
    <w:p w14:paraId="4D9DBB0E" w14:textId="299D164D" w:rsidR="00B96409" w:rsidRDefault="00B96409" w:rsidP="00330626">
      <w:pPr>
        <w:rPr>
          <w:highlight w:val="yellow"/>
        </w:rPr>
      </w:pPr>
    </w:p>
    <w:tbl>
      <w:tblPr>
        <w:tblStyle w:val="TableGrid"/>
        <w:tblW w:w="13575" w:type="dxa"/>
        <w:tblLook w:val="04A0" w:firstRow="1" w:lastRow="0" w:firstColumn="1" w:lastColumn="0" w:noHBand="0" w:noVBand="1"/>
      </w:tblPr>
      <w:tblGrid>
        <w:gridCol w:w="3116"/>
        <w:gridCol w:w="2009"/>
        <w:gridCol w:w="2700"/>
        <w:gridCol w:w="5750"/>
      </w:tblGrid>
      <w:tr w:rsidR="00DA6612" w:rsidRPr="00C772E8" w14:paraId="3FB96E60" w14:textId="3A08A6E7" w:rsidTr="00DA6612">
        <w:tc>
          <w:tcPr>
            <w:tcW w:w="3116" w:type="dxa"/>
          </w:tcPr>
          <w:p w14:paraId="123D6024" w14:textId="36A47047" w:rsidR="00DA6612" w:rsidRPr="00EE5513" w:rsidRDefault="00DA6612" w:rsidP="00DA6612">
            <w:pPr>
              <w:rPr>
                <w:b/>
              </w:rPr>
            </w:pPr>
            <w:r w:rsidRPr="00EE5513">
              <w:rPr>
                <w:b/>
              </w:rPr>
              <w:t>Class value</w:t>
            </w:r>
          </w:p>
        </w:tc>
        <w:tc>
          <w:tcPr>
            <w:tcW w:w="2009" w:type="dxa"/>
          </w:tcPr>
          <w:p w14:paraId="579E0BBC" w14:textId="388410AE" w:rsidR="00DA6612" w:rsidRPr="00EE5513" w:rsidRDefault="00DA6612" w:rsidP="00DA6612">
            <w:pPr>
              <w:rPr>
                <w:b/>
              </w:rPr>
            </w:pPr>
            <w:r w:rsidRPr="00EE5513">
              <w:rPr>
                <w:b/>
              </w:rPr>
              <w:t>Label Text</w:t>
            </w:r>
          </w:p>
        </w:tc>
        <w:tc>
          <w:tcPr>
            <w:tcW w:w="2700" w:type="dxa"/>
          </w:tcPr>
          <w:p w14:paraId="65351026" w14:textId="66448C37" w:rsidR="00DA6612" w:rsidRPr="00EE5513" w:rsidRDefault="00DA6612" w:rsidP="00DA6612">
            <w:pPr>
              <w:rPr>
                <w:b/>
              </w:rPr>
            </w:pPr>
            <w:r>
              <w:rPr>
                <w:b/>
              </w:rPr>
              <w:t>English Name</w:t>
            </w:r>
          </w:p>
        </w:tc>
        <w:tc>
          <w:tcPr>
            <w:tcW w:w="5750" w:type="dxa"/>
          </w:tcPr>
          <w:p w14:paraId="260831B9" w14:textId="50D0CFFC" w:rsidR="00DA6612" w:rsidRPr="00EE5513" w:rsidRDefault="00DA6612" w:rsidP="00DA6612">
            <w:pPr>
              <w:rPr>
                <w:b/>
              </w:rPr>
            </w:pPr>
            <w:r w:rsidRPr="00EE5513">
              <w:rPr>
                <w:b/>
              </w:rPr>
              <w:t>Explanation</w:t>
            </w:r>
          </w:p>
        </w:tc>
      </w:tr>
      <w:tr w:rsidR="00DA6612" w:rsidRPr="00C772E8" w14:paraId="72B9D5A7" w14:textId="550CDDCE" w:rsidTr="00DA6612">
        <w:tc>
          <w:tcPr>
            <w:tcW w:w="3116" w:type="dxa"/>
          </w:tcPr>
          <w:p w14:paraId="47CC3A48" w14:textId="77777777" w:rsidR="00DA6612" w:rsidRPr="00C772E8" w:rsidRDefault="00DA6612" w:rsidP="00DA6612">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reference-label-alt</w:t>
            </w:r>
          </w:p>
        </w:tc>
        <w:tc>
          <w:tcPr>
            <w:tcW w:w="2009" w:type="dxa"/>
          </w:tcPr>
          <w:p w14:paraId="00E4BB18" w14:textId="4FAC13C7" w:rsidR="00DA6612" w:rsidRPr="00C772E8" w:rsidRDefault="00DA6612" w:rsidP="00DA6612">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ALT</w:t>
            </w:r>
          </w:p>
        </w:tc>
        <w:tc>
          <w:tcPr>
            <w:tcW w:w="2700" w:type="dxa"/>
          </w:tcPr>
          <w:p w14:paraId="61EA4083" w14:textId="369C7557" w:rsidR="00DA6612" w:rsidRPr="00C772E8" w:rsidRDefault="00DA6612" w:rsidP="00DA6612">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Alternate reading</w:t>
            </w:r>
          </w:p>
        </w:tc>
        <w:tc>
          <w:tcPr>
            <w:tcW w:w="5750" w:type="dxa"/>
          </w:tcPr>
          <w:p w14:paraId="70E13B96" w14:textId="17ED74DD" w:rsidR="00DA6612" w:rsidRDefault="00DA6612" w:rsidP="00DA6612">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Used when the source language can be read more than one way (see OR).</w:t>
            </w:r>
          </w:p>
        </w:tc>
      </w:tr>
      <w:tr w:rsidR="00D47B58" w:rsidRPr="00C772E8" w14:paraId="15ABB795" w14:textId="77777777" w:rsidTr="00DA6612">
        <w:tc>
          <w:tcPr>
            <w:tcW w:w="3116" w:type="dxa"/>
          </w:tcPr>
          <w:p w14:paraId="63C80475" w14:textId="73CFF401"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w:t>
            </w:r>
            <w:r>
              <w:rPr>
                <w:rFonts w:ascii="Times New Roman" w:hAnsi="Times New Roman" w:cs="Times New Roman"/>
                <w:color w:val="000000"/>
                <w:highlight w:val="white"/>
              </w:rPr>
              <w:t>bd</w:t>
            </w:r>
          </w:p>
        </w:tc>
        <w:tc>
          <w:tcPr>
            <w:tcW w:w="2009" w:type="dxa"/>
          </w:tcPr>
          <w:p w14:paraId="0B5FF870" w14:textId="3B97A920"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BD</w:t>
            </w:r>
          </w:p>
        </w:tc>
        <w:tc>
          <w:tcPr>
            <w:tcW w:w="2700" w:type="dxa"/>
          </w:tcPr>
          <w:p w14:paraId="7BCAA4CB" w14:textId="24E7768F"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Bible Dictionary</w:t>
            </w:r>
          </w:p>
        </w:tc>
        <w:tc>
          <w:tcPr>
            <w:tcW w:w="5750" w:type="dxa"/>
          </w:tcPr>
          <w:p w14:paraId="28210439" w14:textId="24410E34"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Reference to the Bible Dictionary in the back matter.</w:t>
            </w:r>
          </w:p>
        </w:tc>
      </w:tr>
      <w:tr w:rsidR="00D47B58" w:rsidRPr="00C772E8" w14:paraId="6FE86190" w14:textId="1F9E26E7" w:rsidTr="00DA6612">
        <w:tc>
          <w:tcPr>
            <w:tcW w:w="3116" w:type="dxa"/>
          </w:tcPr>
          <w:p w14:paraId="5E465AD5" w14:textId="77777777"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reference-label-cross-ref</w:t>
            </w:r>
          </w:p>
        </w:tc>
        <w:tc>
          <w:tcPr>
            <w:tcW w:w="2009" w:type="dxa"/>
          </w:tcPr>
          <w:p w14:paraId="4C177E43" w14:textId="155BC418"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CR</w:t>
            </w:r>
          </w:p>
        </w:tc>
        <w:tc>
          <w:tcPr>
            <w:tcW w:w="2700" w:type="dxa"/>
          </w:tcPr>
          <w:p w14:paraId="3C53A4DC" w14:textId="3FD7D7B3"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Cross reference</w:t>
            </w:r>
          </w:p>
        </w:tc>
        <w:tc>
          <w:tcPr>
            <w:tcW w:w="5750" w:type="dxa"/>
          </w:tcPr>
          <w:p w14:paraId="2A3F5B65" w14:textId="5C78E36B"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References to other scriptures.</w:t>
            </w:r>
          </w:p>
        </w:tc>
      </w:tr>
      <w:tr w:rsidR="00D47B58" w:rsidRPr="00C772E8" w14:paraId="493E8F04" w14:textId="7315DA22" w:rsidTr="00DA6612">
        <w:tc>
          <w:tcPr>
            <w:tcW w:w="3116" w:type="dxa"/>
          </w:tcPr>
          <w:p w14:paraId="40F3C2C1" w14:textId="77777777"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reference-label-error</w:t>
            </w:r>
          </w:p>
        </w:tc>
        <w:tc>
          <w:tcPr>
            <w:tcW w:w="2009" w:type="dxa"/>
          </w:tcPr>
          <w:p w14:paraId="62834040" w14:textId="5BCA30C3"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[does not display]</w:t>
            </w:r>
          </w:p>
        </w:tc>
        <w:tc>
          <w:tcPr>
            <w:tcW w:w="2700" w:type="dxa"/>
          </w:tcPr>
          <w:p w14:paraId="6044C4CB" w14:textId="0BA90CEB" w:rsidR="00D47B58" w:rsidRPr="00C772E8" w:rsidRDefault="00D47B58" w:rsidP="00D47B58">
            <w:pPr>
              <w:autoSpaceDE w:val="0"/>
              <w:autoSpaceDN w:val="0"/>
              <w:adjustRightInd w:val="0"/>
              <w:rPr>
                <w:rFonts w:ascii="Times New Roman" w:hAnsi="Times New Roman" w:cs="Times New Roman"/>
                <w:color w:val="000000"/>
                <w:highlight w:val="white"/>
              </w:rPr>
            </w:pPr>
          </w:p>
        </w:tc>
        <w:tc>
          <w:tcPr>
            <w:tcW w:w="5750" w:type="dxa"/>
          </w:tcPr>
          <w:p w14:paraId="6FCFB289" w14:textId="01833050"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Used for error trapping</w:t>
            </w:r>
          </w:p>
        </w:tc>
      </w:tr>
      <w:tr w:rsidR="00D47B58" w:rsidRPr="00C772E8" w14:paraId="04B1958F" w14:textId="42B58E79" w:rsidTr="00DA6612">
        <w:tc>
          <w:tcPr>
            <w:tcW w:w="3116" w:type="dxa"/>
          </w:tcPr>
          <w:p w14:paraId="00015C2E" w14:textId="77777777"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reference-label-geography</w:t>
            </w:r>
          </w:p>
        </w:tc>
        <w:tc>
          <w:tcPr>
            <w:tcW w:w="2009" w:type="dxa"/>
          </w:tcPr>
          <w:p w14:paraId="4F3A0E60" w14:textId="5FC23C5B"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GEO</w:t>
            </w:r>
          </w:p>
        </w:tc>
        <w:tc>
          <w:tcPr>
            <w:tcW w:w="2700" w:type="dxa"/>
          </w:tcPr>
          <w:p w14:paraId="01466587" w14:textId="6B13DFDD"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Geography</w:t>
            </w:r>
          </w:p>
        </w:tc>
        <w:tc>
          <w:tcPr>
            <w:tcW w:w="5750" w:type="dxa"/>
          </w:tcPr>
          <w:p w14:paraId="5E9F1283" w14:textId="35DF7DBA"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Notes on places.</w:t>
            </w:r>
          </w:p>
        </w:tc>
      </w:tr>
      <w:tr w:rsidR="00D47B58" w:rsidRPr="00C772E8" w14:paraId="3E69B6F0" w14:textId="6B75AC41" w:rsidTr="00DA6612">
        <w:tc>
          <w:tcPr>
            <w:tcW w:w="3116" w:type="dxa"/>
          </w:tcPr>
          <w:p w14:paraId="2BC33431" w14:textId="77777777"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w:t>
            </w:r>
            <w:proofErr w:type="spellStart"/>
            <w:r w:rsidRPr="00C772E8">
              <w:rPr>
                <w:rFonts w:ascii="Times New Roman" w:hAnsi="Times New Roman" w:cs="Times New Roman"/>
                <w:color w:val="000000"/>
                <w:highlight w:val="white"/>
              </w:rPr>
              <w:t>greek</w:t>
            </w:r>
            <w:proofErr w:type="spellEnd"/>
          </w:p>
        </w:tc>
        <w:tc>
          <w:tcPr>
            <w:tcW w:w="2009" w:type="dxa"/>
          </w:tcPr>
          <w:p w14:paraId="7AB60556" w14:textId="3B991603"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GR</w:t>
            </w:r>
          </w:p>
        </w:tc>
        <w:tc>
          <w:tcPr>
            <w:tcW w:w="2700" w:type="dxa"/>
          </w:tcPr>
          <w:p w14:paraId="33F7A460" w14:textId="2B4E6665"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Greek</w:t>
            </w:r>
          </w:p>
        </w:tc>
        <w:tc>
          <w:tcPr>
            <w:tcW w:w="5750" w:type="dxa"/>
          </w:tcPr>
          <w:p w14:paraId="7191BC2C" w14:textId="77AA7627"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Used when the note discusses an actual Greek term (see TRN).</w:t>
            </w:r>
          </w:p>
        </w:tc>
      </w:tr>
      <w:tr w:rsidR="00D47B58" w:rsidRPr="00C772E8" w14:paraId="2C31F5D2" w14:textId="77777777" w:rsidTr="00DA6612">
        <w:tc>
          <w:tcPr>
            <w:tcW w:w="3116" w:type="dxa"/>
          </w:tcPr>
          <w:p w14:paraId="7FA53B57" w14:textId="7F26309B"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w:t>
            </w:r>
            <w:proofErr w:type="spellStart"/>
            <w:r>
              <w:rPr>
                <w:rFonts w:ascii="Times New Roman" w:hAnsi="Times New Roman" w:cs="Times New Roman"/>
                <w:color w:val="000000"/>
                <w:highlight w:val="white"/>
              </w:rPr>
              <w:t>gs</w:t>
            </w:r>
            <w:proofErr w:type="spellEnd"/>
          </w:p>
        </w:tc>
        <w:tc>
          <w:tcPr>
            <w:tcW w:w="2009" w:type="dxa"/>
          </w:tcPr>
          <w:p w14:paraId="00E2651B" w14:textId="30313FD1"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GS</w:t>
            </w:r>
          </w:p>
        </w:tc>
        <w:tc>
          <w:tcPr>
            <w:tcW w:w="2700" w:type="dxa"/>
          </w:tcPr>
          <w:p w14:paraId="084D70E3" w14:textId="08959DD4"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Guide to the Scriptures</w:t>
            </w:r>
          </w:p>
        </w:tc>
        <w:tc>
          <w:tcPr>
            <w:tcW w:w="5750" w:type="dxa"/>
          </w:tcPr>
          <w:p w14:paraId="1DF07129" w14:textId="3B1491F1"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Reference to the Guide to the Scriptures in the back matter.</w:t>
            </w:r>
          </w:p>
        </w:tc>
      </w:tr>
      <w:tr w:rsidR="00D47B58" w:rsidRPr="00C772E8" w14:paraId="59F2CE09" w14:textId="616D6BAE" w:rsidTr="00DA6612">
        <w:tc>
          <w:tcPr>
            <w:tcW w:w="3116" w:type="dxa"/>
          </w:tcPr>
          <w:p w14:paraId="789BFAA3" w14:textId="77777777"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reference-label-harmony</w:t>
            </w:r>
          </w:p>
        </w:tc>
        <w:tc>
          <w:tcPr>
            <w:tcW w:w="2009" w:type="dxa"/>
          </w:tcPr>
          <w:p w14:paraId="12EB3D2C" w14:textId="2A777453"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HMY</w:t>
            </w:r>
          </w:p>
        </w:tc>
        <w:tc>
          <w:tcPr>
            <w:tcW w:w="2700" w:type="dxa"/>
          </w:tcPr>
          <w:p w14:paraId="6596817F" w14:textId="79BAF7B8"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Harmony</w:t>
            </w:r>
          </w:p>
        </w:tc>
        <w:tc>
          <w:tcPr>
            <w:tcW w:w="5750" w:type="dxa"/>
          </w:tcPr>
          <w:p w14:paraId="60AD3A99" w14:textId="016C841A"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Used when more than one writer treats the same material, as in the four Gospels.</w:t>
            </w:r>
          </w:p>
        </w:tc>
      </w:tr>
      <w:tr w:rsidR="00D47B58" w:rsidRPr="00C772E8" w14:paraId="3AE1E7F8" w14:textId="5DB2E497" w:rsidTr="00DA6612">
        <w:tc>
          <w:tcPr>
            <w:tcW w:w="3116" w:type="dxa"/>
          </w:tcPr>
          <w:p w14:paraId="52D7147F" w14:textId="77777777"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w:t>
            </w:r>
            <w:proofErr w:type="spellStart"/>
            <w:r w:rsidRPr="00C772E8">
              <w:rPr>
                <w:rFonts w:ascii="Times New Roman" w:hAnsi="Times New Roman" w:cs="Times New Roman"/>
                <w:color w:val="000000"/>
                <w:highlight w:val="white"/>
              </w:rPr>
              <w:t>hebrew</w:t>
            </w:r>
            <w:proofErr w:type="spellEnd"/>
          </w:p>
        </w:tc>
        <w:tc>
          <w:tcPr>
            <w:tcW w:w="2009" w:type="dxa"/>
          </w:tcPr>
          <w:p w14:paraId="203A3530" w14:textId="580E6619"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HEB</w:t>
            </w:r>
          </w:p>
        </w:tc>
        <w:tc>
          <w:tcPr>
            <w:tcW w:w="2700" w:type="dxa"/>
          </w:tcPr>
          <w:p w14:paraId="74173F3C" w14:textId="14BE558B"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Hebrew</w:t>
            </w:r>
          </w:p>
        </w:tc>
        <w:tc>
          <w:tcPr>
            <w:tcW w:w="5750" w:type="dxa"/>
          </w:tcPr>
          <w:p w14:paraId="5D999AEF" w14:textId="5871FFDB"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Use when the note discusses an actual Hebrew term (see TRN).</w:t>
            </w:r>
          </w:p>
        </w:tc>
      </w:tr>
      <w:tr w:rsidR="00D47B58" w:rsidRPr="00C772E8" w14:paraId="1CB23D04" w14:textId="7A51BB72" w:rsidTr="00DA6612">
        <w:tc>
          <w:tcPr>
            <w:tcW w:w="3116" w:type="dxa"/>
          </w:tcPr>
          <w:p w14:paraId="078CE2A6" w14:textId="77777777"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reference-label-history</w:t>
            </w:r>
          </w:p>
        </w:tc>
        <w:tc>
          <w:tcPr>
            <w:tcW w:w="2009" w:type="dxa"/>
          </w:tcPr>
          <w:p w14:paraId="42DFADB5" w14:textId="6270FE39"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HST</w:t>
            </w:r>
          </w:p>
        </w:tc>
        <w:tc>
          <w:tcPr>
            <w:tcW w:w="2700" w:type="dxa"/>
          </w:tcPr>
          <w:p w14:paraId="1A17C376" w14:textId="7DCE5785"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History</w:t>
            </w:r>
          </w:p>
        </w:tc>
        <w:tc>
          <w:tcPr>
            <w:tcW w:w="5750" w:type="dxa"/>
          </w:tcPr>
          <w:p w14:paraId="7F6776E9" w14:textId="5594BFD8"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Notes giving historical background.</w:t>
            </w:r>
          </w:p>
        </w:tc>
      </w:tr>
      <w:tr w:rsidR="00D47B58" w:rsidRPr="00C772E8" w14:paraId="1EB6805E" w14:textId="51D29A13" w:rsidTr="00DA6612">
        <w:tc>
          <w:tcPr>
            <w:tcW w:w="3116" w:type="dxa"/>
          </w:tcPr>
          <w:p w14:paraId="7CDB904D" w14:textId="77777777"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w:t>
            </w:r>
            <w:proofErr w:type="spellStart"/>
            <w:r w:rsidRPr="00C772E8">
              <w:rPr>
                <w:rFonts w:ascii="Times New Roman" w:hAnsi="Times New Roman" w:cs="Times New Roman"/>
                <w:color w:val="000000"/>
                <w:highlight w:val="white"/>
              </w:rPr>
              <w:t>ie</w:t>
            </w:r>
            <w:proofErr w:type="spellEnd"/>
          </w:p>
        </w:tc>
        <w:tc>
          <w:tcPr>
            <w:tcW w:w="2009" w:type="dxa"/>
          </w:tcPr>
          <w:p w14:paraId="0E3BCF9D" w14:textId="584FBF45"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IE</w:t>
            </w:r>
          </w:p>
        </w:tc>
        <w:tc>
          <w:tcPr>
            <w:tcW w:w="2700" w:type="dxa"/>
          </w:tcPr>
          <w:p w14:paraId="27987468" w14:textId="06D694DC"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IE</w:t>
            </w:r>
          </w:p>
        </w:tc>
        <w:tc>
          <w:tcPr>
            <w:tcW w:w="5750" w:type="dxa"/>
          </w:tcPr>
          <w:p w14:paraId="0A215BCF" w14:textId="3634819B"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Explanatory note.</w:t>
            </w:r>
          </w:p>
        </w:tc>
      </w:tr>
      <w:tr w:rsidR="00D47B58" w:rsidRPr="00C772E8" w14:paraId="2CAF96AD" w14:textId="6497FBB8" w:rsidTr="00DA6612">
        <w:tc>
          <w:tcPr>
            <w:tcW w:w="3116" w:type="dxa"/>
          </w:tcPr>
          <w:p w14:paraId="5A674DAB" w14:textId="77777777"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reference-label-or</w:t>
            </w:r>
          </w:p>
        </w:tc>
        <w:tc>
          <w:tcPr>
            <w:tcW w:w="2009" w:type="dxa"/>
          </w:tcPr>
          <w:p w14:paraId="481B89D0" w14:textId="1D27E843"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OR</w:t>
            </w:r>
          </w:p>
        </w:tc>
        <w:tc>
          <w:tcPr>
            <w:tcW w:w="2700" w:type="dxa"/>
          </w:tcPr>
          <w:p w14:paraId="6382D198" w14:textId="61D142EC"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OR</w:t>
            </w:r>
          </w:p>
        </w:tc>
        <w:tc>
          <w:tcPr>
            <w:tcW w:w="5750" w:type="dxa"/>
          </w:tcPr>
          <w:p w14:paraId="734A4BE7" w14:textId="0C1CAB4D"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Used when the source language is not ambiguous but the translation given doesn't capture all the nuance (see ALT).</w:t>
            </w:r>
          </w:p>
        </w:tc>
      </w:tr>
      <w:tr w:rsidR="00D47B58" w:rsidRPr="00C772E8" w14:paraId="69701160" w14:textId="707B17F9" w:rsidTr="00DA6612">
        <w:tc>
          <w:tcPr>
            <w:tcW w:w="3116" w:type="dxa"/>
          </w:tcPr>
          <w:p w14:paraId="6734383F" w14:textId="77777777"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reference-label-phrasing</w:t>
            </w:r>
          </w:p>
        </w:tc>
        <w:tc>
          <w:tcPr>
            <w:tcW w:w="2009" w:type="dxa"/>
          </w:tcPr>
          <w:p w14:paraId="595EBB14" w14:textId="2C8F0225"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PHR</w:t>
            </w:r>
          </w:p>
        </w:tc>
        <w:tc>
          <w:tcPr>
            <w:tcW w:w="2700" w:type="dxa"/>
          </w:tcPr>
          <w:p w14:paraId="223BC137" w14:textId="7CA24D71"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Phrase</w:t>
            </w:r>
          </w:p>
        </w:tc>
        <w:tc>
          <w:tcPr>
            <w:tcW w:w="5750" w:type="dxa"/>
          </w:tcPr>
          <w:p w14:paraId="5D020890" w14:textId="4AC3886C"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Used when one scripture paraphrases or echoes another.</w:t>
            </w:r>
          </w:p>
        </w:tc>
      </w:tr>
      <w:tr w:rsidR="00D47B58" w:rsidRPr="00C772E8" w14:paraId="4E41FE9C" w14:textId="4B2D03E7" w:rsidTr="00DA6612">
        <w:tc>
          <w:tcPr>
            <w:tcW w:w="3116" w:type="dxa"/>
          </w:tcPr>
          <w:p w14:paraId="0B578B23" w14:textId="77777777"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reference-label-quotation</w:t>
            </w:r>
          </w:p>
        </w:tc>
        <w:tc>
          <w:tcPr>
            <w:tcW w:w="2009" w:type="dxa"/>
          </w:tcPr>
          <w:p w14:paraId="38816979" w14:textId="7B09FB21"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QUO</w:t>
            </w:r>
          </w:p>
        </w:tc>
        <w:tc>
          <w:tcPr>
            <w:tcW w:w="2700" w:type="dxa"/>
          </w:tcPr>
          <w:p w14:paraId="57B823CB" w14:textId="06D7E001"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Quotation</w:t>
            </w:r>
          </w:p>
        </w:tc>
        <w:tc>
          <w:tcPr>
            <w:tcW w:w="5750" w:type="dxa"/>
          </w:tcPr>
          <w:p w14:paraId="11438986" w14:textId="2B80C82F"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Used when one scripture explicitly quotes another. This is also used for JST quotations.</w:t>
            </w:r>
          </w:p>
        </w:tc>
      </w:tr>
      <w:tr w:rsidR="00D47B58" w:rsidRPr="00C772E8" w14:paraId="46C36CF6" w14:textId="77777777" w:rsidTr="00DA6612">
        <w:tc>
          <w:tcPr>
            <w:tcW w:w="3116" w:type="dxa"/>
          </w:tcPr>
          <w:p w14:paraId="053DFFFC" w14:textId="0099380B"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w:t>
            </w:r>
            <w:proofErr w:type="spellStart"/>
            <w:r>
              <w:rPr>
                <w:rFonts w:ascii="Times New Roman" w:hAnsi="Times New Roman" w:cs="Times New Roman"/>
                <w:color w:val="000000"/>
                <w:highlight w:val="white"/>
              </w:rPr>
              <w:t>tg</w:t>
            </w:r>
            <w:proofErr w:type="spellEnd"/>
          </w:p>
        </w:tc>
        <w:tc>
          <w:tcPr>
            <w:tcW w:w="2009" w:type="dxa"/>
          </w:tcPr>
          <w:p w14:paraId="36922B7B" w14:textId="6FCE5984"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TG</w:t>
            </w:r>
          </w:p>
        </w:tc>
        <w:tc>
          <w:tcPr>
            <w:tcW w:w="2700" w:type="dxa"/>
          </w:tcPr>
          <w:p w14:paraId="209AEBB9" w14:textId="57369DBD"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Topical Guide</w:t>
            </w:r>
          </w:p>
        </w:tc>
        <w:tc>
          <w:tcPr>
            <w:tcW w:w="5750" w:type="dxa"/>
          </w:tcPr>
          <w:p w14:paraId="7251CA1B" w14:textId="01335289"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Reference to the Topical Guide in the back matter.</w:t>
            </w:r>
          </w:p>
        </w:tc>
      </w:tr>
      <w:tr w:rsidR="00D47B58" w:rsidRPr="00C772E8" w14:paraId="318A9620" w14:textId="03BAB002" w:rsidTr="00DA6612">
        <w:tc>
          <w:tcPr>
            <w:tcW w:w="3116" w:type="dxa"/>
          </w:tcPr>
          <w:p w14:paraId="54D174AC" w14:textId="77777777" w:rsidR="00D47B58" w:rsidRPr="00C772E8" w:rsidRDefault="00D47B58" w:rsidP="00D47B58">
            <w:pPr>
              <w:autoSpaceDE w:val="0"/>
              <w:autoSpaceDN w:val="0"/>
              <w:adjustRightInd w:val="0"/>
              <w:rPr>
                <w:rFonts w:ascii="Times New Roman" w:hAnsi="Times New Roman" w:cs="Times New Roman"/>
                <w:color w:val="000000"/>
                <w:highlight w:val="white"/>
              </w:rPr>
            </w:pPr>
            <w:r w:rsidRPr="00C772E8">
              <w:rPr>
                <w:rFonts w:ascii="Times New Roman" w:hAnsi="Times New Roman" w:cs="Times New Roman"/>
                <w:color w:val="000000"/>
                <w:highlight w:val="white"/>
              </w:rPr>
              <w:t>reference-label-translation</w:t>
            </w:r>
          </w:p>
        </w:tc>
        <w:tc>
          <w:tcPr>
            <w:tcW w:w="2009" w:type="dxa"/>
          </w:tcPr>
          <w:p w14:paraId="0275C7B3" w14:textId="5F30ADD8"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TRN</w:t>
            </w:r>
          </w:p>
        </w:tc>
        <w:tc>
          <w:tcPr>
            <w:tcW w:w="2700" w:type="dxa"/>
          </w:tcPr>
          <w:p w14:paraId="7B7AD000" w14:textId="22B94B99" w:rsidR="00D47B58" w:rsidRPr="00C772E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Translation</w:t>
            </w:r>
          </w:p>
        </w:tc>
        <w:tc>
          <w:tcPr>
            <w:tcW w:w="5750" w:type="dxa"/>
          </w:tcPr>
          <w:p w14:paraId="770D4FB9" w14:textId="5B396BA6" w:rsidR="00D47B58" w:rsidRDefault="00D47B58" w:rsidP="00D47B58">
            <w:pPr>
              <w:autoSpaceDE w:val="0"/>
              <w:autoSpaceDN w:val="0"/>
              <w:adjustRightInd w:val="0"/>
              <w:rPr>
                <w:rFonts w:ascii="Times New Roman" w:hAnsi="Times New Roman" w:cs="Times New Roman"/>
                <w:color w:val="000000"/>
                <w:highlight w:val="white"/>
              </w:rPr>
            </w:pPr>
            <w:r>
              <w:rPr>
                <w:rFonts w:ascii="Times New Roman" w:hAnsi="Times New Roman" w:cs="Times New Roman"/>
                <w:color w:val="000000"/>
                <w:highlight w:val="white"/>
              </w:rPr>
              <w:t>Used when alternate text is provided for an unclear wording. This may be because of archaic language or mistranslation.</w:t>
            </w:r>
          </w:p>
        </w:tc>
      </w:tr>
    </w:tbl>
    <w:p w14:paraId="6A2E3B25" w14:textId="77777777" w:rsidR="00C772E8" w:rsidRPr="00330626" w:rsidRDefault="00C772E8" w:rsidP="00330626">
      <w:pPr>
        <w:rPr>
          <w:highlight w:val="yellow"/>
        </w:rPr>
      </w:pPr>
    </w:p>
    <w:p w14:paraId="25F842DE" w14:textId="4E25A402" w:rsidR="00F161DF" w:rsidRDefault="00F161DF" w:rsidP="00096120">
      <w:r>
        <w:t xml:space="preserve">14. </w:t>
      </w:r>
      <w:r w:rsidR="002157EF">
        <w:t xml:space="preserve">Note phrase and reference lines can have the following children, corresponding to </w:t>
      </w:r>
      <w:r w:rsidR="00BF370C">
        <w:t xml:space="preserve">links and </w:t>
      </w:r>
      <w:r w:rsidR="002157EF">
        <w:t>character formatting</w:t>
      </w:r>
    </w:p>
    <w:p w14:paraId="029EC4A7" w14:textId="1FEAE05C" w:rsidR="00BF370C" w:rsidRDefault="00BF370C" w:rsidP="00096120"/>
    <w:tbl>
      <w:tblPr>
        <w:tblStyle w:val="TableGrid"/>
        <w:tblW w:w="0" w:type="auto"/>
        <w:tblLook w:val="04A0" w:firstRow="1" w:lastRow="0" w:firstColumn="1" w:lastColumn="0" w:noHBand="0" w:noVBand="1"/>
      </w:tblPr>
      <w:tblGrid>
        <w:gridCol w:w="3116"/>
        <w:gridCol w:w="3117"/>
        <w:gridCol w:w="3117"/>
      </w:tblGrid>
      <w:tr w:rsidR="00BF370C" w14:paraId="3BCE48B3" w14:textId="77777777" w:rsidTr="00BF370C">
        <w:tc>
          <w:tcPr>
            <w:tcW w:w="3116" w:type="dxa"/>
          </w:tcPr>
          <w:p w14:paraId="2814FCFF" w14:textId="5DD2DD9E" w:rsidR="00BF370C" w:rsidRDefault="00BF370C" w:rsidP="00096120">
            <w:r>
              <w:t>a</w:t>
            </w:r>
            <w:r w:rsidR="00177F71">
              <w:t xml:space="preserve"> class="scripture-ref"</w:t>
            </w:r>
          </w:p>
        </w:tc>
        <w:tc>
          <w:tcPr>
            <w:tcW w:w="3117" w:type="dxa"/>
          </w:tcPr>
          <w:p w14:paraId="483A8686" w14:textId="516F5949" w:rsidR="00BF370C" w:rsidRDefault="00BF370C" w:rsidP="00096120">
            <w:r>
              <w:t>scripture reference</w:t>
            </w:r>
          </w:p>
        </w:tc>
        <w:tc>
          <w:tcPr>
            <w:tcW w:w="3117" w:type="dxa"/>
          </w:tcPr>
          <w:p w14:paraId="08478BE3" w14:textId="7D8CE105" w:rsidR="00BF370C" w:rsidRDefault="00BF370C" w:rsidP="00096120"/>
        </w:tc>
      </w:tr>
      <w:tr w:rsidR="00BF370C" w14:paraId="7D5742A4" w14:textId="77777777" w:rsidTr="00BF370C">
        <w:tc>
          <w:tcPr>
            <w:tcW w:w="3116" w:type="dxa"/>
          </w:tcPr>
          <w:p w14:paraId="73C7CE92" w14:textId="4BCB866D" w:rsidR="00BF370C" w:rsidRDefault="001D3557" w:rsidP="00096120">
            <w:r>
              <w:t>deletion</w:t>
            </w:r>
          </w:p>
        </w:tc>
        <w:tc>
          <w:tcPr>
            <w:tcW w:w="3117" w:type="dxa"/>
          </w:tcPr>
          <w:p w14:paraId="534CA52F" w14:textId="45E513A9" w:rsidR="00BF370C" w:rsidRDefault="00D3714B" w:rsidP="00096120">
            <w:r>
              <w:t>deletion</w:t>
            </w:r>
          </w:p>
        </w:tc>
        <w:tc>
          <w:tcPr>
            <w:tcW w:w="3117" w:type="dxa"/>
          </w:tcPr>
          <w:p w14:paraId="3E69D683" w14:textId="7B0D8711" w:rsidR="00BF370C" w:rsidRDefault="00D3714B" w:rsidP="00096120">
            <w:r>
              <w:t>render as italics, and surround text in square brackets.</w:t>
            </w:r>
          </w:p>
        </w:tc>
      </w:tr>
      <w:tr w:rsidR="001D3557" w14:paraId="47B7FDBA" w14:textId="77777777" w:rsidTr="00BF370C">
        <w:tc>
          <w:tcPr>
            <w:tcW w:w="3116" w:type="dxa"/>
          </w:tcPr>
          <w:p w14:paraId="52A09AF9" w14:textId="79B48E82" w:rsidR="001D3557" w:rsidRDefault="003E75EC" w:rsidP="00096120">
            <w:proofErr w:type="spellStart"/>
            <w:r>
              <w:t>em</w:t>
            </w:r>
            <w:proofErr w:type="spellEnd"/>
          </w:p>
        </w:tc>
        <w:tc>
          <w:tcPr>
            <w:tcW w:w="3117" w:type="dxa"/>
          </w:tcPr>
          <w:p w14:paraId="7666176C" w14:textId="45ADC604" w:rsidR="001D3557" w:rsidRDefault="001D3557" w:rsidP="00096120">
            <w:r>
              <w:t>italics</w:t>
            </w:r>
          </w:p>
        </w:tc>
        <w:tc>
          <w:tcPr>
            <w:tcW w:w="3117" w:type="dxa"/>
          </w:tcPr>
          <w:p w14:paraId="459D89B0" w14:textId="77777777" w:rsidR="001D3557" w:rsidRDefault="001D3557" w:rsidP="00096120"/>
        </w:tc>
      </w:tr>
      <w:tr w:rsidR="001D3557" w14:paraId="0027DEBA" w14:textId="77777777" w:rsidTr="00BF370C">
        <w:tc>
          <w:tcPr>
            <w:tcW w:w="3116" w:type="dxa"/>
          </w:tcPr>
          <w:p w14:paraId="267E1C26" w14:textId="1ECC0511" w:rsidR="001D3557" w:rsidRDefault="003E75EC" w:rsidP="00096120">
            <w:proofErr w:type="spellStart"/>
            <w:r>
              <w:t>i</w:t>
            </w:r>
            <w:proofErr w:type="spellEnd"/>
          </w:p>
        </w:tc>
        <w:tc>
          <w:tcPr>
            <w:tcW w:w="3117" w:type="dxa"/>
          </w:tcPr>
          <w:p w14:paraId="4F0AB612" w14:textId="5FA59F9F" w:rsidR="001D3557" w:rsidRDefault="001D3557" w:rsidP="00096120">
            <w:r>
              <w:t>italics</w:t>
            </w:r>
          </w:p>
        </w:tc>
        <w:tc>
          <w:tcPr>
            <w:tcW w:w="3117" w:type="dxa"/>
          </w:tcPr>
          <w:p w14:paraId="68F7A954" w14:textId="77777777" w:rsidR="001D3557" w:rsidRDefault="001D3557" w:rsidP="00096120"/>
        </w:tc>
      </w:tr>
      <w:tr w:rsidR="003E75EC" w14:paraId="441D996D" w14:textId="77777777" w:rsidTr="00BF370C">
        <w:tc>
          <w:tcPr>
            <w:tcW w:w="3116" w:type="dxa"/>
          </w:tcPr>
          <w:p w14:paraId="559F9C06" w14:textId="32591990" w:rsidR="003E75EC" w:rsidRDefault="003E75EC" w:rsidP="00096120">
            <w:r>
              <w:t>insertion</w:t>
            </w:r>
          </w:p>
        </w:tc>
        <w:tc>
          <w:tcPr>
            <w:tcW w:w="3117" w:type="dxa"/>
          </w:tcPr>
          <w:p w14:paraId="67316F04" w14:textId="227568D9" w:rsidR="003E75EC" w:rsidRDefault="00D3714B" w:rsidP="00096120">
            <w:r>
              <w:t>insertion</w:t>
            </w:r>
          </w:p>
        </w:tc>
        <w:tc>
          <w:tcPr>
            <w:tcW w:w="3117" w:type="dxa"/>
          </w:tcPr>
          <w:p w14:paraId="6E7CC850" w14:textId="1F2F3FA4" w:rsidR="003E75EC" w:rsidRDefault="00D3714B" w:rsidP="00096120">
            <w:r>
              <w:t>render as bold</w:t>
            </w:r>
          </w:p>
        </w:tc>
      </w:tr>
      <w:tr w:rsidR="006373C9" w14:paraId="7B0EAAEE" w14:textId="77777777" w:rsidTr="00BF370C">
        <w:tc>
          <w:tcPr>
            <w:tcW w:w="3116" w:type="dxa"/>
          </w:tcPr>
          <w:p w14:paraId="4C1FA622" w14:textId="6B40BD6D" w:rsidR="006373C9" w:rsidRDefault="006373C9" w:rsidP="00096120">
            <w:r>
              <w:t>span class=</w:t>
            </w:r>
            <w:r w:rsidR="00177F71">
              <w:t>"</w:t>
            </w:r>
            <w:r>
              <w:t>small-caps</w:t>
            </w:r>
            <w:r w:rsidR="00177F71">
              <w:t>"</w:t>
            </w:r>
          </w:p>
        </w:tc>
        <w:tc>
          <w:tcPr>
            <w:tcW w:w="3117" w:type="dxa"/>
          </w:tcPr>
          <w:p w14:paraId="753534E0" w14:textId="1337D678" w:rsidR="006373C9" w:rsidRDefault="006373C9" w:rsidP="00096120">
            <w:r>
              <w:t>small caps</w:t>
            </w:r>
          </w:p>
        </w:tc>
        <w:tc>
          <w:tcPr>
            <w:tcW w:w="3117" w:type="dxa"/>
          </w:tcPr>
          <w:p w14:paraId="153A5D01" w14:textId="77777777" w:rsidR="006373C9" w:rsidRDefault="006373C9" w:rsidP="00096120"/>
        </w:tc>
      </w:tr>
      <w:tr w:rsidR="006373C9" w14:paraId="65487B48" w14:textId="77777777" w:rsidTr="00BF370C">
        <w:tc>
          <w:tcPr>
            <w:tcW w:w="3116" w:type="dxa"/>
          </w:tcPr>
          <w:p w14:paraId="1004690E" w14:textId="4F7C2216" w:rsidR="006373C9" w:rsidRDefault="006373C9" w:rsidP="00096120">
            <w:r>
              <w:t>span class=</w:t>
            </w:r>
            <w:r w:rsidR="00177F71">
              <w:t>"</w:t>
            </w:r>
            <w:r>
              <w:t>small</w:t>
            </w:r>
            <w:r w:rsidR="00177F71">
              <w:t>"</w:t>
            </w:r>
          </w:p>
        </w:tc>
        <w:tc>
          <w:tcPr>
            <w:tcW w:w="3117" w:type="dxa"/>
          </w:tcPr>
          <w:p w14:paraId="143EF6CF" w14:textId="783B3342" w:rsidR="006373C9" w:rsidRDefault="006373C9" w:rsidP="00096120">
            <w:r>
              <w:t>small</w:t>
            </w:r>
          </w:p>
        </w:tc>
        <w:tc>
          <w:tcPr>
            <w:tcW w:w="3117" w:type="dxa"/>
          </w:tcPr>
          <w:p w14:paraId="4E8F29EE" w14:textId="12C3AC6F" w:rsidR="006373C9" w:rsidRDefault="006373C9" w:rsidP="00096120">
            <w:r>
              <w:t>convert to lowercase and render as small caps</w:t>
            </w:r>
          </w:p>
        </w:tc>
      </w:tr>
      <w:tr w:rsidR="006373C9" w14:paraId="4C29E859" w14:textId="77777777" w:rsidTr="00BF370C">
        <w:tc>
          <w:tcPr>
            <w:tcW w:w="3116" w:type="dxa"/>
          </w:tcPr>
          <w:p w14:paraId="3F8069C9" w14:textId="3C50B2EC" w:rsidR="006373C9" w:rsidRDefault="00B314E8" w:rsidP="00096120">
            <w:r>
              <w:t>strong</w:t>
            </w:r>
          </w:p>
        </w:tc>
        <w:tc>
          <w:tcPr>
            <w:tcW w:w="3117" w:type="dxa"/>
          </w:tcPr>
          <w:p w14:paraId="3C67097B" w14:textId="3ECF7427" w:rsidR="006373C9" w:rsidRDefault="00B314E8" w:rsidP="00096120">
            <w:r>
              <w:t>strong</w:t>
            </w:r>
          </w:p>
        </w:tc>
        <w:tc>
          <w:tcPr>
            <w:tcW w:w="3117" w:type="dxa"/>
          </w:tcPr>
          <w:p w14:paraId="57E375C5" w14:textId="77777777" w:rsidR="006373C9" w:rsidRDefault="006373C9" w:rsidP="00096120"/>
        </w:tc>
      </w:tr>
    </w:tbl>
    <w:p w14:paraId="10ADEAEA" w14:textId="77777777" w:rsidR="00BF370C" w:rsidRDefault="00BF370C" w:rsidP="00096120"/>
    <w:p w14:paraId="1B09BF90" w14:textId="6006C769" w:rsidR="000B64A2" w:rsidRDefault="000B64A2" w:rsidP="00096120"/>
    <w:p w14:paraId="032FA5CC" w14:textId="279F8787" w:rsidR="005C5035" w:rsidRDefault="000B64A2" w:rsidP="00096120">
      <w:r w:rsidRPr="000A3B75">
        <w:t>1</w:t>
      </w:r>
      <w:r w:rsidR="00112F67" w:rsidRPr="000A3B75">
        <w:t>5</w:t>
      </w:r>
      <w:r w:rsidRPr="000A3B75">
        <w:t xml:space="preserve">. </w:t>
      </w:r>
      <w:r w:rsidR="00C73EC6">
        <w:t xml:space="preserve">In </w:t>
      </w:r>
      <w:proofErr w:type="spellStart"/>
      <w:r w:rsidR="00C73EC6">
        <w:t>OneInThineHand</w:t>
      </w:r>
      <w:proofErr w:type="spellEnd"/>
      <w:r w:rsidR="00C73EC6">
        <w:t xml:space="preserve">, notes from </w:t>
      </w:r>
      <w:r w:rsidR="00A007AE">
        <w:t xml:space="preserve">all included overlays must be </w:t>
      </w:r>
      <w:r w:rsidR="000A3B75">
        <w:t xml:space="preserve">sorted and </w:t>
      </w:r>
      <w:r w:rsidR="00A007AE">
        <w:t>merged.</w:t>
      </w:r>
    </w:p>
    <w:p w14:paraId="72A95F8F" w14:textId="740242B8" w:rsidR="005A51B1" w:rsidRDefault="005A51B1" w:rsidP="006F4414">
      <w:pPr>
        <w:pStyle w:val="ListParagraph"/>
        <w:numPr>
          <w:ilvl w:val="0"/>
          <w:numId w:val="2"/>
        </w:numPr>
      </w:pPr>
      <w:r>
        <w:t>Sort &lt;note&gt; eleme</w:t>
      </w:r>
      <w:r w:rsidR="0041215D">
        <w:t>nt</w:t>
      </w:r>
      <w:r>
        <w:t xml:space="preserve">s </w:t>
      </w:r>
      <w:r w:rsidR="000A3B75">
        <w:t xml:space="preserve">sequentially </w:t>
      </w:r>
      <w:r>
        <w:t>when the chapters have the same @data-</w:t>
      </w:r>
      <w:proofErr w:type="spellStart"/>
      <w:r>
        <w:t>uri</w:t>
      </w:r>
      <w:proofErr w:type="spellEnd"/>
      <w:r>
        <w:t xml:space="preserve"> and the notes do not have the same @id.</w:t>
      </w:r>
    </w:p>
    <w:p w14:paraId="7F1CE7A6" w14:textId="1068043A" w:rsidR="000B64A2" w:rsidRDefault="005C5035" w:rsidP="006F4414">
      <w:pPr>
        <w:pStyle w:val="ListParagraph"/>
        <w:numPr>
          <w:ilvl w:val="0"/>
          <w:numId w:val="2"/>
        </w:numPr>
      </w:pPr>
      <w:r>
        <w:t xml:space="preserve">Merge &lt;note&gt; elements </w:t>
      </w:r>
      <w:r w:rsidR="00791F3D">
        <w:t xml:space="preserve">that are not empty </w:t>
      </w:r>
      <w:r>
        <w:t xml:space="preserve">when </w:t>
      </w:r>
      <w:r w:rsidR="00E01A3C">
        <w:t>the chapter</w:t>
      </w:r>
      <w:r w:rsidR="009F4636">
        <w:t>s</w:t>
      </w:r>
      <w:r w:rsidR="00E01A3C">
        <w:t xml:space="preserve"> </w:t>
      </w:r>
      <w:r w:rsidR="009F4636">
        <w:t xml:space="preserve">have </w:t>
      </w:r>
      <w:r w:rsidR="00E01A3C">
        <w:t xml:space="preserve">the same </w:t>
      </w:r>
      <w:r w:rsidR="009F4636">
        <w:t>@</w:t>
      </w:r>
      <w:r w:rsidR="00E01A3C">
        <w:t>data-</w:t>
      </w:r>
      <w:proofErr w:type="spellStart"/>
      <w:r w:rsidR="00E01A3C">
        <w:t>uri</w:t>
      </w:r>
      <w:proofErr w:type="spellEnd"/>
      <w:r w:rsidR="00E01A3C">
        <w:t xml:space="preserve"> and the notes @id</w:t>
      </w:r>
      <w:r w:rsidR="00BE0E3B">
        <w:t xml:space="preserve"> values match</w:t>
      </w:r>
      <w:r w:rsidR="005A51B1">
        <w:t>.</w:t>
      </w:r>
      <w:r w:rsidR="00F25DB5">
        <w:t xml:space="preserve"> </w:t>
      </w:r>
      <w:r w:rsidR="006F4414">
        <w:t xml:space="preserve">If the overlay type </w:t>
      </w:r>
      <w:r w:rsidR="00D33BC5">
        <w:t>differs</w:t>
      </w:r>
      <w:r w:rsidR="006F4414">
        <w:t>, place all "new</w:t>
      </w:r>
      <w:r w:rsidR="004F1145">
        <w:t>-note</w:t>
      </w:r>
      <w:r w:rsidR="006F4414">
        <w:t>" note &lt;div&gt; elements first, followed by "</w:t>
      </w:r>
      <w:proofErr w:type="spellStart"/>
      <w:r w:rsidR="006F4414">
        <w:t>eng</w:t>
      </w:r>
      <w:proofErr w:type="spellEnd"/>
      <w:r w:rsidR="004F1145">
        <w:t>-note</w:t>
      </w:r>
      <w:r w:rsidR="006F4414">
        <w:t>", followed by "</w:t>
      </w:r>
      <w:proofErr w:type="spellStart"/>
      <w:r w:rsidR="006F4414">
        <w:t>tc</w:t>
      </w:r>
      <w:proofErr w:type="spellEnd"/>
      <w:r w:rsidR="004F1145">
        <w:t>-note</w:t>
      </w:r>
      <w:r w:rsidR="006F4414">
        <w:t>".</w:t>
      </w:r>
    </w:p>
    <w:p w14:paraId="27DC80C6" w14:textId="7DF940B4" w:rsidR="00960FB6" w:rsidRDefault="006F4414" w:rsidP="006F4414">
      <w:pPr>
        <w:pStyle w:val="ListParagraph"/>
        <w:numPr>
          <w:ilvl w:val="0"/>
          <w:numId w:val="2"/>
        </w:numPr>
      </w:pPr>
      <w:r>
        <w:t>Sort note &lt;div&gt; elements within merged notes when the offsets do not match. If elements have the same starting offset, place the longer one first.</w:t>
      </w:r>
    </w:p>
    <w:p w14:paraId="363F1521" w14:textId="3240644B" w:rsidR="0041215D" w:rsidRDefault="006F4414" w:rsidP="006F4414">
      <w:pPr>
        <w:pStyle w:val="ListParagraph"/>
        <w:numPr>
          <w:ilvl w:val="0"/>
          <w:numId w:val="2"/>
        </w:numPr>
      </w:pPr>
      <w:r>
        <w:t>Merge note &lt;div&gt; elements within merged notes when the offsets match exactly. Keep the first note phrase only. Sort note references by category, in this order</w:t>
      </w:r>
    </w:p>
    <w:p w14:paraId="2A227FE1"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HMY</w:t>
      </w:r>
    </w:p>
    <w:p w14:paraId="0890AA9E"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QUO</w:t>
      </w:r>
    </w:p>
    <w:p w14:paraId="30EE14A4"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PHR</w:t>
      </w:r>
    </w:p>
    <w:p w14:paraId="389A959F"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TRN</w:t>
      </w:r>
    </w:p>
    <w:p w14:paraId="1D6AB786"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ALT</w:t>
      </w:r>
    </w:p>
    <w:p w14:paraId="220F6374"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CR</w:t>
      </w:r>
    </w:p>
    <w:p w14:paraId="43670F77"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HST</w:t>
      </w:r>
    </w:p>
    <w:p w14:paraId="63C91627"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GEO</w:t>
      </w:r>
    </w:p>
    <w:p w14:paraId="3463D2C6"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GR</w:t>
      </w:r>
    </w:p>
    <w:p w14:paraId="7499D263"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HEB</w:t>
      </w:r>
    </w:p>
    <w:p w14:paraId="4C2925B6"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IE</w:t>
      </w:r>
    </w:p>
    <w:p w14:paraId="619899CC"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OR</w:t>
      </w:r>
    </w:p>
    <w:p w14:paraId="3651096B"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TG</w:t>
      </w:r>
    </w:p>
    <w:p w14:paraId="5DE30D55" w14:textId="77777777"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BD</w:t>
      </w:r>
    </w:p>
    <w:p w14:paraId="6B5455F4" w14:textId="4F787F42" w:rsidR="000A3B75" w:rsidRPr="000A3B75" w:rsidRDefault="000A3B75" w:rsidP="000A3B75">
      <w:pPr>
        <w:pStyle w:val="ListParagraph"/>
        <w:numPr>
          <w:ilvl w:val="1"/>
          <w:numId w:val="2"/>
        </w:numPr>
        <w:autoSpaceDE w:val="0"/>
        <w:autoSpaceDN w:val="0"/>
        <w:adjustRightInd w:val="0"/>
        <w:rPr>
          <w:rFonts w:ascii="Times New Roman" w:hAnsi="Times New Roman" w:cs="Times New Roman"/>
          <w:color w:val="000000"/>
          <w:highlight w:val="white"/>
        </w:rPr>
      </w:pPr>
      <w:r w:rsidRPr="000A3B75">
        <w:rPr>
          <w:rFonts w:ascii="Times New Roman" w:hAnsi="Times New Roman" w:cs="Times New Roman"/>
          <w:color w:val="000000"/>
          <w:highlight w:val="white"/>
        </w:rPr>
        <w:t>GS</w:t>
      </w:r>
    </w:p>
    <w:p w14:paraId="6741500B" w14:textId="77777777" w:rsidR="0041215D" w:rsidRDefault="0041215D" w:rsidP="00096120"/>
    <w:p w14:paraId="4F6AE388" w14:textId="49CFFF10" w:rsidR="009F4636" w:rsidRDefault="009F4636" w:rsidP="00096120"/>
    <w:sectPr w:rsidR="009F4636">
      <w:endnotePr>
        <w:numFmt w:val="decimal"/>
      </w:endnote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87926"/>
    <w:multiLevelType w:val="multilevel"/>
    <w:tmpl w:val="0409001D"/>
    <w:styleLink w:val="nav-toc-list"/>
    <w:lvl w:ilvl="0">
      <w:start w:val="1"/>
      <w:numFmt w:val="none"/>
      <w:lvlText w:val="%1"/>
      <w:lvlJc w:val="left"/>
      <w:pPr>
        <w:ind w:left="360" w:hanging="360"/>
      </w:pPr>
      <w:rPr>
        <w:rFonts w:ascii="Times New Roman" w:hAnsi="Times New Roman" w:hint="default"/>
      </w:rPr>
    </w:lvl>
    <w:lvl w:ilvl="1">
      <w:start w:val="1"/>
      <w:numFmt w:val="none"/>
      <w:lvlText w:val="%2"/>
      <w:lvlJc w:val="left"/>
      <w:pPr>
        <w:ind w:left="720" w:hanging="360"/>
      </w:pPr>
      <w:rPr>
        <w:rFonts w:ascii="Times New Roman" w:hAnsi="Times New Roman" w:hint="default"/>
      </w:rPr>
    </w:lvl>
    <w:lvl w:ilvl="2">
      <w:start w:val="1"/>
      <w:numFmt w:val="none"/>
      <w:lvlText w:val="%3"/>
      <w:lvlJc w:val="left"/>
      <w:pPr>
        <w:ind w:left="1080" w:hanging="360"/>
      </w:pPr>
      <w:rPr>
        <w:rFonts w:ascii="Times New Roman" w:hAnsi="Times New Roman" w:hint="default"/>
      </w:rPr>
    </w:lvl>
    <w:lvl w:ilvl="3">
      <w:start w:val="1"/>
      <w:numFmt w:val="none"/>
      <w:lvlText w:val="%4"/>
      <w:lvlJc w:val="left"/>
      <w:pPr>
        <w:ind w:left="1440" w:hanging="360"/>
      </w:pPr>
      <w:rPr>
        <w:rFonts w:ascii="Times New Roman" w:hAnsi="Times New Roman" w:hint="default"/>
      </w:rPr>
    </w:lvl>
    <w:lvl w:ilvl="4">
      <w:start w:val="1"/>
      <w:numFmt w:val="none"/>
      <w:lvlText w:val="%5"/>
      <w:lvlJc w:val="left"/>
      <w:pPr>
        <w:ind w:left="1800" w:hanging="360"/>
      </w:pPr>
      <w:rPr>
        <w:rFonts w:ascii="Times New Roman" w:hAnsi="Times New Roman" w:hint="default"/>
      </w:rPr>
    </w:lvl>
    <w:lvl w:ilvl="5">
      <w:start w:val="1"/>
      <w:numFmt w:val="none"/>
      <w:lvlText w:val="%6"/>
      <w:lvlJc w:val="left"/>
      <w:pPr>
        <w:ind w:left="2160" w:hanging="360"/>
      </w:pPr>
      <w:rPr>
        <w:rFonts w:ascii="Times New Roman" w:hAnsi="Times New Roman" w:hint="default"/>
      </w:rPr>
    </w:lvl>
    <w:lvl w:ilvl="6">
      <w:start w:val="1"/>
      <w:numFmt w:val="none"/>
      <w:lvlText w:val="%7"/>
      <w:lvlJc w:val="left"/>
      <w:pPr>
        <w:ind w:left="2520" w:hanging="360"/>
      </w:pPr>
      <w:rPr>
        <w:rFonts w:ascii="Times New Roman" w:hAnsi="Times New Roman" w:hint="default"/>
      </w:rPr>
    </w:lvl>
    <w:lvl w:ilvl="7">
      <w:start w:val="1"/>
      <w:numFmt w:val="none"/>
      <w:lvlText w:val="%8"/>
      <w:lvlJc w:val="left"/>
      <w:pPr>
        <w:ind w:left="2880" w:hanging="360"/>
      </w:pPr>
      <w:rPr>
        <w:rFonts w:ascii="Times New Roman" w:hAnsi="Times New Roman" w:hint="default"/>
      </w:rPr>
    </w:lvl>
    <w:lvl w:ilvl="8">
      <w:start w:val="1"/>
      <w:numFmt w:val="none"/>
      <w:lvlText w:val="%9"/>
      <w:lvlJc w:val="left"/>
      <w:pPr>
        <w:ind w:left="3240" w:hanging="360"/>
      </w:pPr>
      <w:rPr>
        <w:rFonts w:ascii="Times New Roman" w:hAnsi="Times New Roman" w:hint="default"/>
      </w:rPr>
    </w:lvl>
  </w:abstractNum>
  <w:abstractNum w:abstractNumId="1" w15:restartNumberingAfterBreak="0">
    <w:nsid w:val="4B7879C5"/>
    <w:multiLevelType w:val="hybridMultilevel"/>
    <w:tmpl w:val="F1E46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defaultTabStop w:val="720"/>
  <w:characterSpacingControl w:val="doNotCompress"/>
  <w:savePreviewPicture/>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95"/>
    <w:rsid w:val="00003AB9"/>
    <w:rsid w:val="000704EE"/>
    <w:rsid w:val="00084622"/>
    <w:rsid w:val="00090B11"/>
    <w:rsid w:val="00096120"/>
    <w:rsid w:val="000A3B75"/>
    <w:rsid w:val="000B64A2"/>
    <w:rsid w:val="000C23D8"/>
    <w:rsid w:val="000E4715"/>
    <w:rsid w:val="00103F1C"/>
    <w:rsid w:val="0010602E"/>
    <w:rsid w:val="00112F67"/>
    <w:rsid w:val="00116A3C"/>
    <w:rsid w:val="00177F71"/>
    <w:rsid w:val="001A14E3"/>
    <w:rsid w:val="001B1F1C"/>
    <w:rsid w:val="001C0BBB"/>
    <w:rsid w:val="001C60DB"/>
    <w:rsid w:val="001D3557"/>
    <w:rsid w:val="001E1720"/>
    <w:rsid w:val="001E2EF0"/>
    <w:rsid w:val="0020499A"/>
    <w:rsid w:val="002157EF"/>
    <w:rsid w:val="002339A8"/>
    <w:rsid w:val="00235224"/>
    <w:rsid w:val="00262550"/>
    <w:rsid w:val="002936B6"/>
    <w:rsid w:val="002C51B0"/>
    <w:rsid w:val="002E3119"/>
    <w:rsid w:val="003139C0"/>
    <w:rsid w:val="00321D08"/>
    <w:rsid w:val="00330626"/>
    <w:rsid w:val="00374CF9"/>
    <w:rsid w:val="00376207"/>
    <w:rsid w:val="003839EA"/>
    <w:rsid w:val="00384F95"/>
    <w:rsid w:val="0038558E"/>
    <w:rsid w:val="003B4063"/>
    <w:rsid w:val="003C4AA6"/>
    <w:rsid w:val="003C4F10"/>
    <w:rsid w:val="003C599B"/>
    <w:rsid w:val="003E75EC"/>
    <w:rsid w:val="003F3680"/>
    <w:rsid w:val="0040469C"/>
    <w:rsid w:val="0041215D"/>
    <w:rsid w:val="004157B4"/>
    <w:rsid w:val="004721F3"/>
    <w:rsid w:val="004B52F5"/>
    <w:rsid w:val="004F1145"/>
    <w:rsid w:val="004F4703"/>
    <w:rsid w:val="004F6403"/>
    <w:rsid w:val="0051212F"/>
    <w:rsid w:val="0054639D"/>
    <w:rsid w:val="0056205C"/>
    <w:rsid w:val="005627F6"/>
    <w:rsid w:val="0057564C"/>
    <w:rsid w:val="00581165"/>
    <w:rsid w:val="00586C75"/>
    <w:rsid w:val="0058755D"/>
    <w:rsid w:val="00590120"/>
    <w:rsid w:val="005943F7"/>
    <w:rsid w:val="005A51B1"/>
    <w:rsid w:val="005A57B3"/>
    <w:rsid w:val="005C5035"/>
    <w:rsid w:val="005D4EB9"/>
    <w:rsid w:val="005E2A02"/>
    <w:rsid w:val="005F6CD4"/>
    <w:rsid w:val="0061141D"/>
    <w:rsid w:val="0061367D"/>
    <w:rsid w:val="00617D79"/>
    <w:rsid w:val="006260F3"/>
    <w:rsid w:val="006373C9"/>
    <w:rsid w:val="006A1AE4"/>
    <w:rsid w:val="006C56B5"/>
    <w:rsid w:val="006D709B"/>
    <w:rsid w:val="006F4414"/>
    <w:rsid w:val="007255C6"/>
    <w:rsid w:val="0075239B"/>
    <w:rsid w:val="00752A70"/>
    <w:rsid w:val="007537BB"/>
    <w:rsid w:val="00787415"/>
    <w:rsid w:val="00791F3D"/>
    <w:rsid w:val="007B1F09"/>
    <w:rsid w:val="007C15E2"/>
    <w:rsid w:val="007D10A3"/>
    <w:rsid w:val="00864660"/>
    <w:rsid w:val="008876A9"/>
    <w:rsid w:val="008E66BA"/>
    <w:rsid w:val="008F37F4"/>
    <w:rsid w:val="00920D47"/>
    <w:rsid w:val="00934CCB"/>
    <w:rsid w:val="00941006"/>
    <w:rsid w:val="009445E0"/>
    <w:rsid w:val="00955154"/>
    <w:rsid w:val="00960FB6"/>
    <w:rsid w:val="00994C55"/>
    <w:rsid w:val="009A35B2"/>
    <w:rsid w:val="009B1A4F"/>
    <w:rsid w:val="009C495F"/>
    <w:rsid w:val="009C546A"/>
    <w:rsid w:val="009E7BC6"/>
    <w:rsid w:val="009F4636"/>
    <w:rsid w:val="00A007AE"/>
    <w:rsid w:val="00A44FC4"/>
    <w:rsid w:val="00A5706D"/>
    <w:rsid w:val="00A97C8B"/>
    <w:rsid w:val="00AD5D65"/>
    <w:rsid w:val="00AF4C20"/>
    <w:rsid w:val="00B10DE3"/>
    <w:rsid w:val="00B314E8"/>
    <w:rsid w:val="00B34B81"/>
    <w:rsid w:val="00B432EC"/>
    <w:rsid w:val="00B75BB9"/>
    <w:rsid w:val="00B96409"/>
    <w:rsid w:val="00BC452B"/>
    <w:rsid w:val="00BC5F80"/>
    <w:rsid w:val="00BD4CD1"/>
    <w:rsid w:val="00BD68F9"/>
    <w:rsid w:val="00BE0E3B"/>
    <w:rsid w:val="00BF2594"/>
    <w:rsid w:val="00BF370C"/>
    <w:rsid w:val="00C73EC6"/>
    <w:rsid w:val="00C76B7C"/>
    <w:rsid w:val="00C772E8"/>
    <w:rsid w:val="00CA667B"/>
    <w:rsid w:val="00CF73C9"/>
    <w:rsid w:val="00D33BC5"/>
    <w:rsid w:val="00D33EC1"/>
    <w:rsid w:val="00D3714B"/>
    <w:rsid w:val="00D47B58"/>
    <w:rsid w:val="00D550F2"/>
    <w:rsid w:val="00D560F7"/>
    <w:rsid w:val="00D566A1"/>
    <w:rsid w:val="00D74475"/>
    <w:rsid w:val="00D81DDB"/>
    <w:rsid w:val="00D9173E"/>
    <w:rsid w:val="00D968A6"/>
    <w:rsid w:val="00DA6612"/>
    <w:rsid w:val="00DD2913"/>
    <w:rsid w:val="00DF18BB"/>
    <w:rsid w:val="00E01A3C"/>
    <w:rsid w:val="00E14163"/>
    <w:rsid w:val="00E1749A"/>
    <w:rsid w:val="00E3075F"/>
    <w:rsid w:val="00E30CEE"/>
    <w:rsid w:val="00E32B06"/>
    <w:rsid w:val="00E47E8E"/>
    <w:rsid w:val="00E64A44"/>
    <w:rsid w:val="00E739A8"/>
    <w:rsid w:val="00E73A1A"/>
    <w:rsid w:val="00E82059"/>
    <w:rsid w:val="00E84753"/>
    <w:rsid w:val="00EB7CB1"/>
    <w:rsid w:val="00EC001C"/>
    <w:rsid w:val="00EC337B"/>
    <w:rsid w:val="00EE5513"/>
    <w:rsid w:val="00F04520"/>
    <w:rsid w:val="00F161DF"/>
    <w:rsid w:val="00F25DB5"/>
    <w:rsid w:val="00F33E32"/>
    <w:rsid w:val="00F72086"/>
    <w:rsid w:val="00F75DB9"/>
    <w:rsid w:val="00F97DB2"/>
    <w:rsid w:val="00FA0A15"/>
    <w:rsid w:val="00FC0DE1"/>
    <w:rsid w:val="00FC7C8E"/>
    <w:rsid w:val="00FD29E0"/>
    <w:rsid w:val="00FD3BFA"/>
    <w:rsid w:val="00FD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CAE2"/>
  <w15:chartTrackingRefBased/>
  <w15:docId w15:val="{6051E596-E200-4C6C-9D7F-3092658F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C20"/>
  </w:style>
  <w:style w:type="paragraph" w:styleId="Heading1">
    <w:name w:val="heading 1"/>
    <w:basedOn w:val="Normal"/>
    <w:next w:val="Normal"/>
    <w:link w:val="Heading1Char"/>
    <w:uiPriority w:val="9"/>
    <w:qFormat/>
    <w:rsid w:val="002352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av-toc-list">
    <w:name w:val="nav-toc-list"/>
    <w:uiPriority w:val="99"/>
    <w:rsid w:val="00752A70"/>
    <w:pPr>
      <w:numPr>
        <w:numId w:val="1"/>
      </w:numPr>
    </w:pPr>
  </w:style>
  <w:style w:type="character" w:customStyle="1" w:styleId="Heading1Char">
    <w:name w:val="Heading 1 Char"/>
    <w:basedOn w:val="DefaultParagraphFont"/>
    <w:link w:val="Heading1"/>
    <w:uiPriority w:val="9"/>
    <w:rsid w:val="0023522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96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0ECDB-D2BC-4E2E-9246-1954D82BB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1078</Words>
  <Characters>6151</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Data Specification for OneInThineHand Notes</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Parkinson</dc:creator>
  <cp:keywords/>
  <dc:description/>
  <cp:lastModifiedBy>Ben Parkinson</cp:lastModifiedBy>
  <cp:revision>147</cp:revision>
  <dcterms:created xsi:type="dcterms:W3CDTF">2019-05-27T14:11:00Z</dcterms:created>
  <dcterms:modified xsi:type="dcterms:W3CDTF">2019-05-27T22:26:00Z</dcterms:modified>
</cp:coreProperties>
</file>