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AB44" w14:textId="2C42377A" w:rsidR="0035606F" w:rsidRDefault="00FA2D6F">
      <w:pPr>
        <w:pStyle w:val="Title"/>
      </w:pPr>
      <w:r>
        <w:t>Web Phishing</w:t>
      </w:r>
      <w:r w:rsidR="0001771D">
        <w:t xml:space="preserve"> Detection using hyper</w:t>
      </w:r>
      <w:r w:rsidR="00EB2644">
        <w:t>-</w:t>
      </w:r>
      <w:r w:rsidR="0001771D">
        <w:t xml:space="preserve">tuned </w:t>
      </w:r>
      <w:r>
        <w:t>Convolution Neural Network</w:t>
      </w:r>
      <w:r w:rsidR="0001771D">
        <w:t xml:space="preserve"> </w:t>
      </w:r>
      <w:r w:rsidR="00EB2644">
        <w:t xml:space="preserve">model </w:t>
      </w:r>
    </w:p>
    <w:p w14:paraId="2FC85899" w14:textId="40277232" w:rsidR="0035606F" w:rsidRDefault="00FA2D6F">
      <w:pPr>
        <w:spacing w:before="276" w:line="207" w:lineRule="exact"/>
        <w:ind w:left="1369"/>
        <w:jc w:val="both"/>
        <w:rPr>
          <w:sz w:val="18"/>
        </w:rPr>
      </w:pPr>
      <w:r>
        <w:rPr>
          <w:sz w:val="18"/>
        </w:rPr>
        <w:t>Vansh Bansal</w:t>
      </w:r>
    </w:p>
    <w:p w14:paraId="33FBBA07" w14:textId="2AA1D4CC" w:rsidR="0035606F" w:rsidRDefault="00000000" w:rsidP="00E823D4">
      <w:pPr>
        <w:ind w:left="884" w:right="7480" w:hanging="27"/>
        <w:jc w:val="center"/>
        <w:rPr>
          <w:sz w:val="18"/>
        </w:rPr>
      </w:pPr>
      <w:r>
        <w:rPr>
          <w:i/>
          <w:sz w:val="18"/>
        </w:rPr>
        <w:t>Dept. of Artificial Intelligence</w:t>
      </w:r>
      <w:r>
        <w:rPr>
          <w:i/>
          <w:spacing w:val="-42"/>
          <w:sz w:val="18"/>
        </w:rPr>
        <w:t xml:space="preserve"> </w:t>
      </w:r>
      <w:r>
        <w:rPr>
          <w:i/>
          <w:sz w:val="18"/>
        </w:rPr>
        <w:t xml:space="preserve">Amity </w:t>
      </w:r>
      <w:proofErr w:type="spellStart"/>
      <w:r>
        <w:rPr>
          <w:i/>
          <w:sz w:val="18"/>
        </w:rPr>
        <w:t>University</w:t>
      </w:r>
      <w:r>
        <w:rPr>
          <w:sz w:val="18"/>
        </w:rPr>
        <w:t>Noida</w:t>
      </w:r>
      <w:proofErr w:type="spellEnd"/>
      <w:r>
        <w:rPr>
          <w:sz w:val="18"/>
        </w:rPr>
        <w:t>, India</w:t>
      </w:r>
      <w:r>
        <w:rPr>
          <w:spacing w:val="-42"/>
          <w:sz w:val="18"/>
        </w:rPr>
        <w:t xml:space="preserve"> </w:t>
      </w:r>
      <w:r w:rsidR="00FA2D6F">
        <w:rPr>
          <w:spacing w:val="-42"/>
          <w:sz w:val="18"/>
        </w:rPr>
        <w:t xml:space="preserve">   </w:t>
      </w:r>
      <w:r w:rsidR="00FA2D6F">
        <w:rPr>
          <w:sz w:val="18"/>
          <w:u w:val="single"/>
        </w:rPr>
        <w:t>vb.vansh04@gmail.com</w:t>
      </w:r>
    </w:p>
    <w:p w14:paraId="5B1C6D37" w14:textId="77777777" w:rsidR="0035606F" w:rsidRDefault="0035606F">
      <w:pPr>
        <w:pStyle w:val="BodyText"/>
      </w:pPr>
    </w:p>
    <w:p w14:paraId="6C96CC8A" w14:textId="77777777" w:rsidR="0035606F" w:rsidRDefault="0035606F">
      <w:pPr>
        <w:pStyle w:val="BodyText"/>
      </w:pPr>
    </w:p>
    <w:p w14:paraId="7031CA1C" w14:textId="77777777" w:rsidR="0035606F" w:rsidRDefault="0035606F">
      <w:pPr>
        <w:pStyle w:val="BodyText"/>
        <w:rPr>
          <w:sz w:val="16"/>
        </w:rPr>
      </w:pPr>
    </w:p>
    <w:p w14:paraId="4123774D" w14:textId="77777777" w:rsidR="0035606F" w:rsidRDefault="0035606F">
      <w:pPr>
        <w:rPr>
          <w:sz w:val="16"/>
        </w:rPr>
        <w:sectPr w:rsidR="0035606F" w:rsidSect="001B63A1">
          <w:type w:val="continuous"/>
          <w:pgSz w:w="11910" w:h="16840"/>
          <w:pgMar w:top="1120" w:right="700" w:bottom="280" w:left="700" w:header="720" w:footer="720" w:gutter="0"/>
          <w:cols w:space="720"/>
        </w:sectPr>
      </w:pPr>
    </w:p>
    <w:p w14:paraId="08A4AACE" w14:textId="77777777" w:rsidR="0035606F" w:rsidRDefault="00000000">
      <w:pPr>
        <w:spacing w:before="91"/>
        <w:ind w:left="106"/>
        <w:jc w:val="both"/>
        <w:rPr>
          <w:b/>
        </w:rPr>
      </w:pPr>
      <w:r>
        <w:rPr>
          <w:b/>
        </w:rPr>
        <w:t>Problem</w:t>
      </w:r>
      <w:r>
        <w:rPr>
          <w:b/>
          <w:spacing w:val="-3"/>
        </w:rPr>
        <w:t xml:space="preserve"> </w:t>
      </w:r>
      <w:r>
        <w:rPr>
          <w:b/>
        </w:rPr>
        <w:t>Statement</w:t>
      </w:r>
    </w:p>
    <w:p w14:paraId="30394E8B" w14:textId="77777777" w:rsidR="0035606F" w:rsidRDefault="0035606F">
      <w:pPr>
        <w:pStyle w:val="BodyText"/>
        <w:spacing w:before="9"/>
        <w:rPr>
          <w:b/>
          <w:sz w:val="19"/>
        </w:rPr>
      </w:pPr>
    </w:p>
    <w:p w14:paraId="01D5B8D4" w14:textId="77777777" w:rsidR="00CC2826" w:rsidRDefault="00CC2826" w:rsidP="00CC2826">
      <w:pPr>
        <w:pStyle w:val="BodyText"/>
        <w:spacing w:before="6"/>
      </w:pPr>
    </w:p>
    <w:p w14:paraId="1BDB2D14" w14:textId="77777777" w:rsidR="00FA2D6F" w:rsidRDefault="00FA2D6F">
      <w:pPr>
        <w:ind w:left="106" w:right="38"/>
        <w:jc w:val="both"/>
        <w:rPr>
          <w:sz w:val="20"/>
          <w:szCs w:val="20"/>
        </w:rPr>
      </w:pPr>
      <w:r w:rsidRPr="00FA2D6F">
        <w:rPr>
          <w:sz w:val="20"/>
          <w:szCs w:val="20"/>
        </w:rPr>
        <w:t>The increasing sophistication of phishing attacks poses a significant threat to individuals and organizations, as cybercriminals exploit the growing reliance on the internet for day-to-day activities. Despite advancements in cybersecurity measures, a study by Intel reveals that 97% of security experts struggle to distinguish phishing emails from genuine ones. This alarming statistic underscores the urgent need for improved detection methods, particularly in the context of web pages where phishing attacks are becoming more intricate and challenging to identify. Moreover, the escalating complexity of phishing attacks demands innovative solutions to stay ahead of cybercriminal tactics. This research seeks to address the pressing need for advanced and accurate phishing detection mechanisms, offering a proactive defense against evolving threats in the dynamic landscape of online security</w:t>
      </w:r>
      <w:r>
        <w:rPr>
          <w:sz w:val="20"/>
          <w:szCs w:val="20"/>
        </w:rPr>
        <w:t>.</w:t>
      </w:r>
    </w:p>
    <w:p w14:paraId="0AF39785" w14:textId="77777777" w:rsidR="00FA2D6F" w:rsidRDefault="00FA2D6F">
      <w:pPr>
        <w:ind w:left="106" w:right="38"/>
        <w:jc w:val="both"/>
        <w:rPr>
          <w:sz w:val="20"/>
          <w:szCs w:val="20"/>
        </w:rPr>
      </w:pPr>
    </w:p>
    <w:p w14:paraId="73F7A345" w14:textId="34A9B152" w:rsidR="0035606F" w:rsidRDefault="00000000">
      <w:pPr>
        <w:ind w:left="106" w:right="38"/>
        <w:jc w:val="both"/>
        <w:rPr>
          <w:b/>
          <w:i/>
          <w:sz w:val="16"/>
        </w:rPr>
      </w:pPr>
      <w:r>
        <w:rPr>
          <w:b/>
          <w:i/>
          <w:sz w:val="16"/>
        </w:rPr>
        <w:t xml:space="preserve">Keywords: </w:t>
      </w:r>
      <w:r w:rsidR="00FA2D6F">
        <w:rPr>
          <w:b/>
          <w:i/>
          <w:sz w:val="16"/>
        </w:rPr>
        <w:t>Phishing detection, Cybersecurity,</w:t>
      </w:r>
      <w:r w:rsidR="00FA2D6F">
        <w:rPr>
          <w:b/>
          <w:i/>
          <w:spacing w:val="1"/>
          <w:sz w:val="16"/>
        </w:rPr>
        <w:t xml:space="preserve"> Binary Classification, D</w:t>
      </w:r>
      <w:r w:rsidR="00FA2D6F">
        <w:rPr>
          <w:b/>
          <w:i/>
          <w:sz w:val="16"/>
        </w:rPr>
        <w:t>eep</w:t>
      </w:r>
      <w:r w:rsidR="00FA2D6F">
        <w:rPr>
          <w:b/>
          <w:i/>
          <w:spacing w:val="-2"/>
          <w:sz w:val="16"/>
        </w:rPr>
        <w:t xml:space="preserve"> L</w:t>
      </w:r>
      <w:r w:rsidR="00FA2D6F">
        <w:rPr>
          <w:b/>
          <w:i/>
          <w:sz w:val="16"/>
        </w:rPr>
        <w:t>earning</w:t>
      </w:r>
    </w:p>
    <w:p w14:paraId="2C8B0563" w14:textId="77777777" w:rsidR="00C907D5" w:rsidRDefault="00C907D5">
      <w:pPr>
        <w:ind w:left="106" w:right="38"/>
        <w:jc w:val="both"/>
        <w:rPr>
          <w:b/>
          <w:i/>
          <w:sz w:val="16"/>
        </w:rPr>
      </w:pPr>
    </w:p>
    <w:p w14:paraId="7E3F7829" w14:textId="77777777" w:rsidR="0035606F" w:rsidRDefault="0035606F">
      <w:pPr>
        <w:pStyle w:val="BodyText"/>
        <w:spacing w:before="3"/>
        <w:rPr>
          <w:b/>
          <w:i/>
          <w:sz w:val="15"/>
        </w:rPr>
      </w:pPr>
    </w:p>
    <w:p w14:paraId="63F1C4E3" w14:textId="77777777" w:rsidR="0035606F" w:rsidRDefault="00000000">
      <w:pPr>
        <w:pStyle w:val="ListParagraph"/>
        <w:numPr>
          <w:ilvl w:val="0"/>
          <w:numId w:val="1"/>
        </w:numPr>
        <w:tabs>
          <w:tab w:val="left" w:pos="1497"/>
        </w:tabs>
        <w:ind w:hanging="289"/>
        <w:jc w:val="left"/>
        <w:rPr>
          <w:sz w:val="16"/>
        </w:rPr>
      </w:pPr>
      <w:r>
        <w:rPr>
          <w:sz w:val="20"/>
        </w:rPr>
        <w:t>S</w:t>
      </w:r>
      <w:r>
        <w:rPr>
          <w:sz w:val="16"/>
        </w:rPr>
        <w:t>IGNIFICANCE</w:t>
      </w:r>
      <w:r>
        <w:rPr>
          <w:spacing w:val="-2"/>
          <w:sz w:val="16"/>
        </w:rPr>
        <w:t xml:space="preserve"> </w:t>
      </w:r>
      <w:r>
        <w:rPr>
          <w:sz w:val="16"/>
        </w:rPr>
        <w:t>OF</w:t>
      </w:r>
      <w:r>
        <w:rPr>
          <w:spacing w:val="-2"/>
          <w:sz w:val="16"/>
        </w:rPr>
        <w:t xml:space="preserve"> </w:t>
      </w:r>
      <w:r>
        <w:rPr>
          <w:sz w:val="16"/>
        </w:rPr>
        <w:t>THE</w:t>
      </w:r>
      <w:r>
        <w:rPr>
          <w:spacing w:val="1"/>
          <w:sz w:val="16"/>
        </w:rPr>
        <w:t xml:space="preserve"> </w:t>
      </w:r>
      <w:r>
        <w:rPr>
          <w:sz w:val="20"/>
        </w:rPr>
        <w:t>W</w:t>
      </w:r>
      <w:r>
        <w:rPr>
          <w:sz w:val="16"/>
        </w:rPr>
        <w:t>ORK</w:t>
      </w:r>
    </w:p>
    <w:p w14:paraId="2B78D943" w14:textId="77777777" w:rsidR="00FA2D6F" w:rsidRDefault="00FA2D6F" w:rsidP="00FA2D6F">
      <w:pPr>
        <w:pStyle w:val="BodyText"/>
        <w:numPr>
          <w:ilvl w:val="0"/>
          <w:numId w:val="8"/>
        </w:numPr>
        <w:spacing w:before="58"/>
        <w:ind w:right="43"/>
        <w:jc w:val="both"/>
      </w:pPr>
      <w:r>
        <w:rPr>
          <w:b/>
          <w:bCs/>
        </w:rPr>
        <w:t>Protecting Personal and Financial Information:</w:t>
      </w:r>
      <w:r>
        <w:t xml:space="preserve"> As phishing attacks remain a highly successful method for cybercriminals to defraud individuals, the development of effective detection techniques becomes crucial to safeguard personal and financial information. This work aims to mitigate the risk of identity theft and financial loss for individuals and businesses.</w:t>
      </w:r>
    </w:p>
    <w:p w14:paraId="27868A36" w14:textId="60543672" w:rsidR="00CC2826" w:rsidRDefault="00CC2826" w:rsidP="002776D7">
      <w:pPr>
        <w:pStyle w:val="BodyText"/>
        <w:spacing w:before="58"/>
        <w:ind w:left="106" w:right="43" w:firstLine="216"/>
        <w:jc w:val="both"/>
      </w:pPr>
    </w:p>
    <w:p w14:paraId="49A56AD7" w14:textId="1C927A72" w:rsidR="00FA2D6F" w:rsidRDefault="00FA2D6F" w:rsidP="00FA2D6F">
      <w:pPr>
        <w:pStyle w:val="BodyText"/>
        <w:numPr>
          <w:ilvl w:val="0"/>
          <w:numId w:val="8"/>
        </w:numPr>
        <w:spacing w:before="58"/>
        <w:ind w:right="43"/>
        <w:jc w:val="both"/>
      </w:pPr>
      <w:r>
        <w:rPr>
          <w:b/>
          <w:bCs/>
        </w:rPr>
        <w:t>Preserving Online Trust:</w:t>
      </w:r>
      <w:r>
        <w:t xml:space="preserve"> The prevalence of phishing erodes trust in online platforms and communication channels. By enhancing the ability to detect phishing attempts in web pages, this research contributes to maintaining the integrity of online interactions and fostering a secure digital environment.</w:t>
      </w:r>
    </w:p>
    <w:p w14:paraId="419226CC" w14:textId="77777777" w:rsidR="00DD4217" w:rsidRDefault="00FA2D6F" w:rsidP="00C907D5">
      <w:pPr>
        <w:pStyle w:val="BodyText"/>
        <w:numPr>
          <w:ilvl w:val="0"/>
          <w:numId w:val="8"/>
        </w:numPr>
        <w:spacing w:before="4"/>
        <w:jc w:val="both"/>
      </w:pPr>
      <w:r>
        <w:rPr>
          <w:b/>
        </w:rPr>
        <w:t>Cybersecurity Resilience</w:t>
      </w:r>
      <w:r>
        <w:t>: As cyber threats evolve, it is imperative to strengthen cybersecurity resilience. Improved detection of phishing attacks on web pages not only protects individuals but also enhances the overall resilience of digital ecosystems, making it more difficult for cybercriminals to exploit vulnerabilities</w:t>
      </w:r>
    </w:p>
    <w:p w14:paraId="65AACAB9" w14:textId="77777777" w:rsidR="00454DD6" w:rsidRDefault="00454DD6" w:rsidP="00454DD6">
      <w:pPr>
        <w:pStyle w:val="BodyText"/>
        <w:spacing w:before="4"/>
        <w:rPr>
          <w:b/>
        </w:rPr>
      </w:pPr>
    </w:p>
    <w:p w14:paraId="217940C5" w14:textId="77777777" w:rsidR="00454DD6" w:rsidRDefault="00454DD6" w:rsidP="00454DD6">
      <w:pPr>
        <w:pStyle w:val="BodyText"/>
        <w:spacing w:before="4"/>
        <w:rPr>
          <w:b/>
        </w:rPr>
      </w:pPr>
    </w:p>
    <w:p w14:paraId="4F33B448" w14:textId="77777777" w:rsidR="00454DD6" w:rsidRDefault="00454DD6" w:rsidP="00454DD6">
      <w:pPr>
        <w:pStyle w:val="BodyText"/>
        <w:spacing w:before="4"/>
        <w:rPr>
          <w:b/>
        </w:rPr>
      </w:pPr>
    </w:p>
    <w:p w14:paraId="1D57C939" w14:textId="77777777" w:rsidR="00454DD6" w:rsidRDefault="00454DD6" w:rsidP="00454DD6">
      <w:pPr>
        <w:pStyle w:val="BodyText"/>
        <w:spacing w:before="4"/>
        <w:rPr>
          <w:b/>
        </w:rPr>
      </w:pPr>
    </w:p>
    <w:p w14:paraId="6CD20B65" w14:textId="77777777" w:rsidR="00454DD6" w:rsidRDefault="00454DD6" w:rsidP="00454DD6">
      <w:pPr>
        <w:pStyle w:val="BodyText"/>
        <w:spacing w:before="4"/>
        <w:rPr>
          <w:b/>
        </w:rPr>
      </w:pPr>
    </w:p>
    <w:p w14:paraId="69D85DAC" w14:textId="61FB6C11" w:rsidR="00DD4217" w:rsidRDefault="00454DD6" w:rsidP="00C907D5">
      <w:pPr>
        <w:pStyle w:val="BodyText"/>
        <w:spacing w:before="4"/>
        <w:jc w:val="both"/>
        <w:rPr>
          <w:b/>
        </w:rPr>
      </w:pPr>
      <w:r>
        <w:t>In conclusion, the significance of this work lies in its potential to enhance the detection of phishing attacks in web pages, thereby fortifying online security, protecting personal and financial information, and contributing to the overall resilience of digital ecosystems in the face of increasingly sophisticated cyber threats.</w:t>
      </w:r>
    </w:p>
    <w:p w14:paraId="61FD0DB2" w14:textId="77777777" w:rsidR="00DD4217" w:rsidRDefault="00DD4217" w:rsidP="00DD4217">
      <w:pPr>
        <w:pStyle w:val="BodyText"/>
        <w:spacing w:before="4"/>
        <w:ind w:left="720" w:firstLine="720"/>
        <w:rPr>
          <w:i/>
          <w:iCs/>
          <w:sz w:val="15"/>
          <w:szCs w:val="15"/>
        </w:rPr>
      </w:pPr>
    </w:p>
    <w:p w14:paraId="652C261A" w14:textId="77777777" w:rsidR="00C907D5" w:rsidRPr="00C907D5" w:rsidRDefault="00C907D5" w:rsidP="00DD4217">
      <w:pPr>
        <w:pStyle w:val="BodyText"/>
        <w:spacing w:before="4"/>
        <w:ind w:left="720" w:firstLine="720"/>
        <w:rPr>
          <w:i/>
          <w:iCs/>
          <w:sz w:val="15"/>
          <w:szCs w:val="15"/>
        </w:rPr>
      </w:pPr>
    </w:p>
    <w:p w14:paraId="4AE422A8" w14:textId="3E2899FC" w:rsidR="0035606F" w:rsidRDefault="00000000" w:rsidP="00454DD6">
      <w:pPr>
        <w:pStyle w:val="BodyText"/>
        <w:numPr>
          <w:ilvl w:val="0"/>
          <w:numId w:val="15"/>
        </w:numPr>
        <w:spacing w:before="4"/>
      </w:pPr>
      <w:r>
        <w:t>D</w:t>
      </w:r>
      <w:r>
        <w:rPr>
          <w:sz w:val="16"/>
        </w:rPr>
        <w:t>ATASET</w:t>
      </w:r>
      <w:r>
        <w:rPr>
          <w:spacing w:val="-3"/>
          <w:sz w:val="16"/>
        </w:rPr>
        <w:t xml:space="preserve"> </w:t>
      </w:r>
      <w:r>
        <w:t>USED</w:t>
      </w:r>
    </w:p>
    <w:p w14:paraId="3282C73B" w14:textId="77777777" w:rsidR="008F139F" w:rsidRDefault="008F139F" w:rsidP="00C907D5">
      <w:pPr>
        <w:pStyle w:val="BodyText"/>
        <w:spacing w:before="1"/>
        <w:jc w:val="both"/>
      </w:pPr>
      <w:r>
        <w:t>The dataset at hand comprises 11,430 URLs, serving as a comprehensive benchmark for the evaluation of deep learning-based phishing detection systems. This curated dataset assumes paramount significance in the realm of cybersecurity research, offering a diverse and extensive pool for assessing the efficacy of detection mechanisms. Comprising 87 meticulously extracted features, the dataset is structured to encapsulate the multifaceted nature of phishing attacks and legitimate URLs alike.</w:t>
      </w:r>
    </w:p>
    <w:p w14:paraId="5E21EA37" w14:textId="77777777" w:rsidR="008F139F" w:rsidRDefault="008F139F" w:rsidP="00C907D5">
      <w:pPr>
        <w:pStyle w:val="BodyText"/>
        <w:spacing w:before="1"/>
        <w:jc w:val="both"/>
      </w:pPr>
    </w:p>
    <w:p w14:paraId="56231A45" w14:textId="77777777" w:rsidR="008F139F" w:rsidRDefault="008F139F" w:rsidP="00C907D5">
      <w:pPr>
        <w:pStyle w:val="BodyText"/>
        <w:spacing w:before="1"/>
        <w:jc w:val="both"/>
      </w:pPr>
      <w:r>
        <w:t>These features are meticulously categorized into three distinct classes, providing a nuanced perspective for analysis. The first class encompasses 56 features derived from the structural and syntactical attributes of URLs, enabling a granular examination of the inherent characteristics. The second class incorporates 24 features extracted from the content of corresponding web pages, delving into the intricacies of page-level attributes. Additionally, the third class involves 7 features extracted through queries to external services, broadening the scope of assessment beyond the confines of individual URLs.</w:t>
      </w:r>
    </w:p>
    <w:p w14:paraId="1BB39E30" w14:textId="77777777" w:rsidR="008F139F" w:rsidRDefault="008F139F" w:rsidP="00C907D5">
      <w:pPr>
        <w:pStyle w:val="BodyText"/>
        <w:spacing w:before="1"/>
        <w:jc w:val="both"/>
      </w:pPr>
    </w:p>
    <w:p w14:paraId="0D64ED5C" w14:textId="02460396" w:rsidR="008F139F" w:rsidRDefault="008F139F" w:rsidP="00C907D5">
      <w:pPr>
        <w:pStyle w:val="BodyText"/>
        <w:spacing w:before="1"/>
        <w:jc w:val="both"/>
      </w:pPr>
      <w:r>
        <w:t xml:space="preserve">Notably, the dataset is meticulously balanced, maintaining a precise equilibrium with 50% phishing and 50% legitimate URLs. This equilibrium ensures a fair representation of both classes, fostering a robust foundation for the development and evaluation of machine learning models. As a result, this dataset emerges as a valuable resource in advancing the field of cybersecurity, empowering </w:t>
      </w:r>
      <w:r w:rsidR="00454DD6">
        <w:t>researchers,</w:t>
      </w:r>
      <w:r>
        <w:t xml:space="preserve"> and practitioners to enhance the sophistication and accuracy of phishing detection systems in the ever-evolving landscape of cyber threats.</w:t>
      </w:r>
    </w:p>
    <w:p w14:paraId="51917773" w14:textId="061EC40E" w:rsidR="002776D7" w:rsidRDefault="002776D7" w:rsidP="002776D7">
      <w:pPr>
        <w:pStyle w:val="BodyText"/>
        <w:spacing w:before="60"/>
        <w:ind w:right="153"/>
      </w:pPr>
      <w:r>
        <w:t xml:space="preserve">  </w:t>
      </w:r>
    </w:p>
    <w:p w14:paraId="30E97920" w14:textId="59686A54" w:rsidR="0035606F" w:rsidRDefault="0035606F">
      <w:pPr>
        <w:pStyle w:val="BodyText"/>
        <w:spacing w:before="1"/>
        <w:ind w:left="106" w:right="105"/>
        <w:jc w:val="both"/>
      </w:pPr>
    </w:p>
    <w:p w14:paraId="5C1F2C63" w14:textId="77777777" w:rsidR="008F139F" w:rsidRDefault="008F139F">
      <w:pPr>
        <w:rPr>
          <w:sz w:val="20"/>
          <w:szCs w:val="20"/>
        </w:rPr>
      </w:pPr>
      <w:r>
        <w:br w:type="page"/>
      </w:r>
    </w:p>
    <w:p w14:paraId="4DA3E1F9" w14:textId="71F6010C" w:rsidR="002776D7" w:rsidRDefault="00AF6F3B" w:rsidP="00454DD6">
      <w:pPr>
        <w:pStyle w:val="BodyText"/>
        <w:numPr>
          <w:ilvl w:val="0"/>
          <w:numId w:val="15"/>
        </w:numPr>
        <w:spacing w:before="1"/>
        <w:ind w:right="105"/>
      </w:pPr>
      <w:r>
        <w:lastRenderedPageBreak/>
        <w:t>METHODLOGY</w:t>
      </w:r>
    </w:p>
    <w:p w14:paraId="5E983F38" w14:textId="3DC98A45" w:rsidR="00642070" w:rsidRDefault="00454DD6" w:rsidP="002C42B3">
      <w:pPr>
        <w:pStyle w:val="BodyText"/>
        <w:spacing w:before="1"/>
        <w:ind w:right="105"/>
        <w:jc w:val="both"/>
      </w:pPr>
      <w:r w:rsidRPr="00454DD6">
        <w:t>The proposed methodology utilizes a Convolutional Neural Network (CNN) architecture for automated detection of phishing URLs. The CNN model comprises several layers including convolutional, pooling, batch normalization, and dense layers. Each convolutional layer is followed by dropout regularization to prevent overfitting, while batch normalization aids in stabilizing and accelerating the training process. The model is trained using the Adam optimizer with binary cross-entropy loss function to optimize classification performance. To prevent overfitting and ensure generalization, early stopping and model checkpoint callbacks are employed during training. Training is conducted on a dataset split into training and validation sets, with performance monitored using accuracy metrics.</w:t>
      </w:r>
    </w:p>
    <w:p w14:paraId="47D9C215" w14:textId="1FC32E27" w:rsidR="00642070" w:rsidRDefault="00642070" w:rsidP="002C42B3">
      <w:pPr>
        <w:pStyle w:val="BodyText"/>
        <w:spacing w:before="1"/>
        <w:ind w:right="105"/>
        <w:jc w:val="both"/>
        <w:rPr>
          <w:i/>
          <w:iCs/>
          <w:sz w:val="15"/>
          <w:szCs w:val="15"/>
        </w:rPr>
      </w:pPr>
    </w:p>
    <w:p w14:paraId="53973DA2" w14:textId="77777777" w:rsidR="00C907D5" w:rsidRPr="00C907D5" w:rsidRDefault="00C907D5" w:rsidP="002C42B3">
      <w:pPr>
        <w:pStyle w:val="BodyText"/>
        <w:spacing w:before="1"/>
        <w:ind w:right="105"/>
        <w:jc w:val="both"/>
        <w:rPr>
          <w:i/>
          <w:iCs/>
          <w:sz w:val="15"/>
          <w:szCs w:val="15"/>
        </w:rPr>
      </w:pPr>
    </w:p>
    <w:p w14:paraId="59A1A81D" w14:textId="0FEB68CE" w:rsidR="00642070" w:rsidRDefault="00642070" w:rsidP="00454DD6">
      <w:pPr>
        <w:pStyle w:val="BodyText"/>
        <w:numPr>
          <w:ilvl w:val="0"/>
          <w:numId w:val="15"/>
        </w:numPr>
        <w:spacing w:before="1"/>
        <w:ind w:right="105"/>
      </w:pPr>
      <w:r>
        <w:t>RESULTS</w:t>
      </w:r>
    </w:p>
    <w:p w14:paraId="7BFB34F2" w14:textId="4B8AE009" w:rsidR="00642070" w:rsidRDefault="00642070" w:rsidP="002C42B3">
      <w:pPr>
        <w:pStyle w:val="BodyText"/>
        <w:spacing w:before="1"/>
        <w:ind w:right="105"/>
        <w:jc w:val="both"/>
      </w:pPr>
      <w:r w:rsidRPr="00642070">
        <w:t>The proposed methodology achieved a classification accuracy of 9</w:t>
      </w:r>
      <w:r w:rsidR="00FA2D6F">
        <w:t>4</w:t>
      </w:r>
      <w:r w:rsidRPr="00642070">
        <w:t xml:space="preserve">% on the test set, outperforming traditional manual methods. This demonstrates the effectiveness of the deep learning approach in </w:t>
      </w:r>
      <w:r w:rsidR="00FA2D6F">
        <w:t>web phishing</w:t>
      </w:r>
      <w:r w:rsidRPr="00642070">
        <w:t xml:space="preserve"> detection.</w:t>
      </w:r>
    </w:p>
    <w:p w14:paraId="31A31D77" w14:textId="29C1A638" w:rsidR="008F139F" w:rsidRDefault="008F139F" w:rsidP="002C42B3">
      <w:pPr>
        <w:pStyle w:val="BodyText"/>
        <w:spacing w:before="1"/>
        <w:ind w:right="105"/>
        <w:jc w:val="both"/>
      </w:pPr>
      <w:r>
        <w:rPr>
          <w:noProof/>
        </w:rPr>
        <w:drawing>
          <wp:anchor distT="0" distB="0" distL="114300" distR="114300" simplePos="0" relativeHeight="251654144" behindDoc="1" locked="0" layoutInCell="1" allowOverlap="1" wp14:anchorId="459E266B" wp14:editId="6B8B60F8">
            <wp:simplePos x="0" y="0"/>
            <wp:positionH relativeFrom="column">
              <wp:posOffset>3175</wp:posOffset>
            </wp:positionH>
            <wp:positionV relativeFrom="paragraph">
              <wp:posOffset>283210</wp:posOffset>
            </wp:positionV>
            <wp:extent cx="3105150" cy="2714625"/>
            <wp:effectExtent l="0" t="0" r="0" b="9525"/>
            <wp:wrapTight wrapText="bothSides">
              <wp:wrapPolygon edited="0">
                <wp:start x="0" y="0"/>
                <wp:lineTo x="0" y="21524"/>
                <wp:lineTo x="21467" y="21524"/>
                <wp:lineTo x="21467" y="0"/>
                <wp:lineTo x="0" y="0"/>
              </wp:wrapPolygon>
            </wp:wrapTight>
            <wp:docPr id="5138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2714625"/>
                    </a:xfrm>
                    <a:prstGeom prst="rect">
                      <a:avLst/>
                    </a:prstGeom>
                    <a:noFill/>
                    <a:ln>
                      <a:noFill/>
                    </a:ln>
                  </pic:spPr>
                </pic:pic>
              </a:graphicData>
            </a:graphic>
          </wp:anchor>
        </w:drawing>
      </w:r>
    </w:p>
    <w:p w14:paraId="4010C4D2" w14:textId="55BCE0D8" w:rsidR="00642070" w:rsidRPr="008F139F" w:rsidRDefault="00642070" w:rsidP="00C907D5">
      <w:pPr>
        <w:jc w:val="both"/>
        <w:rPr>
          <w:sz w:val="20"/>
          <w:szCs w:val="20"/>
        </w:rPr>
      </w:pPr>
      <w:r>
        <w:t xml:space="preserve">Confusion matrix explains a good ratio of true positives and true negatives explaining the </w:t>
      </w:r>
      <w:r w:rsidR="005652AA">
        <w:t>model’s</w:t>
      </w:r>
      <w:r>
        <w:t xml:space="preserve"> exceptional performance to differentiate </w:t>
      </w:r>
      <w:r w:rsidR="005652AA">
        <w:t xml:space="preserve">between different classes. </w:t>
      </w:r>
    </w:p>
    <w:p w14:paraId="36704676" w14:textId="7E32B4C8" w:rsidR="005652AA" w:rsidRDefault="005652AA" w:rsidP="002C42B3">
      <w:pPr>
        <w:pStyle w:val="BodyText"/>
        <w:spacing w:before="1"/>
        <w:ind w:right="105"/>
        <w:jc w:val="both"/>
      </w:pPr>
    </w:p>
    <w:p w14:paraId="58C01560" w14:textId="170EA732" w:rsidR="005652AA" w:rsidRDefault="00FA2D6F" w:rsidP="002C42B3">
      <w:pPr>
        <w:pStyle w:val="BodyText"/>
        <w:spacing w:before="1"/>
        <w:ind w:right="105"/>
        <w:jc w:val="both"/>
      </w:pPr>
      <w:r>
        <w:rPr>
          <w:noProof/>
        </w:rPr>
        <w:drawing>
          <wp:inline distT="0" distB="0" distL="0" distR="0" wp14:anchorId="5B8D1997" wp14:editId="7BFB4274">
            <wp:extent cx="3032656" cy="2390775"/>
            <wp:effectExtent l="0" t="0" r="0" b="0"/>
            <wp:docPr id="490657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3718" cy="2391612"/>
                    </a:xfrm>
                    <a:prstGeom prst="rect">
                      <a:avLst/>
                    </a:prstGeom>
                    <a:noFill/>
                    <a:ln>
                      <a:noFill/>
                    </a:ln>
                  </pic:spPr>
                </pic:pic>
              </a:graphicData>
            </a:graphic>
          </wp:inline>
        </w:drawing>
      </w:r>
    </w:p>
    <w:p w14:paraId="326D7CC2" w14:textId="20BFCBD4" w:rsidR="0001771D" w:rsidRDefault="0001771D" w:rsidP="0001771D">
      <w:pPr>
        <w:pStyle w:val="BodyText"/>
        <w:spacing w:before="1"/>
        <w:ind w:right="105"/>
        <w:jc w:val="center"/>
      </w:pPr>
      <w:r>
        <w:t>Fig. 1</w:t>
      </w:r>
    </w:p>
    <w:p w14:paraId="75BD5860" w14:textId="77777777" w:rsidR="00851008" w:rsidRDefault="00851008" w:rsidP="0001771D">
      <w:pPr>
        <w:pStyle w:val="BodyText"/>
        <w:spacing w:before="1"/>
        <w:ind w:right="105"/>
      </w:pPr>
    </w:p>
    <w:p w14:paraId="66939464" w14:textId="77777777" w:rsidR="00851008" w:rsidRDefault="00851008" w:rsidP="0001771D">
      <w:pPr>
        <w:pStyle w:val="BodyText"/>
        <w:spacing w:before="1"/>
        <w:ind w:right="105"/>
      </w:pPr>
    </w:p>
    <w:p w14:paraId="58B9F16C" w14:textId="7BF44F4F" w:rsidR="0001771D" w:rsidRDefault="0001771D" w:rsidP="0001771D">
      <w:pPr>
        <w:pStyle w:val="BodyText"/>
        <w:spacing w:before="1"/>
        <w:ind w:right="105"/>
      </w:pPr>
      <w:r>
        <w:t xml:space="preserve">Fig 1 explains the </w:t>
      </w:r>
      <w:r w:rsidR="00FA2D6F">
        <w:t>ROC curve and AUC of the model</w:t>
      </w:r>
      <w:r>
        <w:t>.</w:t>
      </w:r>
    </w:p>
    <w:p w14:paraId="015926D0" w14:textId="55C198D3" w:rsidR="00851008" w:rsidRPr="00C907D5" w:rsidRDefault="00851008" w:rsidP="00C907D5">
      <w:pPr>
        <w:pStyle w:val="BodyText"/>
        <w:spacing w:before="1"/>
        <w:ind w:right="105"/>
        <w:jc w:val="both"/>
        <w:rPr>
          <w:sz w:val="16"/>
          <w:szCs w:val="16"/>
        </w:rPr>
      </w:pPr>
      <w:r w:rsidRPr="00C907D5">
        <w:rPr>
          <w:sz w:val="16"/>
          <w:szCs w:val="16"/>
        </w:rPr>
        <w:t>ROC (Receiver Operating Characteristic) curve visually represents the trade-off between true positive rate and false positive rate for a binary classification model.</w:t>
      </w:r>
    </w:p>
    <w:p w14:paraId="7973951B" w14:textId="54F27A1B" w:rsidR="008F139F" w:rsidRPr="00C907D5" w:rsidRDefault="00851008" w:rsidP="00C907D5">
      <w:pPr>
        <w:pStyle w:val="BodyText"/>
        <w:spacing w:before="1"/>
        <w:ind w:right="105"/>
        <w:jc w:val="both"/>
        <w:rPr>
          <w:sz w:val="18"/>
          <w:szCs w:val="18"/>
        </w:rPr>
      </w:pPr>
      <w:r w:rsidRPr="00C907D5">
        <w:rPr>
          <w:sz w:val="16"/>
          <w:szCs w:val="16"/>
        </w:rPr>
        <w:t>AUC (Area Under the Curve) quantifies the overall performance of a binary classification model based on the ROC curve</w:t>
      </w:r>
      <w:r w:rsidRPr="00C907D5">
        <w:rPr>
          <w:sz w:val="18"/>
          <w:szCs w:val="18"/>
        </w:rPr>
        <w:t>.</w:t>
      </w:r>
    </w:p>
    <w:p w14:paraId="274AEA44" w14:textId="77777777" w:rsidR="00851008" w:rsidRPr="00851008" w:rsidRDefault="00851008" w:rsidP="0001771D">
      <w:pPr>
        <w:pStyle w:val="BodyText"/>
        <w:spacing w:before="1"/>
        <w:ind w:right="105"/>
        <w:rPr>
          <w:i/>
          <w:iCs/>
          <w:sz w:val="18"/>
          <w:szCs w:val="18"/>
        </w:rPr>
      </w:pPr>
    </w:p>
    <w:tbl>
      <w:tblPr>
        <w:tblStyle w:val="GridTable5Dark"/>
        <w:tblW w:w="3936" w:type="dxa"/>
        <w:jc w:val="center"/>
        <w:tblLook w:val="04A0" w:firstRow="1" w:lastRow="0" w:firstColumn="1" w:lastColumn="0" w:noHBand="0" w:noVBand="1"/>
      </w:tblPr>
      <w:tblGrid>
        <w:gridCol w:w="1110"/>
        <w:gridCol w:w="1335"/>
        <w:gridCol w:w="1491"/>
      </w:tblGrid>
      <w:tr w:rsidR="00851008" w14:paraId="50BDE128" w14:textId="77777777" w:rsidTr="008510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0" w:type="dxa"/>
          </w:tcPr>
          <w:p w14:paraId="5469D68D" w14:textId="77777777" w:rsidR="00851008" w:rsidRDefault="00851008" w:rsidP="0001771D">
            <w:pPr>
              <w:pStyle w:val="BodyText"/>
              <w:spacing w:before="1"/>
              <w:ind w:right="105"/>
            </w:pPr>
          </w:p>
        </w:tc>
        <w:tc>
          <w:tcPr>
            <w:tcW w:w="1335" w:type="dxa"/>
          </w:tcPr>
          <w:p w14:paraId="7B58C652" w14:textId="3CC22F2C" w:rsidR="00851008" w:rsidRDefault="00851008" w:rsidP="00851008">
            <w:pPr>
              <w:pStyle w:val="BodyText"/>
              <w:spacing w:before="1"/>
              <w:ind w:right="105"/>
              <w:jc w:val="center"/>
              <w:cnfStyle w:val="100000000000" w:firstRow="1" w:lastRow="0" w:firstColumn="0" w:lastColumn="0" w:oddVBand="0" w:evenVBand="0" w:oddHBand="0" w:evenHBand="0" w:firstRowFirstColumn="0" w:firstRowLastColumn="0" w:lastRowFirstColumn="0" w:lastRowLastColumn="0"/>
            </w:pPr>
            <w:r>
              <w:t>Legitimate</w:t>
            </w:r>
          </w:p>
        </w:tc>
        <w:tc>
          <w:tcPr>
            <w:tcW w:w="1491" w:type="dxa"/>
          </w:tcPr>
          <w:p w14:paraId="17BD3599" w14:textId="73D5FDEB" w:rsidR="00851008" w:rsidRDefault="00851008" w:rsidP="00851008">
            <w:pPr>
              <w:pStyle w:val="BodyText"/>
              <w:spacing w:before="1"/>
              <w:ind w:right="105"/>
              <w:jc w:val="center"/>
              <w:cnfStyle w:val="100000000000" w:firstRow="1" w:lastRow="0" w:firstColumn="0" w:lastColumn="0" w:oddVBand="0" w:evenVBand="0" w:oddHBand="0" w:evenHBand="0" w:firstRowFirstColumn="0" w:firstRowLastColumn="0" w:lastRowFirstColumn="0" w:lastRowLastColumn="0"/>
            </w:pPr>
            <w:r>
              <w:t>Phishing</w:t>
            </w:r>
          </w:p>
        </w:tc>
      </w:tr>
      <w:tr w:rsidR="00851008" w14:paraId="5323CD84" w14:textId="77777777" w:rsidTr="008510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0" w:type="dxa"/>
          </w:tcPr>
          <w:p w14:paraId="1F73ACAD" w14:textId="08C0AF8E" w:rsidR="00851008" w:rsidRDefault="00851008" w:rsidP="0001771D">
            <w:pPr>
              <w:pStyle w:val="BodyText"/>
              <w:spacing w:before="1"/>
              <w:ind w:right="105"/>
            </w:pPr>
            <w:r>
              <w:t>Precision</w:t>
            </w:r>
          </w:p>
        </w:tc>
        <w:tc>
          <w:tcPr>
            <w:tcW w:w="1335" w:type="dxa"/>
          </w:tcPr>
          <w:p w14:paraId="33B426F7" w14:textId="18FBB4C1" w:rsidR="00851008" w:rsidRDefault="00851008" w:rsidP="00851008">
            <w:pPr>
              <w:pStyle w:val="BodyText"/>
              <w:spacing w:before="1"/>
              <w:ind w:right="105"/>
              <w:jc w:val="right"/>
              <w:cnfStyle w:val="000000100000" w:firstRow="0" w:lastRow="0" w:firstColumn="0" w:lastColumn="0" w:oddVBand="0" w:evenVBand="0" w:oddHBand="1" w:evenHBand="0" w:firstRowFirstColumn="0" w:firstRowLastColumn="0" w:lastRowFirstColumn="0" w:lastRowLastColumn="0"/>
            </w:pPr>
            <w:r>
              <w:t>0.93</w:t>
            </w:r>
          </w:p>
        </w:tc>
        <w:tc>
          <w:tcPr>
            <w:tcW w:w="1491" w:type="dxa"/>
          </w:tcPr>
          <w:p w14:paraId="21479B76" w14:textId="48ADF0E3" w:rsidR="00851008" w:rsidRDefault="00851008" w:rsidP="00851008">
            <w:pPr>
              <w:pStyle w:val="BodyText"/>
              <w:spacing w:before="1"/>
              <w:ind w:right="105"/>
              <w:jc w:val="right"/>
              <w:cnfStyle w:val="000000100000" w:firstRow="0" w:lastRow="0" w:firstColumn="0" w:lastColumn="0" w:oddVBand="0" w:evenVBand="0" w:oddHBand="1" w:evenHBand="0" w:firstRowFirstColumn="0" w:firstRowLastColumn="0" w:lastRowFirstColumn="0" w:lastRowLastColumn="0"/>
            </w:pPr>
            <w:r>
              <w:t>0.95</w:t>
            </w:r>
          </w:p>
        </w:tc>
      </w:tr>
      <w:tr w:rsidR="00851008" w14:paraId="300ED249" w14:textId="77777777" w:rsidTr="00851008">
        <w:trPr>
          <w:jc w:val="center"/>
        </w:trPr>
        <w:tc>
          <w:tcPr>
            <w:cnfStyle w:val="001000000000" w:firstRow="0" w:lastRow="0" w:firstColumn="1" w:lastColumn="0" w:oddVBand="0" w:evenVBand="0" w:oddHBand="0" w:evenHBand="0" w:firstRowFirstColumn="0" w:firstRowLastColumn="0" w:lastRowFirstColumn="0" w:lastRowLastColumn="0"/>
            <w:tcW w:w="1110" w:type="dxa"/>
          </w:tcPr>
          <w:p w14:paraId="1F901E04" w14:textId="6F65C517" w:rsidR="00851008" w:rsidRDefault="00851008" w:rsidP="0001771D">
            <w:pPr>
              <w:pStyle w:val="BodyText"/>
              <w:spacing w:before="1"/>
              <w:ind w:right="105"/>
            </w:pPr>
            <w:r>
              <w:t>Recall</w:t>
            </w:r>
          </w:p>
        </w:tc>
        <w:tc>
          <w:tcPr>
            <w:tcW w:w="1335" w:type="dxa"/>
          </w:tcPr>
          <w:p w14:paraId="76DC49DB" w14:textId="2E00246D" w:rsidR="00851008" w:rsidRDefault="00851008" w:rsidP="00851008">
            <w:pPr>
              <w:pStyle w:val="BodyText"/>
              <w:spacing w:before="1"/>
              <w:ind w:right="105"/>
              <w:jc w:val="right"/>
              <w:cnfStyle w:val="000000000000" w:firstRow="0" w:lastRow="0" w:firstColumn="0" w:lastColumn="0" w:oddVBand="0" w:evenVBand="0" w:oddHBand="0" w:evenHBand="0" w:firstRowFirstColumn="0" w:firstRowLastColumn="0" w:lastRowFirstColumn="0" w:lastRowLastColumn="0"/>
            </w:pPr>
            <w:r>
              <w:t>0.95</w:t>
            </w:r>
          </w:p>
        </w:tc>
        <w:tc>
          <w:tcPr>
            <w:tcW w:w="1491" w:type="dxa"/>
          </w:tcPr>
          <w:p w14:paraId="7C0A3E8E" w14:textId="06A0084A" w:rsidR="00851008" w:rsidRDefault="00851008" w:rsidP="00851008">
            <w:pPr>
              <w:pStyle w:val="BodyText"/>
              <w:spacing w:before="1"/>
              <w:ind w:right="105"/>
              <w:jc w:val="right"/>
              <w:cnfStyle w:val="000000000000" w:firstRow="0" w:lastRow="0" w:firstColumn="0" w:lastColumn="0" w:oddVBand="0" w:evenVBand="0" w:oddHBand="0" w:evenHBand="0" w:firstRowFirstColumn="0" w:firstRowLastColumn="0" w:lastRowFirstColumn="0" w:lastRowLastColumn="0"/>
            </w:pPr>
            <w:r>
              <w:t>0.93</w:t>
            </w:r>
          </w:p>
        </w:tc>
      </w:tr>
      <w:tr w:rsidR="00851008" w14:paraId="707560F4" w14:textId="77777777" w:rsidTr="008510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0" w:type="dxa"/>
          </w:tcPr>
          <w:p w14:paraId="43A6085F" w14:textId="7F33952B" w:rsidR="00851008" w:rsidRDefault="00851008" w:rsidP="0001771D">
            <w:pPr>
              <w:pStyle w:val="BodyText"/>
              <w:spacing w:before="1"/>
              <w:ind w:right="105"/>
            </w:pPr>
            <w:r>
              <w:t>F1 Score</w:t>
            </w:r>
          </w:p>
        </w:tc>
        <w:tc>
          <w:tcPr>
            <w:tcW w:w="1335" w:type="dxa"/>
          </w:tcPr>
          <w:p w14:paraId="539BF3C9" w14:textId="23642516" w:rsidR="00851008" w:rsidRDefault="00851008" w:rsidP="00851008">
            <w:pPr>
              <w:pStyle w:val="BodyText"/>
              <w:spacing w:before="1"/>
              <w:ind w:right="105"/>
              <w:jc w:val="right"/>
              <w:cnfStyle w:val="000000100000" w:firstRow="0" w:lastRow="0" w:firstColumn="0" w:lastColumn="0" w:oddVBand="0" w:evenVBand="0" w:oddHBand="1" w:evenHBand="0" w:firstRowFirstColumn="0" w:firstRowLastColumn="0" w:lastRowFirstColumn="0" w:lastRowLastColumn="0"/>
            </w:pPr>
            <w:r>
              <w:t>0.94</w:t>
            </w:r>
          </w:p>
        </w:tc>
        <w:tc>
          <w:tcPr>
            <w:tcW w:w="1491" w:type="dxa"/>
          </w:tcPr>
          <w:p w14:paraId="20E4469B" w14:textId="1D45832E" w:rsidR="00851008" w:rsidRDefault="00851008" w:rsidP="00851008">
            <w:pPr>
              <w:pStyle w:val="BodyText"/>
              <w:spacing w:before="1"/>
              <w:ind w:right="105"/>
              <w:jc w:val="right"/>
              <w:cnfStyle w:val="000000100000" w:firstRow="0" w:lastRow="0" w:firstColumn="0" w:lastColumn="0" w:oddVBand="0" w:evenVBand="0" w:oddHBand="1" w:evenHBand="0" w:firstRowFirstColumn="0" w:firstRowLastColumn="0" w:lastRowFirstColumn="0" w:lastRowLastColumn="0"/>
            </w:pPr>
            <w:r>
              <w:t>0.94</w:t>
            </w:r>
          </w:p>
        </w:tc>
      </w:tr>
      <w:tr w:rsidR="00851008" w14:paraId="15529326" w14:textId="77777777" w:rsidTr="00851008">
        <w:trPr>
          <w:jc w:val="center"/>
        </w:trPr>
        <w:tc>
          <w:tcPr>
            <w:cnfStyle w:val="001000000000" w:firstRow="0" w:lastRow="0" w:firstColumn="1" w:lastColumn="0" w:oddVBand="0" w:evenVBand="0" w:oddHBand="0" w:evenHBand="0" w:firstRowFirstColumn="0" w:firstRowLastColumn="0" w:lastRowFirstColumn="0" w:lastRowLastColumn="0"/>
            <w:tcW w:w="1110" w:type="dxa"/>
          </w:tcPr>
          <w:p w14:paraId="621556C4" w14:textId="07D61B0D" w:rsidR="00851008" w:rsidRDefault="00851008" w:rsidP="0001771D">
            <w:pPr>
              <w:pStyle w:val="BodyText"/>
              <w:spacing w:before="1"/>
              <w:ind w:right="105"/>
            </w:pPr>
            <w:r>
              <w:t>Support</w:t>
            </w:r>
          </w:p>
        </w:tc>
        <w:tc>
          <w:tcPr>
            <w:tcW w:w="1335" w:type="dxa"/>
          </w:tcPr>
          <w:p w14:paraId="67AE8D38" w14:textId="291B9A84" w:rsidR="00851008" w:rsidRDefault="00851008" w:rsidP="00851008">
            <w:pPr>
              <w:pStyle w:val="BodyText"/>
              <w:spacing w:before="1"/>
              <w:ind w:right="105"/>
              <w:jc w:val="right"/>
              <w:cnfStyle w:val="000000000000" w:firstRow="0" w:lastRow="0" w:firstColumn="0" w:lastColumn="0" w:oddVBand="0" w:evenVBand="0" w:oddHBand="0" w:evenHBand="0" w:firstRowFirstColumn="0" w:firstRowLastColumn="0" w:lastRowFirstColumn="0" w:lastRowLastColumn="0"/>
            </w:pPr>
            <w:r>
              <w:t>1143</w:t>
            </w:r>
          </w:p>
        </w:tc>
        <w:tc>
          <w:tcPr>
            <w:tcW w:w="1491" w:type="dxa"/>
          </w:tcPr>
          <w:p w14:paraId="2E6C8C64" w14:textId="791EBD6A" w:rsidR="00851008" w:rsidRDefault="00851008" w:rsidP="00851008">
            <w:pPr>
              <w:pStyle w:val="BodyText"/>
              <w:spacing w:before="1"/>
              <w:ind w:right="105"/>
              <w:jc w:val="right"/>
              <w:cnfStyle w:val="000000000000" w:firstRow="0" w:lastRow="0" w:firstColumn="0" w:lastColumn="0" w:oddVBand="0" w:evenVBand="0" w:oddHBand="0" w:evenHBand="0" w:firstRowFirstColumn="0" w:firstRowLastColumn="0" w:lastRowFirstColumn="0" w:lastRowLastColumn="0"/>
            </w:pPr>
            <w:r>
              <w:t>1143</w:t>
            </w:r>
          </w:p>
        </w:tc>
      </w:tr>
    </w:tbl>
    <w:p w14:paraId="1822B18E" w14:textId="7A981646" w:rsidR="008F139F" w:rsidRDefault="00851008" w:rsidP="0001771D">
      <w:pPr>
        <w:pStyle w:val="BodyText"/>
        <w:spacing w:before="1"/>
        <w:ind w:right="105"/>
      </w:pPr>
      <w:r>
        <w:tab/>
      </w:r>
      <w:r>
        <w:tab/>
      </w:r>
      <w:r>
        <w:tab/>
        <w:t>Table 1</w:t>
      </w:r>
    </w:p>
    <w:p w14:paraId="668420F6" w14:textId="2C7CB855" w:rsidR="00FA2D6F" w:rsidRDefault="00851008" w:rsidP="0001771D">
      <w:pPr>
        <w:pStyle w:val="BodyText"/>
        <w:spacing w:before="1"/>
        <w:ind w:right="105"/>
      </w:pPr>
      <w:r>
        <w:t>Table</w:t>
      </w:r>
      <w:r w:rsidR="00FA2D6F">
        <w:t xml:space="preserve"> </w:t>
      </w:r>
      <w:r>
        <w:t>1</w:t>
      </w:r>
      <w:r w:rsidR="00FA2D6F">
        <w:t xml:space="preserve"> shows the Classification Report of the model.</w:t>
      </w:r>
    </w:p>
    <w:p w14:paraId="1400762D" w14:textId="53964142" w:rsidR="0001771D" w:rsidRDefault="0001771D" w:rsidP="0001771D">
      <w:pPr>
        <w:pStyle w:val="BodyText"/>
        <w:spacing w:before="1"/>
        <w:ind w:right="105"/>
        <w:rPr>
          <w:i/>
          <w:iCs/>
          <w:sz w:val="15"/>
          <w:szCs w:val="15"/>
        </w:rPr>
      </w:pPr>
    </w:p>
    <w:p w14:paraId="44EA8372" w14:textId="77777777" w:rsidR="00C907D5" w:rsidRPr="00C907D5" w:rsidRDefault="00C907D5" w:rsidP="0001771D">
      <w:pPr>
        <w:pStyle w:val="BodyText"/>
        <w:spacing w:before="1"/>
        <w:ind w:right="105"/>
        <w:rPr>
          <w:i/>
          <w:iCs/>
          <w:sz w:val="15"/>
          <w:szCs w:val="15"/>
        </w:rPr>
      </w:pPr>
    </w:p>
    <w:p w14:paraId="6938266D" w14:textId="4814CB40" w:rsidR="0001771D" w:rsidRDefault="0001771D" w:rsidP="00454DD6">
      <w:pPr>
        <w:pStyle w:val="BodyText"/>
        <w:numPr>
          <w:ilvl w:val="0"/>
          <w:numId w:val="21"/>
        </w:numPr>
        <w:spacing w:before="1"/>
        <w:ind w:right="105"/>
      </w:pPr>
      <w:r>
        <w:t>CONCLUSION</w:t>
      </w:r>
    </w:p>
    <w:p w14:paraId="50F17294" w14:textId="45527A49" w:rsidR="0001771D" w:rsidRDefault="00454DD6" w:rsidP="00454DD6">
      <w:pPr>
        <w:pStyle w:val="BodyText"/>
        <w:spacing w:before="1"/>
        <w:ind w:right="105"/>
        <w:jc w:val="both"/>
      </w:pPr>
      <w:r w:rsidRPr="00454DD6">
        <w:t>In summary, the suggested approach presents a hopeful automated method for identifying phishing URLs. Through the utilization of deep learning methods, this technique enhances both the effectiveness and precision of the process, thereby offering advantages to cybersecurity professionals and online users. Future investigations might delve into implementing this approach in web services to assess its practical value in real-life situations.</w:t>
      </w:r>
    </w:p>
    <w:sectPr w:rsidR="0001771D">
      <w:type w:val="continuous"/>
      <w:pgSz w:w="11910" w:h="16840"/>
      <w:pgMar w:top="1120" w:right="700" w:bottom="280" w:left="700" w:header="720" w:footer="720" w:gutter="0"/>
      <w:cols w:num="2" w:space="720" w:equalWidth="0">
        <w:col w:w="4939" w:space="571"/>
        <w:col w:w="50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DE3"/>
    <w:multiLevelType w:val="hybridMultilevel"/>
    <w:tmpl w:val="EAAA3B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219E3"/>
    <w:multiLevelType w:val="hybridMultilevel"/>
    <w:tmpl w:val="B9D82666"/>
    <w:lvl w:ilvl="0" w:tplc="5A48F69C">
      <w:start w:val="1"/>
      <w:numFmt w:val="upperRoman"/>
      <w:lvlText w:val="%1."/>
      <w:lvlJc w:val="left"/>
      <w:pPr>
        <w:ind w:left="826" w:hanging="360"/>
      </w:pPr>
      <w:rPr>
        <w:rFonts w:ascii="Times New Roman" w:eastAsia="Times New Roman" w:hAnsi="Times New Roman" w:cs="Times New Roman" w:hint="default"/>
        <w:w w:val="99"/>
        <w:sz w:val="20"/>
        <w:szCs w:val="20"/>
        <w:lang w:val="en-US" w:eastAsia="en-US" w:bidi="ar-SA"/>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2" w15:restartNumberingAfterBreak="0">
    <w:nsid w:val="0EDC3114"/>
    <w:multiLevelType w:val="hybridMultilevel"/>
    <w:tmpl w:val="27228764"/>
    <w:lvl w:ilvl="0" w:tplc="AF444A24">
      <w:start w:val="2"/>
      <w:numFmt w:val="upperRoman"/>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0C20604"/>
    <w:multiLevelType w:val="hybridMultilevel"/>
    <w:tmpl w:val="0C42C668"/>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6BF38E0"/>
    <w:multiLevelType w:val="hybridMultilevel"/>
    <w:tmpl w:val="7260649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F243B8"/>
    <w:multiLevelType w:val="hybridMultilevel"/>
    <w:tmpl w:val="D9CAD6CC"/>
    <w:lvl w:ilvl="0" w:tplc="93580376">
      <w:start w:val="1"/>
      <w:numFmt w:val="upperRoman"/>
      <w:lvlText w:val="%1."/>
      <w:lvlJc w:val="left"/>
      <w:pPr>
        <w:ind w:left="1496" w:hanging="288"/>
        <w:jc w:val="right"/>
      </w:pPr>
      <w:rPr>
        <w:rFonts w:ascii="Times New Roman" w:eastAsia="Times New Roman" w:hAnsi="Times New Roman" w:cs="Times New Roman" w:hint="default"/>
        <w:w w:val="99"/>
        <w:sz w:val="20"/>
        <w:szCs w:val="20"/>
        <w:lang w:val="en-US" w:eastAsia="en-US" w:bidi="ar-SA"/>
      </w:rPr>
    </w:lvl>
    <w:lvl w:ilvl="1" w:tplc="76C29580">
      <w:numFmt w:val="bullet"/>
      <w:lvlText w:val="•"/>
      <w:lvlJc w:val="left"/>
      <w:pPr>
        <w:ind w:left="1843" w:hanging="288"/>
      </w:pPr>
      <w:rPr>
        <w:rFonts w:hint="default"/>
        <w:lang w:val="en-US" w:eastAsia="en-US" w:bidi="ar-SA"/>
      </w:rPr>
    </w:lvl>
    <w:lvl w:ilvl="2" w:tplc="B4AA4D36">
      <w:numFmt w:val="bullet"/>
      <w:lvlText w:val="•"/>
      <w:lvlJc w:val="left"/>
      <w:pPr>
        <w:ind w:left="2187" w:hanging="288"/>
      </w:pPr>
      <w:rPr>
        <w:rFonts w:hint="default"/>
        <w:lang w:val="en-US" w:eastAsia="en-US" w:bidi="ar-SA"/>
      </w:rPr>
    </w:lvl>
    <w:lvl w:ilvl="3" w:tplc="8DD23C4A">
      <w:numFmt w:val="bullet"/>
      <w:lvlText w:val="•"/>
      <w:lvlJc w:val="left"/>
      <w:pPr>
        <w:ind w:left="2531" w:hanging="288"/>
      </w:pPr>
      <w:rPr>
        <w:rFonts w:hint="default"/>
        <w:lang w:val="en-US" w:eastAsia="en-US" w:bidi="ar-SA"/>
      </w:rPr>
    </w:lvl>
    <w:lvl w:ilvl="4" w:tplc="72B61294">
      <w:numFmt w:val="bullet"/>
      <w:lvlText w:val="•"/>
      <w:lvlJc w:val="left"/>
      <w:pPr>
        <w:ind w:left="2875" w:hanging="288"/>
      </w:pPr>
      <w:rPr>
        <w:rFonts w:hint="default"/>
        <w:lang w:val="en-US" w:eastAsia="en-US" w:bidi="ar-SA"/>
      </w:rPr>
    </w:lvl>
    <w:lvl w:ilvl="5" w:tplc="3F169B82">
      <w:numFmt w:val="bullet"/>
      <w:lvlText w:val="•"/>
      <w:lvlJc w:val="left"/>
      <w:pPr>
        <w:ind w:left="3219" w:hanging="288"/>
      </w:pPr>
      <w:rPr>
        <w:rFonts w:hint="default"/>
        <w:lang w:val="en-US" w:eastAsia="en-US" w:bidi="ar-SA"/>
      </w:rPr>
    </w:lvl>
    <w:lvl w:ilvl="6" w:tplc="5BBA67C0">
      <w:numFmt w:val="bullet"/>
      <w:lvlText w:val="•"/>
      <w:lvlJc w:val="left"/>
      <w:pPr>
        <w:ind w:left="3562" w:hanging="288"/>
      </w:pPr>
      <w:rPr>
        <w:rFonts w:hint="default"/>
        <w:lang w:val="en-US" w:eastAsia="en-US" w:bidi="ar-SA"/>
      </w:rPr>
    </w:lvl>
    <w:lvl w:ilvl="7" w:tplc="9B601AA6">
      <w:numFmt w:val="bullet"/>
      <w:lvlText w:val="•"/>
      <w:lvlJc w:val="left"/>
      <w:pPr>
        <w:ind w:left="3906" w:hanging="288"/>
      </w:pPr>
      <w:rPr>
        <w:rFonts w:hint="default"/>
        <w:lang w:val="en-US" w:eastAsia="en-US" w:bidi="ar-SA"/>
      </w:rPr>
    </w:lvl>
    <w:lvl w:ilvl="8" w:tplc="A3BE5E5A">
      <w:numFmt w:val="bullet"/>
      <w:lvlText w:val="•"/>
      <w:lvlJc w:val="left"/>
      <w:pPr>
        <w:ind w:left="4250" w:hanging="288"/>
      </w:pPr>
      <w:rPr>
        <w:rFonts w:hint="default"/>
        <w:lang w:val="en-US" w:eastAsia="en-US" w:bidi="ar-SA"/>
      </w:rPr>
    </w:lvl>
  </w:abstractNum>
  <w:abstractNum w:abstractNumId="6" w15:restartNumberingAfterBreak="0">
    <w:nsid w:val="2BBB715D"/>
    <w:multiLevelType w:val="hybridMultilevel"/>
    <w:tmpl w:val="7EFAAE24"/>
    <w:lvl w:ilvl="0" w:tplc="FB68924E">
      <w:start w:val="4"/>
      <w:numFmt w:val="upperRoman"/>
      <w:lvlText w:val="%1."/>
      <w:lvlJc w:val="righ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6123B5"/>
    <w:multiLevelType w:val="hybridMultilevel"/>
    <w:tmpl w:val="F904905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50232215"/>
    <w:multiLevelType w:val="multilevel"/>
    <w:tmpl w:val="0D4219E4"/>
    <w:lvl w:ilvl="0">
      <w:start w:val="1"/>
      <w:numFmt w:val="upperLetter"/>
      <w:pStyle w:val="IEEEHeading2"/>
      <w:lvlText w:val="%1."/>
      <w:lvlJc w:val="left"/>
      <w:pPr>
        <w:tabs>
          <w:tab w:val="left" w:pos="288"/>
        </w:tabs>
        <w:ind w:left="288" w:hanging="288"/>
      </w:pPr>
      <w:rPr>
        <w:rFonts w:ascii="Times New Roman" w:eastAsia="SimSun" w:hAnsi="Times New Roman" w:cs="Times New Roman"/>
        <w:b w:val="0"/>
        <w:bCs/>
        <w:i/>
        <w:iCs w:val="0"/>
        <w:caps/>
        <w:strike w:val="0"/>
        <w:dstrike w:val="0"/>
        <w:outline w:val="0"/>
        <w:shadow w:val="0"/>
        <w:emboss w:val="0"/>
        <w:imprint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9" w15:restartNumberingAfterBreak="0">
    <w:nsid w:val="58196E68"/>
    <w:multiLevelType w:val="hybridMultilevel"/>
    <w:tmpl w:val="C81ED8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254BC"/>
    <w:multiLevelType w:val="hybridMultilevel"/>
    <w:tmpl w:val="EE68A1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610493"/>
    <w:multiLevelType w:val="hybridMultilevel"/>
    <w:tmpl w:val="4D482DB0"/>
    <w:lvl w:ilvl="0" w:tplc="FE662674">
      <w:start w:val="1"/>
      <w:numFmt w:val="upperRoman"/>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250A4"/>
    <w:multiLevelType w:val="hybridMultilevel"/>
    <w:tmpl w:val="48F08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AF60B2"/>
    <w:multiLevelType w:val="hybridMultilevel"/>
    <w:tmpl w:val="861AF5F4"/>
    <w:lvl w:ilvl="0" w:tplc="CEF4F7F4">
      <w:start w:val="3"/>
      <w:numFmt w:val="upperRoman"/>
      <w:lvlText w:val="%1."/>
      <w:lvlJc w:val="left"/>
      <w:pPr>
        <w:ind w:left="2992" w:hanging="288"/>
      </w:pPr>
      <w:rPr>
        <w:rFonts w:ascii="Times New Roman" w:eastAsia="Times New Roman" w:hAnsi="Times New Roman" w:cs="Times New Roman" w:hint="default"/>
        <w:w w:val="99"/>
        <w:sz w:val="20"/>
        <w:szCs w:val="20"/>
      </w:rPr>
    </w:lvl>
    <w:lvl w:ilvl="1" w:tplc="40090019" w:tentative="1">
      <w:start w:val="1"/>
      <w:numFmt w:val="lowerLetter"/>
      <w:lvlText w:val="%2."/>
      <w:lvlJc w:val="left"/>
      <w:pPr>
        <w:ind w:left="2936" w:hanging="360"/>
      </w:pPr>
    </w:lvl>
    <w:lvl w:ilvl="2" w:tplc="40090013">
      <w:start w:val="1"/>
      <w:numFmt w:val="upperRoman"/>
      <w:lvlText w:val="%3."/>
      <w:lvlJc w:val="right"/>
      <w:pPr>
        <w:ind w:left="3836" w:hanging="360"/>
      </w:pPr>
    </w:lvl>
    <w:lvl w:ilvl="3" w:tplc="4009000F" w:tentative="1">
      <w:start w:val="1"/>
      <w:numFmt w:val="decimal"/>
      <w:lvlText w:val="%4."/>
      <w:lvlJc w:val="left"/>
      <w:pPr>
        <w:ind w:left="4376" w:hanging="360"/>
      </w:pPr>
    </w:lvl>
    <w:lvl w:ilvl="4" w:tplc="40090019" w:tentative="1">
      <w:start w:val="1"/>
      <w:numFmt w:val="lowerLetter"/>
      <w:lvlText w:val="%5."/>
      <w:lvlJc w:val="left"/>
      <w:pPr>
        <w:ind w:left="5096" w:hanging="360"/>
      </w:pPr>
    </w:lvl>
    <w:lvl w:ilvl="5" w:tplc="4009001B" w:tentative="1">
      <w:start w:val="1"/>
      <w:numFmt w:val="lowerRoman"/>
      <w:lvlText w:val="%6."/>
      <w:lvlJc w:val="right"/>
      <w:pPr>
        <w:ind w:left="5816" w:hanging="180"/>
      </w:pPr>
    </w:lvl>
    <w:lvl w:ilvl="6" w:tplc="4009000F" w:tentative="1">
      <w:start w:val="1"/>
      <w:numFmt w:val="decimal"/>
      <w:lvlText w:val="%7."/>
      <w:lvlJc w:val="left"/>
      <w:pPr>
        <w:ind w:left="6536" w:hanging="360"/>
      </w:pPr>
    </w:lvl>
    <w:lvl w:ilvl="7" w:tplc="40090019" w:tentative="1">
      <w:start w:val="1"/>
      <w:numFmt w:val="lowerLetter"/>
      <w:lvlText w:val="%8."/>
      <w:lvlJc w:val="left"/>
      <w:pPr>
        <w:ind w:left="7256" w:hanging="360"/>
      </w:pPr>
    </w:lvl>
    <w:lvl w:ilvl="8" w:tplc="4009001B" w:tentative="1">
      <w:start w:val="1"/>
      <w:numFmt w:val="lowerRoman"/>
      <w:lvlText w:val="%9."/>
      <w:lvlJc w:val="right"/>
      <w:pPr>
        <w:ind w:left="7976" w:hanging="180"/>
      </w:pPr>
    </w:lvl>
  </w:abstractNum>
  <w:abstractNum w:abstractNumId="14" w15:restartNumberingAfterBreak="0">
    <w:nsid w:val="63284BA4"/>
    <w:multiLevelType w:val="hybridMultilevel"/>
    <w:tmpl w:val="4A1A2772"/>
    <w:lvl w:ilvl="0" w:tplc="CEF4F7F4">
      <w:start w:val="3"/>
      <w:numFmt w:val="upperRoman"/>
      <w:lvlText w:val="%1."/>
      <w:lvlJc w:val="left"/>
      <w:pPr>
        <w:ind w:left="1496" w:hanging="288"/>
      </w:pPr>
      <w:rPr>
        <w:rFonts w:ascii="Times New Roman" w:eastAsia="Times New Roman" w:hAnsi="Times New Roman" w:cs="Times New Roman" w:hint="default"/>
        <w:w w:val="99"/>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8D0DA1"/>
    <w:multiLevelType w:val="hybridMultilevel"/>
    <w:tmpl w:val="FBAA2D88"/>
    <w:lvl w:ilvl="0" w:tplc="CA3E45BC">
      <w:start w:val="2"/>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6E47C88"/>
    <w:multiLevelType w:val="hybridMultilevel"/>
    <w:tmpl w:val="7B20F6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050E94"/>
    <w:multiLevelType w:val="hybridMultilevel"/>
    <w:tmpl w:val="F98AE348"/>
    <w:lvl w:ilvl="0" w:tplc="3978200E">
      <w:start w:val="2"/>
      <w:numFmt w:val="upperRoman"/>
      <w:lvlText w:val="%1."/>
      <w:lvlJc w:val="righ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7007153C"/>
    <w:multiLevelType w:val="hybridMultilevel"/>
    <w:tmpl w:val="9300C96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77DA3F84"/>
    <w:multiLevelType w:val="hybridMultilevel"/>
    <w:tmpl w:val="0434893C"/>
    <w:lvl w:ilvl="0" w:tplc="FFFFFFFF">
      <w:start w:val="1"/>
      <w:numFmt w:val="upperRoman"/>
      <w:lvlText w:val="%1."/>
      <w:lvlJc w:val="left"/>
      <w:pPr>
        <w:ind w:left="1496" w:hanging="288"/>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1843" w:hanging="288"/>
      </w:pPr>
      <w:rPr>
        <w:rFonts w:hint="default"/>
        <w:lang w:val="en-US" w:eastAsia="en-US" w:bidi="ar-SA"/>
      </w:rPr>
    </w:lvl>
    <w:lvl w:ilvl="2" w:tplc="FFFFFFFF">
      <w:numFmt w:val="bullet"/>
      <w:lvlText w:val="•"/>
      <w:lvlJc w:val="left"/>
      <w:pPr>
        <w:ind w:left="2187" w:hanging="288"/>
      </w:pPr>
      <w:rPr>
        <w:rFonts w:hint="default"/>
        <w:lang w:val="en-US" w:eastAsia="en-US" w:bidi="ar-SA"/>
      </w:rPr>
    </w:lvl>
    <w:lvl w:ilvl="3" w:tplc="FFFFFFFF">
      <w:numFmt w:val="bullet"/>
      <w:lvlText w:val="•"/>
      <w:lvlJc w:val="left"/>
      <w:pPr>
        <w:ind w:left="2531" w:hanging="288"/>
      </w:pPr>
      <w:rPr>
        <w:rFonts w:hint="default"/>
        <w:lang w:val="en-US" w:eastAsia="en-US" w:bidi="ar-SA"/>
      </w:rPr>
    </w:lvl>
    <w:lvl w:ilvl="4" w:tplc="FFFFFFFF">
      <w:numFmt w:val="bullet"/>
      <w:lvlText w:val="•"/>
      <w:lvlJc w:val="left"/>
      <w:pPr>
        <w:ind w:left="2875" w:hanging="288"/>
      </w:pPr>
      <w:rPr>
        <w:rFonts w:hint="default"/>
        <w:lang w:val="en-US" w:eastAsia="en-US" w:bidi="ar-SA"/>
      </w:rPr>
    </w:lvl>
    <w:lvl w:ilvl="5" w:tplc="FFFFFFFF">
      <w:numFmt w:val="bullet"/>
      <w:lvlText w:val="•"/>
      <w:lvlJc w:val="left"/>
      <w:pPr>
        <w:ind w:left="3219" w:hanging="288"/>
      </w:pPr>
      <w:rPr>
        <w:rFonts w:hint="default"/>
        <w:lang w:val="en-US" w:eastAsia="en-US" w:bidi="ar-SA"/>
      </w:rPr>
    </w:lvl>
    <w:lvl w:ilvl="6" w:tplc="FFFFFFFF">
      <w:numFmt w:val="bullet"/>
      <w:lvlText w:val="•"/>
      <w:lvlJc w:val="left"/>
      <w:pPr>
        <w:ind w:left="3562" w:hanging="288"/>
      </w:pPr>
      <w:rPr>
        <w:rFonts w:hint="default"/>
        <w:lang w:val="en-US" w:eastAsia="en-US" w:bidi="ar-SA"/>
      </w:rPr>
    </w:lvl>
    <w:lvl w:ilvl="7" w:tplc="FFFFFFFF">
      <w:numFmt w:val="bullet"/>
      <w:lvlText w:val="•"/>
      <w:lvlJc w:val="left"/>
      <w:pPr>
        <w:ind w:left="3906" w:hanging="288"/>
      </w:pPr>
      <w:rPr>
        <w:rFonts w:hint="default"/>
        <w:lang w:val="en-US" w:eastAsia="en-US" w:bidi="ar-SA"/>
      </w:rPr>
    </w:lvl>
    <w:lvl w:ilvl="8" w:tplc="FFFFFFFF">
      <w:numFmt w:val="bullet"/>
      <w:lvlText w:val="•"/>
      <w:lvlJc w:val="left"/>
      <w:pPr>
        <w:ind w:left="4250" w:hanging="288"/>
      </w:pPr>
      <w:rPr>
        <w:rFonts w:hint="default"/>
        <w:lang w:val="en-US" w:eastAsia="en-US" w:bidi="ar-SA"/>
      </w:rPr>
    </w:lvl>
  </w:abstractNum>
  <w:abstractNum w:abstractNumId="20" w15:restartNumberingAfterBreak="0">
    <w:nsid w:val="7E9862B2"/>
    <w:multiLevelType w:val="multilevel"/>
    <w:tmpl w:val="37C852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74545400">
    <w:abstractNumId w:val="5"/>
  </w:num>
  <w:num w:numId="2" w16cid:durableId="746456756">
    <w:abstractNumId w:val="11"/>
  </w:num>
  <w:num w:numId="3" w16cid:durableId="363211879">
    <w:abstractNumId w:val="8"/>
  </w:num>
  <w:num w:numId="4" w16cid:durableId="980647724">
    <w:abstractNumId w:val="1"/>
  </w:num>
  <w:num w:numId="5" w16cid:durableId="1892645449">
    <w:abstractNumId w:val="19"/>
  </w:num>
  <w:num w:numId="6" w16cid:durableId="70349700">
    <w:abstractNumId w:val="9"/>
  </w:num>
  <w:num w:numId="7" w16cid:durableId="9398018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7152195">
    <w:abstractNumId w:val="12"/>
  </w:num>
  <w:num w:numId="9" w16cid:durableId="767314339">
    <w:abstractNumId w:val="7"/>
  </w:num>
  <w:num w:numId="10" w16cid:durableId="1303199350">
    <w:abstractNumId w:val="18"/>
  </w:num>
  <w:num w:numId="11" w16cid:durableId="1555308087">
    <w:abstractNumId w:val="15"/>
  </w:num>
  <w:num w:numId="12" w16cid:durableId="1356807272">
    <w:abstractNumId w:val="3"/>
  </w:num>
  <w:num w:numId="13" w16cid:durableId="1731490440">
    <w:abstractNumId w:val="2"/>
  </w:num>
  <w:num w:numId="14" w16cid:durableId="771827016">
    <w:abstractNumId w:val="0"/>
  </w:num>
  <w:num w:numId="15" w16cid:durableId="309556441">
    <w:abstractNumId w:val="17"/>
  </w:num>
  <w:num w:numId="16" w16cid:durableId="129447478">
    <w:abstractNumId w:val="14"/>
  </w:num>
  <w:num w:numId="17" w16cid:durableId="1907640303">
    <w:abstractNumId w:val="13"/>
  </w:num>
  <w:num w:numId="18" w16cid:durableId="53822966">
    <w:abstractNumId w:val="4"/>
  </w:num>
  <w:num w:numId="19" w16cid:durableId="280066365">
    <w:abstractNumId w:val="10"/>
  </w:num>
  <w:num w:numId="20" w16cid:durableId="64838107">
    <w:abstractNumId w:val="16"/>
  </w:num>
  <w:num w:numId="21" w16cid:durableId="822968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606F"/>
    <w:rsid w:val="0001771D"/>
    <w:rsid w:val="000D10F2"/>
    <w:rsid w:val="001B63A1"/>
    <w:rsid w:val="002776D7"/>
    <w:rsid w:val="00291138"/>
    <w:rsid w:val="002C42B3"/>
    <w:rsid w:val="002F68CB"/>
    <w:rsid w:val="0035606F"/>
    <w:rsid w:val="00454DD6"/>
    <w:rsid w:val="005048EE"/>
    <w:rsid w:val="005652AA"/>
    <w:rsid w:val="00642070"/>
    <w:rsid w:val="006E76A8"/>
    <w:rsid w:val="00851008"/>
    <w:rsid w:val="008A7FB7"/>
    <w:rsid w:val="008F139F"/>
    <w:rsid w:val="00A41039"/>
    <w:rsid w:val="00AF6F3B"/>
    <w:rsid w:val="00C907D5"/>
    <w:rsid w:val="00CC2826"/>
    <w:rsid w:val="00D74E28"/>
    <w:rsid w:val="00DD4217"/>
    <w:rsid w:val="00E823D4"/>
    <w:rsid w:val="00EB2644"/>
    <w:rsid w:val="00ED6CEE"/>
    <w:rsid w:val="00FA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ED0A"/>
  <w15:docId w15:val="{43571BEC-2C3D-4D9F-9AB0-0F4C99F0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7"/>
      <w:ind w:left="478" w:right="478"/>
      <w:jc w:val="center"/>
    </w:pPr>
    <w:rPr>
      <w:b/>
      <w:bCs/>
      <w:sz w:val="48"/>
      <w:szCs w:val="48"/>
    </w:rPr>
  </w:style>
  <w:style w:type="paragraph" w:styleId="ListParagraph">
    <w:name w:val="List Paragraph"/>
    <w:basedOn w:val="Normal"/>
    <w:uiPriority w:val="1"/>
    <w:qFormat/>
    <w:pPr>
      <w:ind w:left="1496" w:hanging="289"/>
    </w:pPr>
  </w:style>
  <w:style w:type="paragraph" w:customStyle="1" w:styleId="TableParagraph">
    <w:name w:val="Table Paragraph"/>
    <w:basedOn w:val="Normal"/>
    <w:uiPriority w:val="1"/>
    <w:qFormat/>
  </w:style>
  <w:style w:type="table" w:styleId="TableGrid">
    <w:name w:val="Table Grid"/>
    <w:basedOn w:val="TableNormal"/>
    <w:uiPriority w:val="39"/>
    <w:rsid w:val="002776D7"/>
    <w:pPr>
      <w:widowControl/>
      <w:autoSpaceDE/>
      <w:autoSpaceDN/>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Heading2">
    <w:name w:val="IEEE Heading 2"/>
    <w:basedOn w:val="Normal"/>
    <w:next w:val="Normal"/>
    <w:rsid w:val="002776D7"/>
    <w:pPr>
      <w:widowControl/>
      <w:numPr>
        <w:numId w:val="3"/>
      </w:numPr>
      <w:autoSpaceDE/>
      <w:autoSpaceDN/>
      <w:adjustRightInd w:val="0"/>
      <w:snapToGrid w:val="0"/>
      <w:spacing w:before="150" w:after="60"/>
      <w:ind w:left="289" w:hanging="289"/>
    </w:pPr>
    <w:rPr>
      <w:rFonts w:eastAsia="SimSun"/>
      <w:i/>
      <w:sz w:val="20"/>
      <w:szCs w:val="24"/>
      <w:lang w:val="en-AU" w:eastAsia="zh-CN"/>
    </w:rPr>
  </w:style>
  <w:style w:type="character" w:customStyle="1" w:styleId="BodyTextChar">
    <w:name w:val="Body Text Char"/>
    <w:basedOn w:val="DefaultParagraphFont"/>
    <w:link w:val="BodyText"/>
    <w:uiPriority w:val="1"/>
    <w:rsid w:val="00642070"/>
    <w:rPr>
      <w:rFonts w:ascii="Times New Roman" w:eastAsia="Times New Roman" w:hAnsi="Times New Roman" w:cs="Times New Roman"/>
      <w:sz w:val="20"/>
      <w:szCs w:val="20"/>
    </w:rPr>
  </w:style>
  <w:style w:type="table" w:styleId="GridTable5Dark">
    <w:name w:val="Grid Table 5 Dark"/>
    <w:basedOn w:val="TableNormal"/>
    <w:uiPriority w:val="50"/>
    <w:rsid w:val="008510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619717">
      <w:bodyDiv w:val="1"/>
      <w:marLeft w:val="0"/>
      <w:marRight w:val="0"/>
      <w:marTop w:val="0"/>
      <w:marBottom w:val="0"/>
      <w:divBdr>
        <w:top w:val="none" w:sz="0" w:space="0" w:color="auto"/>
        <w:left w:val="none" w:sz="0" w:space="0" w:color="auto"/>
        <w:bottom w:val="none" w:sz="0" w:space="0" w:color="auto"/>
        <w:right w:val="none" w:sz="0" w:space="0" w:color="auto"/>
      </w:divBdr>
    </w:div>
    <w:div w:id="929699960">
      <w:bodyDiv w:val="1"/>
      <w:marLeft w:val="0"/>
      <w:marRight w:val="0"/>
      <w:marTop w:val="0"/>
      <w:marBottom w:val="0"/>
      <w:divBdr>
        <w:top w:val="none" w:sz="0" w:space="0" w:color="auto"/>
        <w:left w:val="none" w:sz="0" w:space="0" w:color="auto"/>
        <w:bottom w:val="none" w:sz="0" w:space="0" w:color="auto"/>
        <w:right w:val="none" w:sz="0" w:space="0" w:color="auto"/>
      </w:divBdr>
    </w:div>
    <w:div w:id="978651181">
      <w:bodyDiv w:val="1"/>
      <w:marLeft w:val="0"/>
      <w:marRight w:val="0"/>
      <w:marTop w:val="0"/>
      <w:marBottom w:val="0"/>
      <w:divBdr>
        <w:top w:val="none" w:sz="0" w:space="0" w:color="auto"/>
        <w:left w:val="none" w:sz="0" w:space="0" w:color="auto"/>
        <w:bottom w:val="none" w:sz="0" w:space="0" w:color="auto"/>
        <w:right w:val="none" w:sz="0" w:space="0" w:color="auto"/>
      </w:divBdr>
    </w:div>
    <w:div w:id="1535580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Thirwani</dc:creator>
  <cp:lastModifiedBy>vansh bansal</cp:lastModifiedBy>
  <cp:revision>10</cp:revision>
  <dcterms:created xsi:type="dcterms:W3CDTF">2024-03-02T08:01:00Z</dcterms:created>
  <dcterms:modified xsi:type="dcterms:W3CDTF">2024-03-03T14:25:00Z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2024-01-24T00:00:00Z</vt:filetime>
  </property>
  <property fmtid="{D5CDD505-2E9C-101B-9397-08002B2CF9AE}" pid="3" name="Creator">
    <vt:lpwstr>Microsoft® Word 2016</vt:lpwstr>
  </property>
  <property fmtid="{D5CDD505-2E9C-101B-9397-08002B2CF9AE}" pid="4" name="LastSaved">
    <vt:filetime>2024-03-02T00:00:00Z</vt:filetime>
  </property>
</Properties>
</file>