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0EB0B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一、</w:t>
      </w:r>
      <w:r>
        <w:rPr>
          <w:rFonts w:hint="eastAsia" w:ascii="黑体" w:hAnsi="黑体" w:eastAsia="黑体"/>
          <w:sz w:val="24"/>
          <w:szCs w:val="24"/>
        </w:rPr>
        <w:t>脑电数据协议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共140个字节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</w:t>
      </w:r>
    </w:p>
    <w:p w14:paraId="32A6086D"/>
    <w:tbl>
      <w:tblPr>
        <w:tblStyle w:val="15"/>
        <w:tblW w:w="8868" w:type="dxa"/>
        <w:tblInd w:w="-1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582"/>
        <w:gridCol w:w="1014"/>
        <w:gridCol w:w="1262"/>
        <w:gridCol w:w="1115"/>
        <w:gridCol w:w="1235"/>
        <w:gridCol w:w="1272"/>
        <w:gridCol w:w="930"/>
        <w:gridCol w:w="780"/>
      </w:tblGrid>
      <w:tr w14:paraId="7E2C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  <w:vAlign w:val="center"/>
          </w:tcPr>
          <w:p w14:paraId="3F53842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1014" w:type="dxa"/>
            <w:vAlign w:val="center"/>
          </w:tcPr>
          <w:p w14:paraId="57E873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帧序号</w:t>
            </w:r>
          </w:p>
        </w:tc>
        <w:tc>
          <w:tcPr>
            <w:tcW w:w="2377" w:type="dxa"/>
            <w:gridSpan w:val="2"/>
            <w:vAlign w:val="center"/>
          </w:tcPr>
          <w:p w14:paraId="6C48016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带trigger脑电数据</w:t>
            </w:r>
          </w:p>
        </w:tc>
        <w:tc>
          <w:tcPr>
            <w:tcW w:w="1235" w:type="dxa"/>
            <w:vAlign w:val="center"/>
          </w:tcPr>
          <w:p w14:paraId="3D6EA8D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IMU数据</w:t>
            </w:r>
          </w:p>
        </w:tc>
        <w:tc>
          <w:tcPr>
            <w:tcW w:w="1272" w:type="dxa"/>
            <w:vAlign w:val="center"/>
          </w:tcPr>
          <w:p w14:paraId="5CF1653B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电池电量%</w:t>
            </w:r>
          </w:p>
        </w:tc>
        <w:tc>
          <w:tcPr>
            <w:tcW w:w="930" w:type="dxa"/>
            <w:vAlign w:val="center"/>
          </w:tcPr>
          <w:p w14:paraId="319BCE0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</w:tc>
        <w:tc>
          <w:tcPr>
            <w:tcW w:w="780" w:type="dxa"/>
            <w:vAlign w:val="center"/>
          </w:tcPr>
          <w:p w14:paraId="6F4154E3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  <w:tr w14:paraId="7BF9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Align w:val="center"/>
          </w:tcPr>
          <w:p w14:paraId="1D5B3875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  <w:tc>
          <w:tcPr>
            <w:tcW w:w="582" w:type="dxa"/>
            <w:vAlign w:val="center"/>
          </w:tcPr>
          <w:p w14:paraId="7F08466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  <w:tc>
          <w:tcPr>
            <w:tcW w:w="1014" w:type="dxa"/>
            <w:vAlign w:val="center"/>
          </w:tcPr>
          <w:p w14:paraId="0C9652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00到FF连续循环</w:t>
            </w:r>
          </w:p>
        </w:tc>
        <w:tc>
          <w:tcPr>
            <w:tcW w:w="1262" w:type="dxa"/>
            <w:vAlign w:val="center"/>
          </w:tcPr>
          <w:p w14:paraId="64A969B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EEG(120Byte)</w:t>
            </w:r>
          </w:p>
        </w:tc>
        <w:tc>
          <w:tcPr>
            <w:tcW w:w="1115" w:type="dxa"/>
            <w:vAlign w:val="center"/>
          </w:tcPr>
          <w:p w14:paraId="552BB7A8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Trigger（1Byte）</w:t>
            </w:r>
          </w:p>
        </w:tc>
        <w:tc>
          <w:tcPr>
            <w:tcW w:w="1235" w:type="dxa"/>
            <w:vAlign w:val="center"/>
          </w:tcPr>
          <w:p w14:paraId="37D0F793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IMU（12Byte）</w:t>
            </w:r>
          </w:p>
        </w:tc>
        <w:tc>
          <w:tcPr>
            <w:tcW w:w="1272" w:type="dxa"/>
            <w:vAlign w:val="center"/>
          </w:tcPr>
          <w:p w14:paraId="689324A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电量（2Byte）</w:t>
            </w:r>
          </w:p>
        </w:tc>
        <w:tc>
          <w:tcPr>
            <w:tcW w:w="930" w:type="dxa"/>
            <w:vAlign w:val="center"/>
          </w:tcPr>
          <w:p w14:paraId="640AF13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SUM（1B）</w:t>
            </w:r>
          </w:p>
        </w:tc>
        <w:tc>
          <w:tcPr>
            <w:tcW w:w="780" w:type="dxa"/>
            <w:vAlign w:val="center"/>
          </w:tcPr>
          <w:p w14:paraId="2278A9AE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0xCC</w:t>
            </w:r>
          </w:p>
        </w:tc>
      </w:tr>
    </w:tbl>
    <w:p w14:paraId="5437538D"/>
    <w:p w14:paraId="09F4F2A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帧序号，从0x00到0xFF连续循环标记，用于监测是否存在丢帧情况。</w:t>
      </w:r>
    </w:p>
    <w:p w14:paraId="42CD6E4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校验段，是除自身及帧头帧尾信息外，其他数据的累加和，取最低8位，即最低1个字节。</w:t>
      </w:r>
    </w:p>
    <w:p w14:paraId="021B709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EG数据段，每个点均1到8通道顺序排列，目前一帧中连续存储5个点数据，每个通道的一个数据占用3个字节，从高到低排列；Trigger段，占用1个字节，共8bit，目前仅低5位有效，高3位预留。低5位从低到高分别代表EEG数据到来的先后顺序。每位状态用于指示EEG段每个点的同步状态，“1”表示此采集点同步于trigger，“0”表示此采集点异步于trigger。举例：若Trigger段数据为8’bxxx_11100，则表示本帧的EEG数据段，前两个点异步于trigger，从第3个点开始同步于trigger。</w:t>
      </w:r>
    </w:p>
    <w:p w14:paraId="48C6B93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电池电量段，正常情况下，为0—100之间的值，表示当前电量百分比。不正常情况下，此段为0xffff，表示当前为读取电池电量信息或者底层硬件有问题，不能正确访问电量监测芯片。</w:t>
      </w:r>
    </w:p>
    <w:p w14:paraId="62E555C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（改动）</w:t>
      </w:r>
      <w:r>
        <w:rPr>
          <w:rFonts w:hint="eastAsia"/>
          <w:lang w:val="en-US" w:eastAsia="zh-CN"/>
        </w:rPr>
        <w:t>IMU数据段，为欧拉角信息。</w:t>
      </w:r>
      <w:r>
        <w:rPr>
          <w:rFonts w:hint="eastAsia"/>
          <w:color w:val="FF0000"/>
          <w:lang w:val="en-US" w:eastAsia="zh-CN"/>
        </w:rPr>
        <w:t>依次为偏航角、横滚角、俯仰角</w:t>
      </w:r>
      <w:r>
        <w:rPr>
          <w:rFonts w:hint="eastAsia"/>
          <w:lang w:val="en-US" w:eastAsia="zh-CN"/>
        </w:rPr>
        <w:t>。每个信息占用2个字节，高字节在前。</w:t>
      </w:r>
      <w:r>
        <w:rPr>
          <w:rFonts w:hint="eastAsia"/>
          <w:color w:val="FF0000"/>
          <w:lang w:val="en-US" w:eastAsia="zh-CN"/>
        </w:rPr>
        <w:t>目前仅占用低6个字节</w:t>
      </w:r>
      <w:r>
        <w:rPr>
          <w:rFonts w:hint="eastAsia"/>
          <w:lang w:val="en-US" w:eastAsia="zh-CN"/>
        </w:rPr>
        <w:t>，高6个字节备用。</w:t>
      </w:r>
    </w:p>
    <w:p w14:paraId="563EB16B"/>
    <w:p w14:paraId="7514CA2F">
      <w:pPr>
        <w:numPr>
          <w:ilvl w:val="0"/>
          <w:numId w:val="0"/>
        </w:numPr>
        <w:rPr>
          <w:rFonts w:hint="eastAsia" w:ascii="黑体" w:hAnsi="黑体" w:eastAsia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二、</w:t>
      </w:r>
      <w:r>
        <w:rPr>
          <w:rFonts w:hint="eastAsia" w:ascii="黑体" w:hAnsi="黑体" w:eastAsia="黑体"/>
          <w:sz w:val="24"/>
          <w:szCs w:val="24"/>
        </w:rPr>
        <w:t>阻抗数据协议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共46个字节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新增4个字节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只有开启了阻抗测量才会上传帧信息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</w:t>
      </w:r>
    </w:p>
    <w:p w14:paraId="2D9AB741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</w:rPr>
      </w:pPr>
    </w:p>
    <w:tbl>
      <w:tblPr>
        <w:tblStyle w:val="15"/>
        <w:tblW w:w="94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702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 w14:paraId="6E66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gridSpan w:val="2"/>
            <w:vAlign w:val="center"/>
          </w:tcPr>
          <w:p w14:paraId="4C510CC0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帧头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7E2E4F1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增益系数相关信息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4BB025D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16D8FA7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CH2阻抗相关信息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0DFFB58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CH3阻抗相关信息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6D16305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CH4阻抗相关信息</w:t>
            </w:r>
          </w:p>
        </w:tc>
      </w:tr>
      <w:tr w14:paraId="3DF1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Merge w:val="restart"/>
            <w:vAlign w:val="center"/>
          </w:tcPr>
          <w:p w14:paraId="58FCAB57">
            <w:pPr>
              <w:numPr>
                <w:ilvl w:val="0"/>
                <w:numId w:val="0"/>
              </w:numPr>
              <w:jc w:val="center"/>
              <w:rPr>
                <w:rFonts w:hint="default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0x55</w:t>
            </w:r>
          </w:p>
        </w:tc>
        <w:tc>
          <w:tcPr>
            <w:tcW w:w="702" w:type="dxa"/>
            <w:vMerge w:val="restart"/>
            <w:vAlign w:val="center"/>
          </w:tcPr>
          <w:p w14:paraId="7DD38DD2">
            <w:pPr>
              <w:numPr>
                <w:ilvl w:val="0"/>
                <w:numId w:val="0"/>
              </w:numPr>
              <w:jc w:val="center"/>
              <w:rPr>
                <w:rFonts w:hint="default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0x66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6DA87E3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EA6C74F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22188E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C80E17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C1BECC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169A6A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F92AF5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3C1DC9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8A7089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5EA650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4466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Merge w:val="continue"/>
            <w:vAlign w:val="center"/>
          </w:tcPr>
          <w:p w14:paraId="578EEF1F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702" w:type="dxa"/>
            <w:vMerge w:val="continue"/>
            <w:vAlign w:val="center"/>
          </w:tcPr>
          <w:p w14:paraId="4BD7D88F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800" w:type="dxa"/>
            <w:shd w:val="clear" w:color="auto" w:fill="auto"/>
            <w:vAlign w:val="center"/>
          </w:tcPr>
          <w:p w14:paraId="7C791E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8A763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872EC3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E25660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39B71F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CD949D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5A103D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784316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592C67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C70165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</w:tr>
    </w:tbl>
    <w:p w14:paraId="6F9FF279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</w:rPr>
      </w:pPr>
    </w:p>
    <w:p w14:paraId="23269DBB">
      <w:pPr>
        <w:rPr>
          <w:rFonts w:hint="eastAsia"/>
        </w:rPr>
      </w:pPr>
    </w:p>
    <w:tbl>
      <w:tblPr>
        <w:tblStyle w:val="15"/>
        <w:tblW w:w="9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766"/>
        <w:gridCol w:w="766"/>
        <w:gridCol w:w="766"/>
        <w:gridCol w:w="766"/>
        <w:gridCol w:w="766"/>
        <w:gridCol w:w="664"/>
        <w:gridCol w:w="906"/>
        <w:gridCol w:w="840"/>
        <w:gridCol w:w="882"/>
        <w:gridCol w:w="628"/>
        <w:gridCol w:w="1063"/>
      </w:tblGrid>
      <w:tr w14:paraId="284D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2" w:type="dxa"/>
            <w:gridSpan w:val="2"/>
            <w:shd w:val="clear" w:color="auto" w:fill="auto"/>
            <w:vAlign w:val="center"/>
          </w:tcPr>
          <w:p w14:paraId="26481A4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CH5阻抗相关信息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FF1E94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CH6阻抗相关信息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D4530B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CH7阻抗相关信息</w:t>
            </w:r>
          </w:p>
        </w:tc>
        <w:tc>
          <w:tcPr>
            <w:tcW w:w="1570" w:type="dxa"/>
            <w:gridSpan w:val="2"/>
            <w:shd w:val="clear" w:color="auto" w:fill="auto"/>
            <w:vAlign w:val="center"/>
          </w:tcPr>
          <w:p w14:paraId="00F5EB0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CH8阻抗相关信息</w:t>
            </w:r>
          </w:p>
        </w:tc>
        <w:tc>
          <w:tcPr>
            <w:tcW w:w="1722" w:type="dxa"/>
            <w:gridSpan w:val="2"/>
            <w:shd w:val="clear" w:color="auto" w:fill="auto"/>
            <w:vAlign w:val="center"/>
          </w:tcPr>
          <w:p w14:paraId="3385FC3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BIAS阻抗相关信息</w:t>
            </w:r>
          </w:p>
        </w:tc>
        <w:tc>
          <w:tcPr>
            <w:tcW w:w="1691" w:type="dxa"/>
            <w:gridSpan w:val="2"/>
            <w:shd w:val="clear" w:color="auto" w:fill="auto"/>
            <w:vAlign w:val="center"/>
          </w:tcPr>
          <w:p w14:paraId="114BD9BB">
            <w:pPr>
              <w:jc w:val="center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tDCS阳极和阴极之间电极阻抗</w:t>
            </w:r>
          </w:p>
        </w:tc>
      </w:tr>
      <w:tr w14:paraId="3F64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66468A7C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BAF42B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E92AB4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2092C8D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6DD9868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77D41C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7D1B8FE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54472EB1">
            <w:pPr>
              <w:jc w:val="center"/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1BE182A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9DD4C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A328CF6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256B545B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010D9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6A60159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089920B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59F61D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DBAF49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C5C827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7F9321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6E134FC8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09C2FB0B">
            <w:pPr>
              <w:jc w:val="center"/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30CE72A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8DC04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715A8EF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2B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A7BF695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2B</w:t>
            </w:r>
          </w:p>
        </w:tc>
      </w:tr>
    </w:tbl>
    <w:p w14:paraId="336E78F6">
      <w:pPr>
        <w:rPr>
          <w:rFonts w:hint="eastAsia"/>
        </w:rPr>
      </w:pPr>
    </w:p>
    <w:p w14:paraId="225C2AEE">
      <w:pPr>
        <w:rPr>
          <w:rFonts w:hint="default" w:eastAsia="宋体"/>
          <w:lang w:val="en-US" w:eastAsia="zh-CN"/>
        </w:rPr>
      </w:pPr>
      <w:r>
        <w:rPr>
          <w:rFonts w:hint="eastAsia"/>
        </w:rPr>
        <w:t>备注：</w:t>
      </w:r>
      <w:r>
        <w:rPr>
          <w:rFonts w:hint="eastAsia"/>
          <w:lang w:val="en-US" w:eastAsia="zh-CN"/>
        </w:rPr>
        <w:t>表格中的实部和虚部数据均为</w:t>
      </w:r>
      <w:r>
        <w:rPr>
          <w:rFonts w:hint="eastAsia"/>
          <w:color w:val="FF0000"/>
          <w:lang w:val="en-US" w:eastAsia="zh-CN"/>
        </w:rPr>
        <w:t>有符号整数，参与计算时需要注意</w:t>
      </w:r>
      <w:r>
        <w:rPr>
          <w:rFonts w:hint="eastAsia"/>
          <w:lang w:val="en-US" w:eastAsia="zh-CN"/>
        </w:rPr>
        <w:t>。</w:t>
      </w:r>
    </w:p>
    <w:p w14:paraId="12F62CC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阻抗值=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eastAsia" w:ascii="Cambria Math" w:hAnsi="Cambria Math"/>
                <w:lang w:val="en-US" w:eastAsia="zh-CN"/>
              </w:rPr>
              <m:t>增益系数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∗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阻抗实部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阻抗虚部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Ω，增益系数=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10000∗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增益相关信息实部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增益相关信息虚部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</w:p>
    <w:p w14:paraId="4C3C4103">
      <w:pPr>
        <w:rPr>
          <w:rFonts w:hint="eastAsia"/>
        </w:rPr>
      </w:pPr>
    </w:p>
    <w:p w14:paraId="3D69094E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FABC0E9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62A867B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ADBD074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E1074DF">
      <w:pPr>
        <w:numPr>
          <w:ilvl w:val="0"/>
          <w:numId w:val="0"/>
        </w:numPr>
        <w:rPr>
          <w:rFonts w:hint="eastAsia" w:ascii="黑体" w:hAnsi="黑体" w:eastAsia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三、tDCS相关</w:t>
      </w:r>
      <w:r>
        <w:rPr>
          <w:rFonts w:hint="eastAsia" w:ascii="黑体" w:hAnsi="黑体" w:eastAsia="黑体"/>
          <w:sz w:val="24"/>
          <w:szCs w:val="24"/>
        </w:rPr>
        <w:t>数据协议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共10个字节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(新增)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只有开启了tDCS，才会上传帧信息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</w:t>
      </w:r>
    </w:p>
    <w:p w14:paraId="2B425D85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45274E0C"/>
    <w:tbl>
      <w:tblPr>
        <w:tblStyle w:val="15"/>
        <w:tblW w:w="7427" w:type="dxa"/>
        <w:tblInd w:w="-1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731"/>
        <w:gridCol w:w="1064"/>
        <w:gridCol w:w="1298"/>
        <w:gridCol w:w="2482"/>
        <w:gridCol w:w="1014"/>
      </w:tblGrid>
      <w:tr w14:paraId="5D13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gridSpan w:val="2"/>
            <w:vAlign w:val="center"/>
          </w:tcPr>
          <w:p w14:paraId="4B6F27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362" w:type="dxa"/>
            <w:gridSpan w:val="2"/>
            <w:vAlign w:val="center"/>
          </w:tcPr>
          <w:p w14:paraId="0028F9E4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监测数据</w:t>
            </w:r>
          </w:p>
        </w:tc>
        <w:tc>
          <w:tcPr>
            <w:tcW w:w="2482" w:type="dxa"/>
            <w:vAlign w:val="center"/>
          </w:tcPr>
          <w:p w14:paraId="0DE8D5C5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状态信息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34D5862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电池电量%</w:t>
            </w:r>
          </w:p>
        </w:tc>
      </w:tr>
      <w:tr w14:paraId="5CAD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vAlign w:val="center"/>
          </w:tcPr>
          <w:p w14:paraId="72A42648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0xEB</w:t>
            </w:r>
          </w:p>
        </w:tc>
        <w:tc>
          <w:tcPr>
            <w:tcW w:w="731" w:type="dxa"/>
            <w:vAlign w:val="center"/>
          </w:tcPr>
          <w:p w14:paraId="3D2489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0x90</w:t>
            </w:r>
          </w:p>
        </w:tc>
        <w:tc>
          <w:tcPr>
            <w:tcW w:w="1064" w:type="dxa"/>
            <w:vAlign w:val="center"/>
          </w:tcPr>
          <w:p w14:paraId="6956F6E2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输出电流测量值</w:t>
            </w:r>
            <w:r>
              <w:rPr>
                <w:rFonts w:hint="eastAsia"/>
                <w:vertAlign w:val="baseline"/>
                <w:lang w:val="en-US" w:eastAsia="zh-CN"/>
              </w:rPr>
              <w:t>(3Byte)</w:t>
            </w:r>
          </w:p>
        </w:tc>
        <w:tc>
          <w:tcPr>
            <w:tcW w:w="1298" w:type="dxa"/>
            <w:vAlign w:val="center"/>
          </w:tcPr>
          <w:p w14:paraId="243779EC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高压电压测量值</w:t>
            </w:r>
            <w:r>
              <w:rPr>
                <w:rFonts w:hint="eastAsia"/>
                <w:vertAlign w:val="baseline"/>
                <w:lang w:val="en-US" w:eastAsia="zh-CN"/>
              </w:rPr>
              <w:t>（3Byte）</w:t>
            </w:r>
          </w:p>
        </w:tc>
        <w:tc>
          <w:tcPr>
            <w:tcW w:w="2482" w:type="dxa"/>
            <w:vAlign w:val="center"/>
          </w:tcPr>
          <w:p w14:paraId="3481A1B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CCS启停工作状态、负载开路故障、负载过流故障（1Byte）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5E8DD77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0到100之间（1Byte）</w:t>
            </w:r>
          </w:p>
        </w:tc>
      </w:tr>
      <w:tr w14:paraId="340A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vAlign w:val="center"/>
          </w:tcPr>
          <w:p w14:paraId="51BFFA6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1" w:type="dxa"/>
            <w:vAlign w:val="center"/>
          </w:tcPr>
          <w:p w14:paraId="7881212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17B390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高字节在前</w:t>
            </w:r>
          </w:p>
        </w:tc>
        <w:tc>
          <w:tcPr>
            <w:tcW w:w="1298" w:type="dxa"/>
            <w:vAlign w:val="center"/>
          </w:tcPr>
          <w:p w14:paraId="1744632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高字节在前</w:t>
            </w:r>
          </w:p>
        </w:tc>
        <w:tc>
          <w:tcPr>
            <w:tcW w:w="2482" w:type="dxa"/>
            <w:vAlign w:val="center"/>
          </w:tcPr>
          <w:p w14:paraId="614F1A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仅用低3位，高5位为0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233BAAE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B3BA2F7">
      <w:pPr>
        <w:rPr>
          <w:rFonts w:hint="eastAsia"/>
        </w:rPr>
      </w:pPr>
    </w:p>
    <w:p w14:paraId="3C558FB7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帧头，两个字节，固定为0xEB90。</w:t>
      </w:r>
    </w:p>
    <w:p w14:paraId="54D4E84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监测数据：为tDCS实际输出电流测量值和高压电源的电压测量值。每个信息占3个字节，从高到低字节进行排列。主机解析方法：对于实际电流 =</w:t>
      </w:r>
      <w:r>
        <w:rPr>
          <w:rFonts w:hint="eastAsia"/>
          <w:color w:val="FF0000"/>
          <w:lang w:val="en-US" w:eastAsia="zh-CN"/>
        </w:rPr>
        <w:t>输出电流测量值</w:t>
      </w:r>
      <w:r>
        <w:rPr>
          <w:rFonts w:hint="eastAsia"/>
          <w:lang w:val="en-US" w:eastAsia="zh-CN"/>
        </w:rPr>
        <w:t>× 0.3125uV/40   - 444uA，单位是uA；对于高压电源电压=</w:t>
      </w:r>
      <w:r>
        <w:rPr>
          <w:rFonts w:hint="eastAsia"/>
          <w:color w:val="FF0000"/>
          <w:lang w:val="en-US" w:eastAsia="zh-CN"/>
        </w:rPr>
        <w:t>高压电压测量值</w:t>
      </w:r>
      <w:r>
        <w:rPr>
          <w:rFonts w:hint="eastAsia"/>
          <w:lang w:val="en-US" w:eastAsia="zh-CN"/>
        </w:rPr>
        <w:t>×195.3125uV，单位是uV。</w:t>
      </w:r>
    </w:p>
    <w:p w14:paraId="3507148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状态信息：占用1个字节，当前仅低3位有效，高5位为0。低3位，从高到低，分别为</w:t>
      </w:r>
      <w:r>
        <w:rPr>
          <w:rFonts w:hint="eastAsia"/>
          <w:vertAlign w:val="baseline"/>
          <w:lang w:val="en-US" w:eastAsia="zh-CN"/>
        </w:rPr>
        <w:t>CCS启停工作状态位（</w:t>
      </w:r>
      <w:r>
        <w:rPr>
          <w:rFonts w:hint="eastAsia"/>
          <w:color w:val="FF0000"/>
          <w:vertAlign w:val="baseline"/>
          <w:lang w:val="en-US" w:eastAsia="zh-CN"/>
        </w:rPr>
        <w:t>高表示工作中，低表示停止工作</w:t>
      </w:r>
      <w:r>
        <w:rPr>
          <w:rFonts w:hint="eastAsia"/>
          <w:vertAlign w:val="baseline"/>
          <w:lang w:val="en-US" w:eastAsia="zh-CN"/>
        </w:rPr>
        <w:t>）、负载开路故障位（</w:t>
      </w:r>
      <w:r>
        <w:rPr>
          <w:rFonts w:hint="eastAsia"/>
          <w:color w:val="FF0000"/>
          <w:vertAlign w:val="baseline"/>
          <w:lang w:val="en-US" w:eastAsia="zh-CN"/>
        </w:rPr>
        <w:t>高表示开路故障，低表示无故障</w:t>
      </w:r>
      <w:r>
        <w:rPr>
          <w:rFonts w:hint="eastAsia"/>
          <w:vertAlign w:val="baseline"/>
          <w:lang w:val="en-US" w:eastAsia="zh-CN"/>
        </w:rPr>
        <w:t>）、负载过流故障位（</w:t>
      </w:r>
      <w:r>
        <w:rPr>
          <w:rFonts w:hint="eastAsia"/>
          <w:color w:val="FF0000"/>
          <w:vertAlign w:val="baseline"/>
          <w:lang w:val="en-US" w:eastAsia="zh-CN"/>
        </w:rPr>
        <w:t>高表示过流故障，低表示无故障</w:t>
      </w:r>
      <w:r>
        <w:rPr>
          <w:rFonts w:hint="eastAsia"/>
          <w:vertAlign w:val="baseline"/>
          <w:lang w:val="en-US" w:eastAsia="zh-CN"/>
        </w:rPr>
        <w:t>）。</w:t>
      </w:r>
    </w:p>
    <w:p w14:paraId="1BDACBB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电池电量：</w:t>
      </w:r>
      <w:r>
        <w:rPr>
          <w:rFonts w:hint="eastAsia"/>
          <w:color w:val="FF0000"/>
          <w:vertAlign w:val="baseline"/>
          <w:lang w:val="en-US" w:eastAsia="zh-CN"/>
        </w:rPr>
        <w:t>跟EEG帧中的电池电量一致</w:t>
      </w:r>
      <w:r>
        <w:rPr>
          <w:rFonts w:hint="eastAsia"/>
          <w:vertAlign w:val="baseline"/>
          <w:lang w:val="en-US" w:eastAsia="zh-CN"/>
        </w:rPr>
        <w:t>，本帧中仅用1个字节表示，为百分比。值会在0—100之间。若为其他值，则表示电量测量未启动。</w:t>
      </w:r>
    </w:p>
    <w:p w14:paraId="418F3D2C">
      <w:pPr>
        <w:rPr>
          <w:rFonts w:hint="eastAsia"/>
        </w:rPr>
      </w:pPr>
    </w:p>
    <w:p w14:paraId="15B94BFA">
      <w:pPr>
        <w:rPr>
          <w:rFonts w:hint="eastAsia"/>
        </w:rPr>
      </w:pPr>
    </w:p>
    <w:p w14:paraId="5EDC6F4F"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1、</w:t>
      </w:r>
      <w:r>
        <w:rPr>
          <w:rFonts w:hint="eastAsia" w:ascii="黑体" w:hAnsi="黑体" w:eastAsia="黑体"/>
          <w:sz w:val="24"/>
          <w:szCs w:val="24"/>
        </w:rPr>
        <w:t>控制指令：</w:t>
      </w:r>
    </w:p>
    <w:p w14:paraId="4267C982">
      <w:pPr>
        <w:rPr>
          <w:rFonts w:hint="eastAsia"/>
        </w:rPr>
      </w:pPr>
      <w:r>
        <w:rPr>
          <w:rFonts w:hint="eastAsia"/>
        </w:rPr>
        <w:t>备注：控制指令以如下格式发送[一级指令，二级指令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附加数据（视具体而定，长度也不定）</w:t>
      </w:r>
      <w:r>
        <w:rPr>
          <w:rFonts w:hint="eastAsia"/>
        </w:rPr>
        <w:t>]。</w:t>
      </w:r>
    </w:p>
    <w:p w14:paraId="52EAE99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注意：指令中的数据需要连续，当前底层有50ms 超时判断，若数据间隔超过50ms，则认为这两个数据不属于同一个指令的数据。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8B1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54CA70C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一级指令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1E1A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589D1F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4E90A519">
            <w:r>
              <w:rPr>
                <w:rFonts w:hint="eastAsia"/>
              </w:rPr>
              <w:t>指令</w:t>
            </w:r>
          </w:p>
        </w:tc>
      </w:tr>
      <w:tr w14:paraId="26C3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4097446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49BE5B59">
            <w:r>
              <w:rPr>
                <w:rFonts w:hint="eastAsia"/>
              </w:rPr>
              <w:t>0x00</w:t>
            </w:r>
          </w:p>
        </w:tc>
      </w:tr>
      <w:tr w14:paraId="73E9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DB411A1">
            <w:r>
              <w:rPr>
                <w:rFonts w:hint="eastAsia"/>
              </w:rPr>
              <w:t>Get Configuration</w:t>
            </w:r>
          </w:p>
        </w:tc>
        <w:tc>
          <w:tcPr>
            <w:tcW w:w="4148" w:type="dxa"/>
          </w:tcPr>
          <w:p w14:paraId="70151591">
            <w:r>
              <w:rPr>
                <w:rFonts w:hint="eastAsia"/>
              </w:rPr>
              <w:t>0x01</w:t>
            </w:r>
          </w:p>
        </w:tc>
      </w:tr>
      <w:tr w14:paraId="644E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8F569D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ADC Control</w:t>
            </w:r>
          </w:p>
        </w:tc>
        <w:tc>
          <w:tcPr>
            <w:tcW w:w="4148" w:type="dxa"/>
          </w:tcPr>
          <w:p w14:paraId="59E94021">
            <w:r>
              <w:rPr>
                <w:rFonts w:hint="eastAsia"/>
              </w:rPr>
              <w:t>0x02</w:t>
            </w:r>
          </w:p>
        </w:tc>
      </w:tr>
      <w:tr w14:paraId="0253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D1D70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Impedance Control</w:t>
            </w:r>
          </w:p>
        </w:tc>
        <w:tc>
          <w:tcPr>
            <w:tcW w:w="4148" w:type="dxa"/>
          </w:tcPr>
          <w:p w14:paraId="4433626A">
            <w:r>
              <w:rPr>
                <w:rFonts w:hint="eastAsia"/>
              </w:rPr>
              <w:t>0x03</w:t>
            </w:r>
          </w:p>
        </w:tc>
      </w:tr>
      <w:tr w14:paraId="6868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35A53A">
            <w:pPr>
              <w:rPr>
                <w:rFonts w:hint="eastAsia" w:eastAsia="宋体"/>
                <w:color w:val="FF0000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highlight w:val="yellow"/>
              </w:rPr>
              <w:t>IMU Control</w:t>
            </w:r>
            <w:r>
              <w:rPr>
                <w:rFonts w:hint="eastAsia"/>
                <w:color w:val="FF0000"/>
                <w:highlight w:val="yellow"/>
                <w:lang w:eastAsia="zh-CN"/>
              </w:rPr>
              <w:t>（</w:t>
            </w:r>
            <w:r>
              <w:rPr>
                <w:rFonts w:hint="eastAsia"/>
                <w:color w:val="FF0000"/>
                <w:highlight w:val="yellow"/>
                <w:lang w:val="en-US" w:eastAsia="zh-CN"/>
              </w:rPr>
              <w:t>暂不使用</w:t>
            </w:r>
            <w:r>
              <w:rPr>
                <w:rFonts w:hint="eastAsia"/>
                <w:color w:val="FF0000"/>
                <w:highlight w:val="yellow"/>
                <w:lang w:eastAsia="zh-CN"/>
              </w:rPr>
              <w:t>）</w:t>
            </w:r>
          </w:p>
        </w:tc>
        <w:tc>
          <w:tcPr>
            <w:tcW w:w="4148" w:type="dxa"/>
          </w:tcPr>
          <w:p w14:paraId="6F108919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0x04</w:t>
            </w:r>
          </w:p>
        </w:tc>
      </w:tr>
      <w:tr w14:paraId="29A2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8F320F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Battery Control</w:t>
            </w:r>
          </w:p>
        </w:tc>
        <w:tc>
          <w:tcPr>
            <w:tcW w:w="4148" w:type="dxa"/>
          </w:tcPr>
          <w:p w14:paraId="7243AF24">
            <w:r>
              <w:rPr>
                <w:rFonts w:hint="eastAsia"/>
              </w:rPr>
              <w:t>0x05</w:t>
            </w:r>
          </w:p>
        </w:tc>
      </w:tr>
      <w:tr w14:paraId="4799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6BC581A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Trigger Source</w:t>
            </w:r>
          </w:p>
        </w:tc>
        <w:tc>
          <w:tcPr>
            <w:tcW w:w="4148" w:type="dxa"/>
          </w:tcPr>
          <w:p w14:paraId="7FEBF65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3D5D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8785DCD">
            <w:pPr>
              <w:rPr>
                <w:rFonts w:hint="eastAsia" w:eastAsia="宋体"/>
                <w:color w:val="FF0000"/>
                <w:lang w:eastAsia="zh-CN"/>
              </w:rPr>
            </w:pPr>
            <w:r>
              <w:rPr>
                <w:rFonts w:hint="eastAsia"/>
                <w:color w:val="FF0000"/>
              </w:rPr>
              <w:t>Trigger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蓝牙程控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</w:p>
        </w:tc>
        <w:tc>
          <w:tcPr>
            <w:tcW w:w="4148" w:type="dxa"/>
          </w:tcPr>
          <w:p w14:paraId="6CB380B3">
            <w:r>
              <w:rPr>
                <w:rFonts w:hint="eastAsia"/>
              </w:rPr>
              <w:t>0xFF</w:t>
            </w:r>
          </w:p>
        </w:tc>
      </w:tr>
      <w:tr w14:paraId="6296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996305">
            <w:pPr>
              <w:rPr>
                <w:rFonts w:hint="eastAsia" w:eastAsia="宋体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 xml:space="preserve">tDCS </w:t>
            </w:r>
            <w:r>
              <w:rPr>
                <w:rFonts w:hint="eastAsia"/>
                <w:color w:val="FF0000"/>
                <w:highlight w:val="yellow"/>
              </w:rPr>
              <w:t>Control</w:t>
            </w:r>
            <w:r>
              <w:rPr>
                <w:rFonts w:hint="eastAsia"/>
                <w:color w:val="FF0000"/>
                <w:highlight w:val="yellow"/>
                <w:lang w:eastAsia="zh-CN"/>
              </w:rPr>
              <w:t>（</w:t>
            </w:r>
            <w:r>
              <w:rPr>
                <w:rFonts w:hint="eastAsia"/>
                <w:color w:val="FF0000"/>
                <w:highlight w:val="yellow"/>
                <w:lang w:val="en-US" w:eastAsia="zh-CN"/>
              </w:rPr>
              <w:t>新增</w:t>
            </w:r>
            <w:r>
              <w:rPr>
                <w:rFonts w:hint="eastAsia"/>
                <w:color w:val="FF0000"/>
                <w:highlight w:val="yellow"/>
                <w:lang w:eastAsia="zh-CN"/>
              </w:rPr>
              <w:t>）</w:t>
            </w:r>
          </w:p>
        </w:tc>
        <w:tc>
          <w:tcPr>
            <w:tcW w:w="4148" w:type="dxa"/>
          </w:tcPr>
          <w:p w14:paraId="31BF9486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0x0</w:t>
            </w:r>
            <w:r>
              <w:rPr>
                <w:rFonts w:hint="eastAsia"/>
                <w:highlight w:val="yellow"/>
                <w:lang w:val="en-US" w:eastAsia="zh-CN"/>
              </w:rPr>
              <w:t>7</w:t>
            </w:r>
          </w:p>
        </w:tc>
      </w:tr>
      <w:tr w14:paraId="3159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4F7C108">
            <w:pPr>
              <w:rPr>
                <w:rFonts w:hint="eastAsia"/>
                <w:color w:val="FF0000"/>
              </w:rPr>
            </w:pPr>
          </w:p>
        </w:tc>
        <w:tc>
          <w:tcPr>
            <w:tcW w:w="4148" w:type="dxa"/>
          </w:tcPr>
          <w:p w14:paraId="3D4D7FFD">
            <w:pPr>
              <w:rPr>
                <w:rFonts w:hint="eastAsia"/>
              </w:rPr>
            </w:pPr>
          </w:p>
        </w:tc>
      </w:tr>
    </w:tbl>
    <w:p w14:paraId="56A9D6A3"/>
    <w:p w14:paraId="3FB77A6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950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97A7112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- 0x02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黑体" w:hAnsi="黑体" w:eastAsia="黑体"/>
                <w:sz w:val="24"/>
                <w:szCs w:val="24"/>
              </w:rPr>
              <w:t>ADC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5445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0E2D4E7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190E4A4F">
            <w:r>
              <w:rPr>
                <w:rFonts w:hint="eastAsia"/>
              </w:rPr>
              <w:t>指令</w:t>
            </w:r>
          </w:p>
        </w:tc>
      </w:tr>
      <w:tr w14:paraId="7AC1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5C6FDDD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3E05ACC0">
            <w:r>
              <w:rPr>
                <w:rFonts w:hint="eastAsia"/>
              </w:rPr>
              <w:t>0x00</w:t>
            </w:r>
          </w:p>
        </w:tc>
      </w:tr>
      <w:tr w14:paraId="3B8E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43CD6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Start Transfer</w:t>
            </w:r>
          </w:p>
        </w:tc>
        <w:tc>
          <w:tcPr>
            <w:tcW w:w="4148" w:type="dxa"/>
          </w:tcPr>
          <w:p w14:paraId="302CA3A4">
            <w:r>
              <w:rPr>
                <w:rFonts w:hint="eastAsia"/>
              </w:rPr>
              <w:t>0x01</w:t>
            </w:r>
          </w:p>
        </w:tc>
      </w:tr>
      <w:tr w14:paraId="0A59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3503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Stop Transfer</w:t>
            </w:r>
          </w:p>
        </w:tc>
        <w:tc>
          <w:tcPr>
            <w:tcW w:w="4148" w:type="dxa"/>
          </w:tcPr>
          <w:p w14:paraId="6BDFF8CF">
            <w:r>
              <w:rPr>
                <w:rFonts w:hint="eastAsia"/>
              </w:rPr>
              <w:t>0x02</w:t>
            </w:r>
          </w:p>
        </w:tc>
      </w:tr>
      <w:tr w14:paraId="67EF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4F56AC2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260D512C">
            <w:r>
              <w:rPr>
                <w:rFonts w:hint="eastAsia"/>
              </w:rPr>
              <w:t>0x03</w:t>
            </w:r>
          </w:p>
        </w:tc>
      </w:tr>
      <w:tr w14:paraId="10E6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421000">
            <w:r>
              <w:rPr>
                <w:rFonts w:hint="eastAsia"/>
              </w:rPr>
              <w:t>Get Configuration All</w:t>
            </w:r>
          </w:p>
        </w:tc>
        <w:tc>
          <w:tcPr>
            <w:tcW w:w="4148" w:type="dxa"/>
          </w:tcPr>
          <w:p w14:paraId="486CCC4E">
            <w:r>
              <w:rPr>
                <w:rFonts w:hint="eastAsia"/>
              </w:rPr>
              <w:t>0x04</w:t>
            </w:r>
          </w:p>
        </w:tc>
      </w:tr>
      <w:tr w14:paraId="340F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D7BC741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10980BF7">
            <w:r>
              <w:rPr>
                <w:rFonts w:hint="eastAsia"/>
              </w:rPr>
              <w:t>0x05</w:t>
            </w:r>
          </w:p>
        </w:tc>
      </w:tr>
      <w:tr w14:paraId="0C4F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350540">
            <w:r>
              <w:rPr>
                <w:rFonts w:hint="eastAsia"/>
              </w:rPr>
              <w:t>Set Configuration All</w:t>
            </w:r>
          </w:p>
        </w:tc>
        <w:tc>
          <w:tcPr>
            <w:tcW w:w="4148" w:type="dxa"/>
          </w:tcPr>
          <w:p w14:paraId="79174216">
            <w:r>
              <w:rPr>
                <w:rFonts w:hint="eastAsia"/>
              </w:rPr>
              <w:t>0x06</w:t>
            </w:r>
          </w:p>
        </w:tc>
      </w:tr>
    </w:tbl>
    <w:p w14:paraId="1007C806"/>
    <w:p w14:paraId="189023B6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29D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BF5DFF6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- 0x03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黑体" w:hAnsi="黑体" w:eastAsia="黑体"/>
                <w:sz w:val="24"/>
                <w:szCs w:val="24"/>
              </w:rPr>
              <w:t>Impedance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29C1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4CCF9A8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3692688A">
            <w:r>
              <w:rPr>
                <w:rFonts w:hint="eastAsia"/>
              </w:rPr>
              <w:t>指令</w:t>
            </w:r>
          </w:p>
        </w:tc>
      </w:tr>
      <w:tr w14:paraId="4309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B5BA2B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11B40AA5">
            <w:r>
              <w:rPr>
                <w:rFonts w:hint="eastAsia"/>
              </w:rPr>
              <w:t>0x00</w:t>
            </w:r>
          </w:p>
        </w:tc>
      </w:tr>
      <w:tr w14:paraId="0F7A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F78B85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Start Impedance</w:t>
            </w:r>
          </w:p>
        </w:tc>
        <w:tc>
          <w:tcPr>
            <w:tcW w:w="4148" w:type="dxa"/>
          </w:tcPr>
          <w:p w14:paraId="65447CF4">
            <w:r>
              <w:rPr>
                <w:rFonts w:hint="eastAsia"/>
              </w:rPr>
              <w:t>0x01</w:t>
            </w:r>
          </w:p>
        </w:tc>
      </w:tr>
      <w:tr w14:paraId="341E9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9D7EA9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Stop Impedance</w:t>
            </w:r>
          </w:p>
        </w:tc>
        <w:tc>
          <w:tcPr>
            <w:tcW w:w="4148" w:type="dxa"/>
          </w:tcPr>
          <w:p w14:paraId="1B4EABB9">
            <w:r>
              <w:rPr>
                <w:rFonts w:hint="eastAsia"/>
              </w:rPr>
              <w:t>0x02</w:t>
            </w:r>
          </w:p>
        </w:tc>
      </w:tr>
      <w:tr w14:paraId="505A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3FB3D93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2875F590">
            <w:r>
              <w:rPr>
                <w:rFonts w:hint="eastAsia"/>
              </w:rPr>
              <w:t>0x03</w:t>
            </w:r>
          </w:p>
        </w:tc>
      </w:tr>
      <w:tr w14:paraId="38E1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80CD63A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0F833DAC">
            <w:r>
              <w:rPr>
                <w:rFonts w:hint="eastAsia"/>
              </w:rPr>
              <w:t>0x04</w:t>
            </w:r>
          </w:p>
        </w:tc>
      </w:tr>
    </w:tbl>
    <w:tbl>
      <w:tblPr>
        <w:tblStyle w:val="15"/>
        <w:tblpPr w:leftFromText="180" w:rightFromText="180" w:vertAnchor="text" w:horzAnchor="page" w:tblpX="1792" w:tblpY="3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829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990BFAD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color w:val="FF0000"/>
              </w:rPr>
              <w:t>IMU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1A60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FB912ED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0E5AB79E">
            <w:r>
              <w:rPr>
                <w:rFonts w:hint="eastAsia"/>
              </w:rPr>
              <w:t>指令</w:t>
            </w:r>
          </w:p>
        </w:tc>
      </w:tr>
      <w:tr w14:paraId="389F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7410DCA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00B96861">
            <w:r>
              <w:rPr>
                <w:rFonts w:hint="eastAsia"/>
              </w:rPr>
              <w:t>0x00</w:t>
            </w:r>
          </w:p>
        </w:tc>
      </w:tr>
      <w:tr w14:paraId="0A9E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B4AB4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 xml:space="preserve">Start </w:t>
            </w:r>
            <w:r>
              <w:rPr>
                <w:rFonts w:hint="eastAsia"/>
                <w:color w:val="FF0000"/>
                <w:lang w:val="en-US" w:eastAsia="zh-CN"/>
              </w:rPr>
              <w:t>IMU</w:t>
            </w:r>
          </w:p>
        </w:tc>
        <w:tc>
          <w:tcPr>
            <w:tcW w:w="4148" w:type="dxa"/>
          </w:tcPr>
          <w:p w14:paraId="3D676A9C">
            <w:r>
              <w:rPr>
                <w:rFonts w:hint="eastAsia"/>
              </w:rPr>
              <w:t>0x01</w:t>
            </w:r>
          </w:p>
        </w:tc>
      </w:tr>
      <w:tr w14:paraId="06A2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9681742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Stop I</w:t>
            </w:r>
            <w:r>
              <w:rPr>
                <w:rFonts w:hint="eastAsia"/>
                <w:color w:val="FF0000"/>
                <w:lang w:val="en-US" w:eastAsia="zh-CN"/>
              </w:rPr>
              <w:t>MU</w:t>
            </w:r>
          </w:p>
        </w:tc>
        <w:tc>
          <w:tcPr>
            <w:tcW w:w="4148" w:type="dxa"/>
          </w:tcPr>
          <w:p w14:paraId="5C075E83">
            <w:r>
              <w:rPr>
                <w:rFonts w:hint="eastAsia"/>
              </w:rPr>
              <w:t>0x02</w:t>
            </w:r>
          </w:p>
        </w:tc>
      </w:tr>
      <w:tr w14:paraId="4FB3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3F6E110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0233A8D7">
            <w:r>
              <w:rPr>
                <w:rFonts w:hint="eastAsia"/>
              </w:rPr>
              <w:t>0x03</w:t>
            </w:r>
          </w:p>
        </w:tc>
      </w:tr>
      <w:tr w14:paraId="57A9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3EE6D48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67AD2CE0">
            <w:r>
              <w:rPr>
                <w:rFonts w:hint="eastAsia"/>
              </w:rPr>
              <w:t>0x04</w:t>
            </w:r>
          </w:p>
        </w:tc>
      </w:tr>
    </w:tbl>
    <w:p w14:paraId="7801B868"/>
    <w:p w14:paraId="2FFD9843"/>
    <w:p w14:paraId="0B9BA82B"/>
    <w:tbl>
      <w:tblPr>
        <w:tblStyle w:val="15"/>
        <w:tblpPr w:leftFromText="180" w:rightFromText="180" w:vertAnchor="text" w:horzAnchor="page" w:tblpX="1792" w:tblpY="3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187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5BA210B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color w:val="FF0000"/>
              </w:rPr>
              <w:t>Battery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3B0D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A66E706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6CC93BB0">
            <w:r>
              <w:rPr>
                <w:rFonts w:hint="eastAsia"/>
              </w:rPr>
              <w:t>指令</w:t>
            </w:r>
          </w:p>
        </w:tc>
      </w:tr>
      <w:tr w14:paraId="2C03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91A3F14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5DEE8948">
            <w:r>
              <w:rPr>
                <w:rFonts w:hint="eastAsia"/>
              </w:rPr>
              <w:t>0x00</w:t>
            </w:r>
          </w:p>
        </w:tc>
      </w:tr>
      <w:tr w14:paraId="507B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5908D98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Start Battery</w:t>
            </w:r>
            <w:r>
              <w:rPr>
                <w:rFonts w:hint="eastAsia"/>
                <w:color w:val="FF0000"/>
                <w:lang w:val="en-US" w:eastAsia="zh-CN"/>
              </w:rPr>
              <w:t xml:space="preserve"> Monitor</w:t>
            </w:r>
          </w:p>
        </w:tc>
        <w:tc>
          <w:tcPr>
            <w:tcW w:w="4148" w:type="dxa"/>
          </w:tcPr>
          <w:p w14:paraId="75696FE6">
            <w:r>
              <w:rPr>
                <w:rFonts w:hint="eastAsia"/>
              </w:rPr>
              <w:t>0x01</w:t>
            </w:r>
          </w:p>
        </w:tc>
      </w:tr>
      <w:tr w14:paraId="76B7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CD0834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Stop I</w:t>
            </w:r>
            <w:r>
              <w:rPr>
                <w:rFonts w:hint="eastAsia"/>
                <w:color w:val="FF0000"/>
                <w:lang w:val="en-US" w:eastAsia="zh-CN"/>
              </w:rPr>
              <w:t>MU Monitor</w:t>
            </w:r>
          </w:p>
        </w:tc>
        <w:tc>
          <w:tcPr>
            <w:tcW w:w="4148" w:type="dxa"/>
          </w:tcPr>
          <w:p w14:paraId="61856B3F">
            <w:r>
              <w:rPr>
                <w:rFonts w:hint="eastAsia"/>
              </w:rPr>
              <w:t>0x02</w:t>
            </w:r>
          </w:p>
        </w:tc>
      </w:tr>
      <w:tr w14:paraId="47A1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BB5FDC9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0C0112F9">
            <w:r>
              <w:rPr>
                <w:rFonts w:hint="eastAsia"/>
              </w:rPr>
              <w:t>0x03</w:t>
            </w:r>
          </w:p>
        </w:tc>
      </w:tr>
      <w:tr w14:paraId="55BC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5D4623E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55287A82">
            <w:r>
              <w:rPr>
                <w:rFonts w:hint="eastAsia"/>
              </w:rPr>
              <w:t>0x04</w:t>
            </w:r>
          </w:p>
        </w:tc>
      </w:tr>
    </w:tbl>
    <w:p w14:paraId="610C907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AA3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2"/>
          </w:tcPr>
          <w:p w14:paraId="05EF1DCA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Trigger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Source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6D7E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A47DEC6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5AEA47A3">
            <w:r>
              <w:rPr>
                <w:rFonts w:hint="eastAsia"/>
              </w:rPr>
              <w:t>指令</w:t>
            </w:r>
          </w:p>
        </w:tc>
      </w:tr>
      <w:tr w14:paraId="27BC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C692F1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蓝牙程控触发</w:t>
            </w:r>
          </w:p>
        </w:tc>
        <w:tc>
          <w:tcPr>
            <w:tcW w:w="4148" w:type="dxa"/>
          </w:tcPr>
          <w:p w14:paraId="396953F8">
            <w:r>
              <w:rPr>
                <w:rFonts w:hint="eastAsia"/>
              </w:rPr>
              <w:t>0x01</w:t>
            </w:r>
          </w:p>
        </w:tc>
      </w:tr>
      <w:tr w14:paraId="12E6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09D519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外部TTL UART控制触发</w:t>
            </w:r>
          </w:p>
        </w:tc>
        <w:tc>
          <w:tcPr>
            <w:tcW w:w="4148" w:type="dxa"/>
          </w:tcPr>
          <w:p w14:paraId="79B3F37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0x02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硬件暂不支持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4F3C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E0302F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外部TTL 电平控制触发</w:t>
            </w:r>
          </w:p>
        </w:tc>
        <w:tc>
          <w:tcPr>
            <w:tcW w:w="4148" w:type="dxa"/>
          </w:tcPr>
          <w:p w14:paraId="1E4C845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硬件暂不支持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13ACA3D0">
      <w:pPr>
        <w:rPr>
          <w:rFonts w:hint="eastAsia"/>
        </w:rPr>
      </w:pPr>
    </w:p>
    <w:p w14:paraId="0AB4A055">
      <w:pPr>
        <w:rPr>
          <w:rFonts w:hint="eastAsia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228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5176B5C8">
            <w:pPr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- 0xFF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Trigger </w:t>
            </w:r>
            <w:r>
              <w:rPr>
                <w:rFonts w:ascii="黑体" w:hAnsi="黑体" w:eastAsia="黑体"/>
                <w:sz w:val="24"/>
                <w:szCs w:val="24"/>
              </w:rPr>
              <w:t>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蓝牙程控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3078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9B5008C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2FE2F25F">
            <w:r>
              <w:rPr>
                <w:rFonts w:hint="eastAsia"/>
              </w:rPr>
              <w:t>指令</w:t>
            </w:r>
          </w:p>
        </w:tc>
      </w:tr>
      <w:tr w14:paraId="6305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008A90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Set Trigger</w:t>
            </w:r>
          </w:p>
        </w:tc>
        <w:tc>
          <w:tcPr>
            <w:tcW w:w="4148" w:type="dxa"/>
          </w:tcPr>
          <w:p w14:paraId="7749BDDF">
            <w:r>
              <w:rPr>
                <w:rFonts w:hint="eastAsia"/>
              </w:rPr>
              <w:t>0x01</w:t>
            </w:r>
          </w:p>
        </w:tc>
      </w:tr>
      <w:tr w14:paraId="3A51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6E1FE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Clear Trigger</w:t>
            </w:r>
          </w:p>
        </w:tc>
        <w:tc>
          <w:tcPr>
            <w:tcW w:w="4148" w:type="dxa"/>
          </w:tcPr>
          <w:p w14:paraId="56CABA15">
            <w:r>
              <w:rPr>
                <w:rFonts w:hint="eastAsia"/>
              </w:rPr>
              <w:t>0x02</w:t>
            </w:r>
          </w:p>
        </w:tc>
      </w:tr>
    </w:tbl>
    <w:p w14:paraId="41280A28">
      <w:pPr>
        <w:widowControl/>
      </w:pPr>
    </w:p>
    <w:p w14:paraId="08C91A65">
      <w:pPr>
        <w:widowControl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1069"/>
        <w:gridCol w:w="1865"/>
        <w:gridCol w:w="3203"/>
      </w:tblGrid>
      <w:tr w14:paraId="4D81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C85BD38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highlight w:val="yellow"/>
              </w:rPr>
              <w:t>二级指令 - 0x</w:t>
            </w:r>
            <w:r>
              <w:rPr>
                <w:rFonts w:hint="eastAsia" w:ascii="黑体" w:hAnsi="黑体" w:eastAsia="黑体"/>
                <w:sz w:val="24"/>
                <w:szCs w:val="24"/>
                <w:highlight w:val="yellow"/>
                <w:lang w:val="en-US" w:eastAsia="zh-CN"/>
              </w:rPr>
              <w:t>07</w:t>
            </w:r>
            <w:r>
              <w:rPr>
                <w:rFonts w:hint="eastAsia"/>
                <w:sz w:val="24"/>
                <w:szCs w:val="24"/>
                <w:highlight w:val="yellow"/>
              </w:rPr>
              <w:t>（</w:t>
            </w:r>
            <w:r>
              <w:rPr>
                <w:rFonts w:hint="eastAsia"/>
                <w:color w:val="FF0000"/>
                <w:highlight w:val="yellow"/>
                <w:lang w:val="en-US" w:eastAsia="zh-CN"/>
              </w:rPr>
              <w:t xml:space="preserve">tDCS </w:t>
            </w:r>
            <w:r>
              <w:rPr>
                <w:rFonts w:hint="eastAsia"/>
                <w:color w:val="FF0000"/>
                <w:highlight w:val="yellow"/>
              </w:rPr>
              <w:t>Control</w:t>
            </w:r>
            <w:r>
              <w:rPr>
                <w:rFonts w:hint="eastAsia" w:ascii="黑体" w:hAnsi="黑体" w:eastAsia="黑体"/>
                <w:sz w:val="24"/>
                <w:szCs w:val="24"/>
                <w:highlight w:val="yellow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lang w:val="en-US" w:eastAsia="zh-CN"/>
              </w:rPr>
              <w:t>(红色是当前设计项)</w:t>
            </w:r>
          </w:p>
        </w:tc>
      </w:tr>
      <w:tr w14:paraId="14A25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 w14:paraId="67096EAB">
            <w:r>
              <w:rPr>
                <w:rFonts w:hint="eastAsia"/>
              </w:rPr>
              <w:t>操作</w:t>
            </w:r>
          </w:p>
        </w:tc>
        <w:tc>
          <w:tcPr>
            <w:tcW w:w="1069" w:type="dxa"/>
          </w:tcPr>
          <w:p w14:paraId="30D70A1F"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二级</w:t>
            </w:r>
            <w:r>
              <w:rPr>
                <w:rFonts w:hint="eastAsia"/>
                <w:color w:val="FF0000"/>
              </w:rPr>
              <w:t>指令</w:t>
            </w:r>
          </w:p>
        </w:tc>
        <w:tc>
          <w:tcPr>
            <w:tcW w:w="1865" w:type="dxa"/>
          </w:tcPr>
          <w:p w14:paraId="427AE878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附加数据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66A6FDE5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46A6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 w14:paraId="71CA7C44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 xml:space="preserve">Start </w:t>
            </w:r>
            <w:r>
              <w:rPr>
                <w:rFonts w:hint="eastAsia"/>
                <w:color w:val="FF0000"/>
                <w:lang w:val="en-US" w:eastAsia="zh-CN"/>
              </w:rPr>
              <w:t>tDCS</w:t>
            </w:r>
          </w:p>
        </w:tc>
        <w:tc>
          <w:tcPr>
            <w:tcW w:w="1069" w:type="dxa"/>
          </w:tcPr>
          <w:p w14:paraId="5120EB94">
            <w:r>
              <w:rPr>
                <w:rFonts w:hint="eastAsia"/>
              </w:rPr>
              <w:t>0x01</w:t>
            </w:r>
          </w:p>
        </w:tc>
        <w:tc>
          <w:tcPr>
            <w:tcW w:w="1865" w:type="dxa"/>
          </w:tcPr>
          <w:p w14:paraId="08C1B02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599DAB9D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启动tDCS工作</w:t>
            </w:r>
          </w:p>
        </w:tc>
      </w:tr>
      <w:tr w14:paraId="3001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 w14:paraId="483863B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Stop tDCS</w:t>
            </w:r>
          </w:p>
        </w:tc>
        <w:tc>
          <w:tcPr>
            <w:tcW w:w="1069" w:type="dxa"/>
          </w:tcPr>
          <w:p w14:paraId="6509E051">
            <w:r>
              <w:rPr>
                <w:rFonts w:hint="eastAsia"/>
              </w:rPr>
              <w:t>0x02</w:t>
            </w:r>
          </w:p>
        </w:tc>
        <w:tc>
          <w:tcPr>
            <w:tcW w:w="1865" w:type="dxa"/>
          </w:tcPr>
          <w:p w14:paraId="6102646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67B1DA8A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停止tDCS工作</w:t>
            </w:r>
          </w:p>
        </w:tc>
      </w:tr>
      <w:tr w14:paraId="3DD4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 w14:paraId="4A09246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使能高压电路工作</w:t>
            </w:r>
          </w:p>
        </w:tc>
        <w:tc>
          <w:tcPr>
            <w:tcW w:w="1069" w:type="dxa"/>
          </w:tcPr>
          <w:p w14:paraId="6E578AD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0x15</w:t>
            </w:r>
          </w:p>
        </w:tc>
        <w:tc>
          <w:tcPr>
            <w:tcW w:w="1865" w:type="dxa"/>
            <w:shd w:val="clear"/>
            <w:vAlign w:val="top"/>
          </w:tcPr>
          <w:p w14:paraId="2961AC42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311810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tDCS工作前提是先让高压电路启动工作，且预热一段时间（比如2s）后再启动tDCS</w:t>
            </w:r>
          </w:p>
        </w:tc>
      </w:tr>
      <w:tr w14:paraId="61E2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 w14:paraId="278841D7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禁止高压电路工作</w:t>
            </w:r>
          </w:p>
        </w:tc>
        <w:tc>
          <w:tcPr>
            <w:tcW w:w="1069" w:type="dxa"/>
          </w:tcPr>
          <w:p w14:paraId="0271464D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0x16</w:t>
            </w:r>
          </w:p>
        </w:tc>
        <w:tc>
          <w:tcPr>
            <w:tcW w:w="1865" w:type="dxa"/>
            <w:shd w:val="clear"/>
            <w:vAlign w:val="top"/>
          </w:tcPr>
          <w:p w14:paraId="2E310E43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21A476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当停止tDCS工作后，可以禁止高压电路工作，可有效节省功耗</w:t>
            </w:r>
            <w:bookmarkStart w:id="0" w:name="_GoBack"/>
            <w:bookmarkEnd w:id="0"/>
          </w:p>
        </w:tc>
      </w:tr>
      <w:tr w14:paraId="1E817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 w14:paraId="6EA6F7CB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设置tDCS输出电流值（数字量）</w:t>
            </w:r>
          </w:p>
        </w:tc>
        <w:tc>
          <w:tcPr>
            <w:tcW w:w="1069" w:type="dxa"/>
          </w:tcPr>
          <w:p w14:paraId="72C663C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</w:t>
            </w:r>
          </w:p>
        </w:tc>
        <w:tc>
          <w:tcPr>
            <w:tcW w:w="1865" w:type="dxa"/>
          </w:tcPr>
          <w:p w14:paraId="43FD71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2个字节数据，即16位，高字节在前。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167AEA65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设置数字量值=实际输出电流值×2^16/20，输出电流的单位是mA</w:t>
            </w:r>
          </w:p>
        </w:tc>
      </w:tr>
      <w:tr w14:paraId="78D98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shd w:val="clear" w:color="auto" w:fill="auto"/>
            <w:vAlign w:val="top"/>
          </w:tcPr>
          <w:p w14:paraId="188A5370">
            <w:pPr>
              <w:rPr>
                <w:rFonts w:hint="default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设置tDCS输出电流缓升时间（数字量）</w:t>
            </w:r>
          </w:p>
        </w:tc>
        <w:tc>
          <w:tcPr>
            <w:tcW w:w="1069" w:type="dxa"/>
            <w:shd w:val="clear" w:color="auto" w:fill="auto"/>
            <w:vAlign w:val="top"/>
          </w:tcPr>
          <w:p w14:paraId="05670568">
            <w:pPr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0x20</w:t>
            </w:r>
          </w:p>
        </w:tc>
        <w:tc>
          <w:tcPr>
            <w:tcW w:w="1865" w:type="dxa"/>
            <w:shd w:val="clear" w:color="auto" w:fill="auto"/>
            <w:vAlign w:val="top"/>
          </w:tcPr>
          <w:p w14:paraId="10E1A131">
            <w:pPr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2个字节数据，即16位，高字节在前。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7BCAD6DB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输出电流从0到达设置值之间的上升时间。设置值单位是100ms</w:t>
            </w:r>
          </w:p>
        </w:tc>
      </w:tr>
      <w:tr w14:paraId="54E9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shd w:val="clear" w:color="auto" w:fill="auto"/>
            <w:vAlign w:val="top"/>
          </w:tcPr>
          <w:p w14:paraId="56FD236A">
            <w:pPr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设置tDCS输出电流稳定工作时间（数字量）</w:t>
            </w:r>
          </w:p>
        </w:tc>
        <w:tc>
          <w:tcPr>
            <w:tcW w:w="1069" w:type="dxa"/>
            <w:shd w:val="clear" w:color="auto" w:fill="auto"/>
            <w:vAlign w:val="top"/>
          </w:tcPr>
          <w:p w14:paraId="156DC4BA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0x21</w:t>
            </w:r>
          </w:p>
        </w:tc>
        <w:tc>
          <w:tcPr>
            <w:tcW w:w="1865" w:type="dxa"/>
            <w:shd w:val="clear" w:color="auto" w:fill="auto"/>
            <w:vAlign w:val="top"/>
          </w:tcPr>
          <w:p w14:paraId="32F8B789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2个字节数据，即16位，高字节在前。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26A7F06F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输出电流在设置值稳定工作时间。设置值单位是1s</w:t>
            </w:r>
          </w:p>
        </w:tc>
      </w:tr>
      <w:tr w14:paraId="3B54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shd w:val="clear" w:color="auto" w:fill="auto"/>
            <w:vAlign w:val="top"/>
          </w:tcPr>
          <w:p w14:paraId="4CBE854E">
            <w:pPr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设置tDCS输出电流缓降时间（数字量）</w:t>
            </w:r>
          </w:p>
        </w:tc>
        <w:tc>
          <w:tcPr>
            <w:tcW w:w="1069" w:type="dxa"/>
            <w:shd w:val="clear" w:color="auto" w:fill="auto"/>
            <w:vAlign w:val="top"/>
          </w:tcPr>
          <w:p w14:paraId="40315A11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0x22</w:t>
            </w:r>
          </w:p>
        </w:tc>
        <w:tc>
          <w:tcPr>
            <w:tcW w:w="1865" w:type="dxa"/>
            <w:shd w:val="clear" w:color="auto" w:fill="auto"/>
            <w:vAlign w:val="top"/>
          </w:tcPr>
          <w:p w14:paraId="761EBCBD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2个字节数据，即16位，高字节在前。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6D2D64F0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输出电流从设置值到达0之间的下降时间。设置值单位是100ms</w:t>
            </w:r>
          </w:p>
        </w:tc>
      </w:tr>
      <w:tr w14:paraId="645A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shd w:val="clear" w:color="auto" w:fill="auto"/>
            <w:vAlign w:val="top"/>
          </w:tcPr>
          <w:p w14:paraId="7F69A06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设置tDCS输出电流报警阈值（数字量）</w:t>
            </w:r>
          </w:p>
        </w:tc>
        <w:tc>
          <w:tcPr>
            <w:tcW w:w="1069" w:type="dxa"/>
            <w:shd w:val="clear" w:color="auto" w:fill="auto"/>
            <w:vAlign w:val="top"/>
          </w:tcPr>
          <w:p w14:paraId="175EFD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0x23</w:t>
            </w:r>
          </w:p>
        </w:tc>
        <w:tc>
          <w:tcPr>
            <w:tcW w:w="1865" w:type="dxa"/>
            <w:shd w:val="clear" w:color="auto" w:fill="auto"/>
            <w:vAlign w:val="top"/>
          </w:tcPr>
          <w:p w14:paraId="0C5283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2个字节数据，即16位，高字节在前。</w:t>
            </w:r>
          </w:p>
        </w:tc>
        <w:tc>
          <w:tcPr>
            <w:tcW w:w="3203" w:type="dxa"/>
            <w:shd w:val="clear" w:color="auto" w:fill="auto"/>
            <w:vAlign w:val="top"/>
          </w:tcPr>
          <w:p w14:paraId="477389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超过报警阈值，模块会自动断电。</w:t>
            </w:r>
          </w:p>
          <w:p w14:paraId="0CB25B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设置数字量值=实际电流报警阈值×40/(5×10^-6)，电流报警阈值的单位是A。例如报警阈值为2.6mA，则设置值=0.0026×40/（5×10^-6）=20800</w:t>
            </w:r>
          </w:p>
        </w:tc>
      </w:tr>
    </w:tbl>
    <w:p w14:paraId="50A06CE9">
      <w:pPr>
        <w:widowControl/>
      </w:pPr>
    </w:p>
    <w:p w14:paraId="3A448462">
      <w:pPr>
        <w:rPr>
          <w:rFonts w:hint="eastAsia"/>
        </w:rPr>
      </w:pPr>
    </w:p>
    <w:p w14:paraId="6804808C">
      <w:pPr>
        <w:rPr>
          <w:rFonts w:hint="eastAsia"/>
        </w:rPr>
      </w:pPr>
    </w:p>
    <w:p w14:paraId="51ECDBF6">
      <w:pPr>
        <w:rPr>
          <w:rFonts w:hint="eastAsia"/>
        </w:rPr>
      </w:pPr>
    </w:p>
    <w:p w14:paraId="199FDC4E">
      <w:r>
        <w:rPr>
          <w:rFonts w:hint="eastAsia"/>
        </w:rPr>
        <w:t>示例一：python程序中，</w:t>
      </w:r>
    </w:p>
    <w:p w14:paraId="20001F8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kern w:val="0"/>
          <w:sz w:val="20"/>
          <w:szCs w:val="20"/>
        </w:rPr>
      </w:pP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command_data = </w:t>
      </w:r>
      <w:r>
        <w:rPr>
          <w:rFonts w:ascii="Courier New" w:hAnsi="Courier New" w:cs="Courier New"/>
          <w:color w:val="8888C6"/>
          <w:kern w:val="0"/>
          <w:sz w:val="20"/>
          <w:szCs w:val="20"/>
        </w:rPr>
        <w:t>bytearray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>([</w:t>
      </w:r>
      <w:r>
        <w:rPr>
          <w:rFonts w:ascii="Courier New" w:hAnsi="Courier New" w:cs="Courier New"/>
          <w:color w:val="2AACB8"/>
          <w:kern w:val="0"/>
          <w:sz w:val="20"/>
          <w:szCs w:val="20"/>
        </w:rPr>
        <w:t>0xFF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kern w:val="0"/>
          <w:sz w:val="20"/>
          <w:szCs w:val="20"/>
        </w:rPr>
        <w:t>0x01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])  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# 设置trigger</w:t>
      </w:r>
    </w:p>
    <w:p w14:paraId="412EFBFC">
      <w:r>
        <w:rPr>
          <w:rFonts w:hint="eastAsia"/>
        </w:rPr>
        <w:t>其中，0xFF是一级指令中的trigger控制指令，0x01是二级指令中的设置trigger为1</w:t>
      </w:r>
    </w:p>
    <w:p w14:paraId="7ABF604C">
      <w:pPr>
        <w:jc w:val="center"/>
      </w:pPr>
      <w:r>
        <w:drawing>
          <wp:inline distT="0" distB="0" distL="0" distR="0">
            <wp:extent cx="3342640" cy="2414270"/>
            <wp:effectExtent l="0" t="0" r="0" b="5080"/>
            <wp:docPr id="195986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75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9142" cy="24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65D9"/>
    <w:p w14:paraId="06B252CB">
      <w:pPr>
        <w:rPr>
          <w:rFonts w:hint="eastAsia"/>
        </w:rPr>
      </w:pPr>
    </w:p>
    <w:p w14:paraId="2B06BC4E">
      <w:r>
        <w:rPr>
          <w:rFonts w:hint="eastAsia"/>
        </w:rPr>
        <w:t>示例二：控制脑电数据的开始及停止</w:t>
      </w:r>
    </w:p>
    <w:p w14:paraId="795EC04F">
      <w:r>
        <w:rPr>
          <w:rFonts w:hint="eastAsia"/>
        </w:rPr>
        <w:t>开始传输脑电数据：[0x02, 0x01]</w:t>
      </w:r>
    </w:p>
    <w:p w14:paraId="506E6130">
      <w:r>
        <w:rPr>
          <w:rFonts w:hint="eastAsia"/>
        </w:rPr>
        <w:t>停止传输脑电数据：[0x02, 0x02]</w:t>
      </w:r>
    </w:p>
    <w:p w14:paraId="0A6F19F5"/>
    <w:p w14:paraId="2343365E">
      <w:pPr>
        <w:rPr>
          <w:rFonts w:hint="eastAsia"/>
        </w:rPr>
      </w:pPr>
    </w:p>
    <w:p w14:paraId="2D567C30">
      <w:r>
        <w:rPr>
          <w:rFonts w:hint="eastAsia"/>
        </w:rPr>
        <w:t>示例三：控制阻抗检测的开始及停止</w:t>
      </w:r>
    </w:p>
    <w:p w14:paraId="14418AF0">
      <w:r>
        <w:rPr>
          <w:rFonts w:hint="eastAsia"/>
        </w:rPr>
        <w:t>开始传输阻抗数据：[0x03, 0x01]</w:t>
      </w:r>
    </w:p>
    <w:p w14:paraId="4DD73144">
      <w:r>
        <w:rPr>
          <w:rFonts w:hint="eastAsia"/>
        </w:rPr>
        <w:t>停止传输阻抗数据：[0x03, 0x02]</w:t>
      </w:r>
    </w:p>
    <w:p w14:paraId="39D69DD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BBC3D"/>
    <w:multiLevelType w:val="singleLevel"/>
    <w:tmpl w:val="E20BBC3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CEFA5BE"/>
    <w:multiLevelType w:val="singleLevel"/>
    <w:tmpl w:val="ECEFA5B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09E7200"/>
    <w:multiLevelType w:val="multilevel"/>
    <w:tmpl w:val="509E7200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241"/>
    <w:rsid w:val="00045EBF"/>
    <w:rsid w:val="00092F55"/>
    <w:rsid w:val="00096DD4"/>
    <w:rsid w:val="000D2E99"/>
    <w:rsid w:val="00137F8E"/>
    <w:rsid w:val="001F69E0"/>
    <w:rsid w:val="00226608"/>
    <w:rsid w:val="00254D81"/>
    <w:rsid w:val="002D78D1"/>
    <w:rsid w:val="002E2184"/>
    <w:rsid w:val="003016F3"/>
    <w:rsid w:val="003159DF"/>
    <w:rsid w:val="00332377"/>
    <w:rsid w:val="003428AE"/>
    <w:rsid w:val="0038782E"/>
    <w:rsid w:val="003A0D74"/>
    <w:rsid w:val="003F1659"/>
    <w:rsid w:val="004313E3"/>
    <w:rsid w:val="00437B1F"/>
    <w:rsid w:val="004A7146"/>
    <w:rsid w:val="005032EA"/>
    <w:rsid w:val="00517806"/>
    <w:rsid w:val="00563C39"/>
    <w:rsid w:val="00596749"/>
    <w:rsid w:val="005C1003"/>
    <w:rsid w:val="005C47A7"/>
    <w:rsid w:val="005F42C3"/>
    <w:rsid w:val="0060434E"/>
    <w:rsid w:val="00642B8C"/>
    <w:rsid w:val="00647AE2"/>
    <w:rsid w:val="006623C7"/>
    <w:rsid w:val="006C3973"/>
    <w:rsid w:val="006C3D92"/>
    <w:rsid w:val="00714AF3"/>
    <w:rsid w:val="007A43FC"/>
    <w:rsid w:val="007F17CF"/>
    <w:rsid w:val="00807D1F"/>
    <w:rsid w:val="00874AC0"/>
    <w:rsid w:val="00893B6E"/>
    <w:rsid w:val="009605D3"/>
    <w:rsid w:val="009C5E80"/>
    <w:rsid w:val="009D1257"/>
    <w:rsid w:val="009D4676"/>
    <w:rsid w:val="009E396E"/>
    <w:rsid w:val="00A24322"/>
    <w:rsid w:val="00A53FA5"/>
    <w:rsid w:val="00AC0B62"/>
    <w:rsid w:val="00AE16DF"/>
    <w:rsid w:val="00B754DF"/>
    <w:rsid w:val="00C039B5"/>
    <w:rsid w:val="00C74663"/>
    <w:rsid w:val="00CB6DF3"/>
    <w:rsid w:val="00D430A3"/>
    <w:rsid w:val="00D51B34"/>
    <w:rsid w:val="00D60214"/>
    <w:rsid w:val="00DB5847"/>
    <w:rsid w:val="00DB7207"/>
    <w:rsid w:val="00DD2A5C"/>
    <w:rsid w:val="00DF50BD"/>
    <w:rsid w:val="00E2238A"/>
    <w:rsid w:val="00EB6473"/>
    <w:rsid w:val="00EC1B37"/>
    <w:rsid w:val="00EF5CF8"/>
    <w:rsid w:val="00EF73FE"/>
    <w:rsid w:val="00F17241"/>
    <w:rsid w:val="00F21C21"/>
    <w:rsid w:val="00F230BF"/>
    <w:rsid w:val="00F4161A"/>
    <w:rsid w:val="00FD3CBB"/>
    <w:rsid w:val="01354320"/>
    <w:rsid w:val="092B2723"/>
    <w:rsid w:val="1BBE48E4"/>
    <w:rsid w:val="20C37669"/>
    <w:rsid w:val="2C0D104A"/>
    <w:rsid w:val="2D2D29AF"/>
    <w:rsid w:val="32054AD3"/>
    <w:rsid w:val="3393745A"/>
    <w:rsid w:val="3564622B"/>
    <w:rsid w:val="368F677E"/>
    <w:rsid w:val="39F00A96"/>
    <w:rsid w:val="3C6328CC"/>
    <w:rsid w:val="40E03929"/>
    <w:rsid w:val="4D547FDD"/>
    <w:rsid w:val="5BA26239"/>
    <w:rsid w:val="5FBF0165"/>
    <w:rsid w:val="62952E37"/>
    <w:rsid w:val="63A51939"/>
    <w:rsid w:val="74E20794"/>
    <w:rsid w:val="75443A65"/>
    <w:rsid w:val="75B501E5"/>
    <w:rsid w:val="77407006"/>
    <w:rsid w:val="777E2FF8"/>
    <w:rsid w:val="793F4C4C"/>
    <w:rsid w:val="7A5F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240" w:after="240" w:line="360" w:lineRule="auto"/>
      <w:outlineLvl w:val="1"/>
    </w:pPr>
    <w:rPr>
      <w:rFonts w:cstheme="majorBidi"/>
      <w:bCs/>
      <w:sz w:val="24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40" w:after="240" w:line="360" w:lineRule="auto"/>
      <w:outlineLvl w:val="2"/>
    </w:pPr>
    <w:rPr>
      <w:bCs/>
      <w:sz w:val="24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numPr>
        <w:ilvl w:val="3"/>
        <w:numId w:val="1"/>
      </w:numPr>
      <w:spacing w:before="240" w:after="240" w:line="360" w:lineRule="auto"/>
      <w:outlineLvl w:val="3"/>
    </w:pPr>
    <w:rPr>
      <w:rFonts w:cstheme="majorBidi"/>
      <w:bCs/>
      <w:sz w:val="24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40" w:after="240" w:line="360" w:lineRule="auto"/>
      <w:outlineLvl w:val="4"/>
    </w:pPr>
    <w:rPr>
      <w:bCs/>
      <w:sz w:val="24"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240" w:line="360" w:lineRule="auto"/>
      <w:outlineLvl w:val="5"/>
    </w:pPr>
    <w:rPr>
      <w:rFonts w:cstheme="majorBidi"/>
      <w:bCs/>
      <w:sz w:val="24"/>
      <w:szCs w:val="24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240" w:line="36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240" w:line="360" w:lineRule="auto"/>
      <w:outlineLvl w:val="7"/>
    </w:pPr>
    <w:rPr>
      <w:rFonts w:cstheme="majorBidi"/>
      <w:sz w:val="24"/>
      <w:szCs w:val="24"/>
    </w:rPr>
  </w:style>
  <w:style w:type="paragraph" w:styleId="10">
    <w:name w:val="heading 9"/>
    <w:basedOn w:val="1"/>
    <w:next w:val="1"/>
    <w:link w:val="28"/>
    <w:unhideWhenUsed/>
    <w:qFormat/>
    <w:uiPriority w:val="9"/>
    <w:pPr>
      <w:keepNext/>
      <w:keepLines/>
      <w:numPr>
        <w:ilvl w:val="8"/>
        <w:numId w:val="1"/>
      </w:numPr>
      <w:spacing w:before="240" w:after="240" w:line="360" w:lineRule="auto"/>
      <w:outlineLvl w:val="8"/>
    </w:pPr>
    <w:rPr>
      <w:rFonts w:cstheme="majorBidi"/>
      <w:sz w:val="24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link w:val="3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8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19">
    <w:name w:val="标题 1 字符"/>
    <w:basedOn w:val="16"/>
    <w:link w:val="2"/>
    <w:qFormat/>
    <w:uiPriority w:val="9"/>
    <w:rPr>
      <w:rFonts w:ascii="Times New Roman" w:hAnsi="Times New Roman" w:eastAsia="宋体"/>
      <w:bCs/>
      <w:kern w:val="44"/>
      <w:sz w:val="28"/>
      <w:szCs w:val="4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2 字符"/>
    <w:basedOn w:val="16"/>
    <w:link w:val="3"/>
    <w:qFormat/>
    <w:uiPriority w:val="9"/>
    <w:rPr>
      <w:rFonts w:ascii="Times New Roman" w:hAnsi="Times New Roman" w:eastAsia="宋体" w:cstheme="majorBidi"/>
      <w:bCs/>
      <w:sz w:val="24"/>
      <w:szCs w:val="32"/>
    </w:rPr>
  </w:style>
  <w:style w:type="character" w:customStyle="1" w:styleId="22">
    <w:name w:val="标题 3 字符"/>
    <w:basedOn w:val="16"/>
    <w:link w:val="4"/>
    <w:qFormat/>
    <w:uiPriority w:val="9"/>
    <w:rPr>
      <w:rFonts w:ascii="Times New Roman" w:hAnsi="Times New Roman" w:eastAsia="宋体"/>
      <w:bCs/>
      <w:sz w:val="24"/>
      <w:szCs w:val="32"/>
    </w:rPr>
  </w:style>
  <w:style w:type="character" w:customStyle="1" w:styleId="23">
    <w:name w:val="标题 4 字符"/>
    <w:basedOn w:val="16"/>
    <w:link w:val="5"/>
    <w:semiHidden/>
    <w:qFormat/>
    <w:uiPriority w:val="9"/>
    <w:rPr>
      <w:rFonts w:ascii="Times New Roman" w:hAnsi="Times New Roman" w:eastAsia="宋体" w:cstheme="majorBidi"/>
      <w:bCs/>
      <w:sz w:val="24"/>
      <w:szCs w:val="28"/>
    </w:rPr>
  </w:style>
  <w:style w:type="character" w:customStyle="1" w:styleId="24">
    <w:name w:val="标题 5 字符"/>
    <w:basedOn w:val="16"/>
    <w:link w:val="6"/>
    <w:semiHidden/>
    <w:qFormat/>
    <w:uiPriority w:val="9"/>
    <w:rPr>
      <w:rFonts w:ascii="Times New Roman" w:hAnsi="Times New Roman" w:eastAsia="宋体"/>
      <w:bCs/>
      <w:sz w:val="24"/>
      <w:szCs w:val="28"/>
    </w:rPr>
  </w:style>
  <w:style w:type="character" w:customStyle="1" w:styleId="25">
    <w:name w:val="标题 6 字符"/>
    <w:basedOn w:val="16"/>
    <w:link w:val="7"/>
    <w:semiHidden/>
    <w:qFormat/>
    <w:uiPriority w:val="9"/>
    <w:rPr>
      <w:rFonts w:ascii="Times New Roman" w:hAnsi="Times New Roman" w:eastAsia="宋体" w:cstheme="majorBidi"/>
      <w:bCs/>
      <w:sz w:val="24"/>
      <w:szCs w:val="24"/>
    </w:rPr>
  </w:style>
  <w:style w:type="character" w:customStyle="1" w:styleId="26">
    <w:name w:val="标题 7 字符"/>
    <w:basedOn w:val="16"/>
    <w:link w:val="8"/>
    <w:semiHidden/>
    <w:qFormat/>
    <w:uiPriority w:val="9"/>
    <w:rPr>
      <w:rFonts w:ascii="Times New Roman" w:hAnsi="Times New Roman" w:eastAsia="宋体"/>
      <w:bCs/>
      <w:sz w:val="24"/>
      <w:szCs w:val="24"/>
    </w:rPr>
  </w:style>
  <w:style w:type="character" w:customStyle="1" w:styleId="27">
    <w:name w:val="标题 8 字符"/>
    <w:basedOn w:val="16"/>
    <w:link w:val="9"/>
    <w:semiHidden/>
    <w:qFormat/>
    <w:uiPriority w:val="9"/>
    <w:rPr>
      <w:rFonts w:ascii="Times New Roman" w:hAnsi="Times New Roman" w:eastAsia="宋体" w:cstheme="majorBidi"/>
      <w:sz w:val="24"/>
      <w:szCs w:val="24"/>
    </w:rPr>
  </w:style>
  <w:style w:type="character" w:customStyle="1" w:styleId="28">
    <w:name w:val="标题 9 字符"/>
    <w:basedOn w:val="16"/>
    <w:link w:val="10"/>
    <w:qFormat/>
    <w:uiPriority w:val="9"/>
    <w:rPr>
      <w:rFonts w:ascii="Times New Roman" w:hAnsi="Times New Roman" w:eastAsia="宋体" w:cstheme="majorBidi"/>
      <w:sz w:val="24"/>
      <w:szCs w:val="21"/>
    </w:rPr>
  </w:style>
  <w:style w:type="character" w:customStyle="1" w:styleId="29">
    <w:name w:val="cfgname"/>
    <w:basedOn w:val="16"/>
    <w:qFormat/>
    <w:uiPriority w:val="0"/>
  </w:style>
  <w:style w:type="character" w:customStyle="1" w:styleId="30">
    <w:name w:val="HTML 预设格式 字符"/>
    <w:basedOn w:val="16"/>
    <w:link w:val="13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2097</Words>
  <Characters>3219</Characters>
  <Lines>7</Lines>
  <Paragraphs>2</Paragraphs>
  <TotalTime>3</TotalTime>
  <ScaleCrop>false</ScaleCrop>
  <LinksUpToDate>false</LinksUpToDate>
  <CharactersWithSpaces>3306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2024-12-17T05:25:00Z</dcterms:created>
  <dc:creator>Bai 白</dc:creator>
  <cp:lastModifiedBy>zhang</cp:lastModifiedBy>
  <dcterms:modified xsi:type="dcterms:W3CDTF">2026-04-10T05:28:11Z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eyJoZGlkIjoiNDhkNGZjZTUwODZkOTViZTYzMDc5MGNjODI1OWZiMDAifQ==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48126ECFF08042F5B62A573B069DA714_12</vt:lpwstr>
  </property>
</Properties>
</file>