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AEC58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line="240" w:lineRule="auto"/>
        <w:jc w:val="center"/>
        <w:textAlignment w:val="auto"/>
        <w:rPr>
          <w:rFonts w:hint="eastAsia" w:ascii="小标宋" w:hAnsi="小标宋" w:eastAsia="小标宋" w:cs="小标宋"/>
          <w:b/>
          <w:bCs/>
          <w:color w:val="auto"/>
          <w:sz w:val="36"/>
          <w:szCs w:val="36"/>
          <w:lang w:val="en-US" w:eastAsia="en-US" w:bidi="ar-SA"/>
        </w:rPr>
      </w:pPr>
      <w:r>
        <w:rPr>
          <w:rFonts w:hint="eastAsia" w:ascii="小标宋" w:hAnsi="小标宋" w:eastAsia="小标宋" w:cs="小标宋"/>
          <w:b/>
          <w:bCs/>
          <w:color w:val="auto"/>
          <w:sz w:val="36"/>
          <w:szCs w:val="36"/>
          <w:lang w:val="en-US" w:eastAsia="en-US" w:bidi="ar-SA"/>
        </w:rPr>
        <w:t>BHB-EEG Station 软件使用说明</w:t>
      </w:r>
    </w:p>
    <w:p w14:paraId="2BB2EF1F">
      <w:pPr>
        <w:jc w:val="center"/>
        <w:rPr>
          <w:rFonts w:hint="eastAsia" w:ascii="小标宋" w:hAnsi="小标宋" w:eastAsia="小标宋" w:cs="小标宋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小标宋" w:hAnsi="小标宋" w:eastAsia="小标宋" w:cs="小标宋"/>
          <w:b/>
          <w:bCs/>
          <w:color w:val="auto"/>
          <w:sz w:val="24"/>
          <w:szCs w:val="24"/>
          <w:lang w:val="en-US" w:eastAsia="zh-CN" w:bidi="ar-SA"/>
        </w:rPr>
        <w:t xml:space="preserve">（2026-05-29 </w:t>
      </w:r>
      <w:bookmarkStart w:id="0" w:name="_GoBack"/>
      <w:bookmarkEnd w:id="0"/>
      <w:r>
        <w:rPr>
          <w:rFonts w:hint="eastAsia" w:ascii="小标宋" w:hAnsi="小标宋" w:eastAsia="小标宋" w:cs="小标宋"/>
          <w:b/>
          <w:bCs/>
          <w:color w:val="auto"/>
          <w:sz w:val="24"/>
          <w:szCs w:val="24"/>
          <w:lang w:val="en-US" w:eastAsia="zh-CN" w:bidi="ar-SA"/>
        </w:rPr>
        <w:t xml:space="preserve"> V1.5.3版本）</w:t>
      </w:r>
    </w:p>
    <w:p w14:paraId="4ABE14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1、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启动后端服务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main.py，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打开浏览器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访问地址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fldChar w:fldCharType="begin"/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instrText xml:space="preserve"> HYPERLINK "http://127.0.0.1:8001" </w:instrTex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fldChar w:fldCharType="separate"/>
      </w:r>
      <w:r>
        <w:rPr>
          <w:rStyle w:val="134"/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en-US" w:bidi="ar-SA"/>
        </w:rPr>
        <w:t>http://127.0.0.1:</w:t>
      </w:r>
      <w:r>
        <w:rPr>
          <w:rStyle w:val="134"/>
          <w:rFonts w:hint="eastAsia" w:ascii="仿宋_GB2312" w:hAnsi="仿宋_GB2312" w:eastAsia="仿宋_GB2312" w:cs="仿宋_GB2312"/>
          <w:b w:val="0"/>
          <w:bCs w:val="0"/>
          <w:sz w:val="22"/>
          <w:szCs w:val="22"/>
          <w:lang w:val="en-US" w:eastAsia="zh-CN" w:bidi="ar-SA"/>
        </w:rPr>
        <w:t>8001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fldChar w:fldCharType="end"/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。</w:t>
      </w:r>
    </w:p>
    <w:p w14:paraId="7396F57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</w:rPr>
        <w:drawing>
          <wp:inline distT="0" distB="0" distL="114300" distR="114300">
            <wp:extent cx="5486400" cy="3086100"/>
            <wp:effectExtent l="0" t="0" r="8255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9C18E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“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设备连接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区域点击【扫描】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等待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【下拉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列表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刷新后，在设备列表中找到目标设备（核对设备名称/地址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，【最近连接】会提示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）。</w:t>
      </w:r>
    </w:p>
    <w:p w14:paraId="01506E3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仿宋_GB2312" w:hAnsi="仿宋_GB2312" w:eastAsia="仿宋_GB2312" w:cs="仿宋_GB2312"/>
        </w:rPr>
        <w:drawing>
          <wp:inline distT="0" distB="0" distL="114300" distR="114300">
            <wp:extent cx="3599815" cy="224536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2935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点击【连接】按钮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，等待右上角连接状态提示灯变成绿色。</w:t>
      </w:r>
    </w:p>
    <w:p w14:paraId="6C48DA7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新版蓝牙命名规则为MSM***S**，举例：8通道采集1通道电刺激模块为MSM008S01，16通道采集不含电刺激模块为MSM1016S00</w:t>
      </w:r>
    </w:p>
    <w:p w14:paraId="52F4DBF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老版蓝牙命名统一为MSM，不含电刺激模块</w:t>
      </w:r>
    </w:p>
    <w:p w14:paraId="75DB5F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</w:rPr>
        <w:drawing>
          <wp:inline distT="0" distB="0" distL="114300" distR="114300">
            <wp:extent cx="3599815" cy="651510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65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082A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在“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通道选择/电极选择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”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区域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，通过【下拉列表】选择8通道/16通道，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按需要点击要启用的通道（或在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【常用组合】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中选择）。</w:t>
      </w:r>
    </w:p>
    <w:p w14:paraId="75BC4094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右键点选10-20标准电极位置图中电极作为参考通道，显示绿色</w:t>
      </w:r>
    </w:p>
    <w:p w14:paraId="492F9CB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左键点选10-20标准电极位置图中电极作为参考通道，显示蓝色，列表中拖动可以排序</w:t>
      </w:r>
    </w:p>
    <w:p w14:paraId="3D6506C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center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drawing>
          <wp:inline distT="0" distB="0" distL="114300" distR="114300">
            <wp:extent cx="3599815" cy="1981200"/>
            <wp:effectExtent l="0" t="0" r="5715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D171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（可选）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点击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常用组合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【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下拉列表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】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可以选择内置预设/用户自定义通道配置。内置预设为BHB-脑电头环组合，在下方“保存为本机常用”【文本框】内可以输入自定义通道配置名称，点击【保存】按钮会将组合保存到【本地】。</w:t>
      </w:r>
    </w:p>
    <w:p w14:paraId="4B03EB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</w:rPr>
        <w:drawing>
          <wp:inline distT="0" distB="0" distL="114300" distR="114300">
            <wp:extent cx="3599815" cy="1329055"/>
            <wp:effectExtent l="0" t="0" r="571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1ADD6D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完成通道选择后，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点击【应用到设备】使配置立即生效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。</w:t>
      </w:r>
    </w:p>
    <w:p w14:paraId="3DF8FAF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当且仅当【蓝牙连接成功】和点击【应用到设备】后，系统会从【设备】页自动跳转到【模式】页。</w:t>
      </w:r>
    </w:p>
    <w:p w14:paraId="7BDD1E1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当前共支持3种模式：阻抗检测、脑电采集、电刺激（仅含有电刺激通道的模块可使用）</w:t>
      </w:r>
    </w:p>
    <w:p w14:paraId="058F8C7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待开发模式：SSVEP、MI</w:t>
      </w:r>
    </w:p>
    <w:p w14:paraId="50041500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drawing>
          <wp:inline distT="0" distB="0" distL="114300" distR="114300">
            <wp:extent cx="5486400" cy="3086100"/>
            <wp:effectExtent l="0" t="0" r="8255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D12A9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选择【阻抗采集】模式，点击【开始阻抗检测】按钮来进行检测。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10-20标准电极位置图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区域查看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通道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分布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与阻抗大小，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阻抗列表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区域查看每个通道的数值与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阻抗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en-US" w:bidi="ar-SA"/>
        </w:rPr>
        <w:t>等级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，并以此作为参考来调节佩戴姿势。</w:t>
      </w:r>
    </w:p>
    <w:p w14:paraId="2A56572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拖动阈值【滑条】可改变阈值大小，点击【默认】按钮恢复至5000和20000（经验值）</w:t>
      </w:r>
    </w:p>
    <w:p w14:paraId="19304028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按钮【清空】和【暂停输出/继续滚动】仅控制调试输出窗口，不影响数据传输</w:t>
      </w:r>
    </w:p>
    <w:p w14:paraId="54A356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drawing>
          <wp:inline distT="0" distB="0" distL="114300" distR="114300">
            <wp:extent cx="5486400" cy="3086100"/>
            <wp:effectExtent l="0" t="0" r="8255" b="1270"/>
            <wp:docPr id="5" name="图片 5" descr="589aca072618f87d877c3fb1b726c7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89aca072618f87d877c3fb1b726c75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4FE4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待阻抗稳定到较低水平后，点击【停止阻抗检测】按钮，选择【脑电采集】模式，点击【开始EEG采集】按钮来进行采集。</w:t>
      </w:r>
    </w:p>
    <w:p w14:paraId="4A1C0A1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点选【动态Y轴】开关，决定展示方式，关闭时可使用【滑条】设置Y轴坐标范围</w:t>
      </w:r>
    </w:p>
    <w:p w14:paraId="2E40B6C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- 按钮【清空】和【暂停输出/继续滚动】仅控制调试输出窗口，不影响数据传输</w:t>
      </w:r>
    </w:p>
    <w:p w14:paraId="4A30FF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drawing>
          <wp:inline distT="0" distB="0" distL="114300" distR="114300">
            <wp:extent cx="5486400" cy="3086100"/>
            <wp:effectExtent l="0" t="0" r="8255" b="1270"/>
            <wp:docPr id="8" name="图片 8" descr="573639bbd4260a2865cf6fd23324a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573639bbd4260a2865cf6fd23324a15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65D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9、点击【停止EEG采集】按钮进入到导出数据页面，勾选【启用带通滤波】可应用默认0.5-80Hz带通滤波器，勾选【CSV】和【EDF】可设置导出格式（可多选，最多四个文件）。</w:t>
      </w:r>
    </w:p>
    <w:p w14:paraId="6B4423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drawing>
          <wp:inline distT="0" distB="0" distL="114300" distR="114300">
            <wp:extent cx="5486400" cy="3086100"/>
            <wp:effectExtent l="0" t="0" r="8255" b="1270"/>
            <wp:docPr id="9" name="图片 9" descr="33947cb05a58ce4f28d6c8701a42e3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33947cb05a58ce4f28d6c8701a42e38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054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drawing>
          <wp:inline distT="0" distB="0" distL="114300" distR="114300">
            <wp:extent cx="5486400" cy="3086100"/>
            <wp:effectExtent l="0" t="0" r="8255" b="1270"/>
            <wp:docPr id="10" name="图片 10" descr="bdbe012a10d47c0399c06a26186e8f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bdbe012a10d47c0399c06a26186e8fb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3C7B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  <w:t>选择【电刺激】模式，进入电刺激页面，包括左侧【数据面板】和右侧【控制面板】，按钮功能说明写在页面中。</w:t>
      </w:r>
    </w:p>
    <w:p w14:paraId="6CE73B6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rPr>
          <w:rFonts w:hint="default" w:ascii="仿宋_GB2312" w:hAnsi="仿宋_GB2312" w:eastAsia="仿宋_GB2312" w:cs="仿宋_GB2312"/>
          <w:b w:val="0"/>
          <w:bCs w:val="0"/>
          <w:color w:val="auto"/>
          <w:sz w:val="22"/>
          <w:szCs w:val="22"/>
          <w:lang w:val="en-US" w:eastAsia="zh-CN" w:bidi="ar-SA"/>
        </w:rPr>
      </w:pPr>
      <w:r>
        <w:drawing>
          <wp:inline distT="0" distB="0" distL="114300" distR="114300">
            <wp:extent cx="5486400" cy="3086100"/>
            <wp:effectExtent l="0" t="0" r="8255" b="1270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VDL哥特明朝 简 M">
    <w:panose1 w:val="02000600000000000000"/>
    <w:charset w:val="86"/>
    <w:family w:val="auto"/>
    <w:pitch w:val="default"/>
    <w:sig w:usb0="A00002BF" w:usb1="184F6CFA" w:usb2="00000012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1" w:fontKey="{5289F271-BE3A-48F5-8809-1AF2C0804388}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2" w:fontKey="{A53984A2-97B6-4B00-A976-5949A8EE5F2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4D7DE4F"/>
    <w:multiLevelType w:val="singleLevel"/>
    <w:tmpl w:val="14D7DE4F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TrueTypeFonts/>
  <w:saveSubset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C65CDD"/>
    <w:rsid w:val="060F0626"/>
    <w:rsid w:val="2079507E"/>
    <w:rsid w:val="21A46F4D"/>
    <w:rsid w:val="27686B28"/>
    <w:rsid w:val="2A1F1C6C"/>
    <w:rsid w:val="33FE384C"/>
    <w:rsid w:val="394318C9"/>
    <w:rsid w:val="65EE0945"/>
    <w:rsid w:val="68661D1F"/>
    <w:rsid w:val="69341C75"/>
    <w:rsid w:val="6BEB12ED"/>
    <w:rsid w:val="72F52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 New" w:hAnsi="Courier New" w:eastAsia="方正VDL哥特明朝 简 M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qFormat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eastAsia="方正VDL哥特明朝 简 M" w:asciiTheme="minorHAnsi" w:hAnsiTheme="minorHAnsi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qFormat/>
    <w:uiPriority w:val="99"/>
  </w:style>
  <w:style w:type="character" w:customStyle="1" w:styleId="147">
    <w:name w:val="Body Text 2 Char"/>
    <w:basedOn w:val="132"/>
    <w:link w:val="28"/>
    <w:qFormat/>
    <w:uiPriority w:val="99"/>
  </w:style>
  <w:style w:type="character" w:customStyle="1" w:styleId="148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qFormat/>
    <w:uiPriority w:val="99"/>
    <w:rPr>
      <w:rFonts w:ascii="Courier New" w:hAnsi="Courier New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941</Words>
  <Characters>1066</Characters>
  <Lines>0</Lines>
  <Paragraphs>0</Paragraphs>
  <TotalTime>33</TotalTime>
  <ScaleCrop>false</ScaleCrop>
  <LinksUpToDate>false</LinksUpToDate>
  <CharactersWithSpaces>1080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赵金昊</cp:lastModifiedBy>
  <dcterms:modified xsi:type="dcterms:W3CDTF">2026-05-29T08:55:28Z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{"Label":"1","ContentProducer":"001191440300708461136T1IVWN","ProduceID":"c6828f3f9d785ba7e4a046ae0d62cab8-v2tyc5jonz22e7qr2tt2fey5xjjsdlhxrnzjc25s","ReservedCode1":"{\"Type\":\" TC260PG\",\"Version\":1,\"Bindings\":[{\"Type\":\"soft\",\"AlgID\":\"sm3\",\"Value\":\"43bb160f23a7277d33400769a6cb3add2de806d381f31cd58d6d54f55b42dda5\"},{\"Type\":\"hash\",\"AlgID\":\"sm3\",\"Value\":\"6098a12ed1a904b8f25c02e6394b3d1b65bd6dbecefb15fed9083f49b5c3cb35\"}],\"PubSD\":[{\"Type\":\"DS\",\"AlgID\":\"sm2\",\"TBSData\":{\"Type\":\"Binding\",\"BType\":\"hash\"},\"Signature\":\"30450221009cab216abaffe87fbdd63f33932e3540eeb82350a510e82a4a11b5675ab85e1902201d08d2a6808efdd55b719605dc981ed8e32717eab23fcea1a7984b4de15deead\"},{\"Type\":\"PubKey\",\"AlgID\":\"sm2\",\"KeyValue\":\"0407f79b28a17a752b3aae4305c98b48978213832729a2571850b1310b2bc9fe8fee039ccf25ebfeac27502414d9fcef792d777183c98893d226171c2f7a3289a2\"}],\"Extension\":{\"Timestamp\":1779976949,\"KeyVersion\":\"v1-Owd2uMESYLo311\"}}","ContentPropagator":"001191440300708461136T1IVWN","PropagateID":"c6828f3f9d785ba7e4a046ae0d62cab8-v2tyc5jonz22e7qr2tt2fey5xjjsdlhxrnzjc25s","ReservedCode2":"{\"Type\":\" TC260PG\",\"Version\":1,\"Bindings\":[{\"Type\":\"soft\",\"AlgID\":\"sm3\",\"Value\":\"43bb160f23a7277d33400769a6cb3add2de806d381f31cd58d6d54f55b42dda5\"},{\"Type\":\"hash\",\"AlgID\":\"sm3\",\"Value\":\"6098a12ed1a904b8f25c02e6394b3d1b65bd6dbecefb15fed9083f49b5c3cb35\"}],\"PubSD\":[{\"Type\":\"DS\",\"AlgID\":\"sm2\",\"TBSData\":{\"Type\":\"Binding\",\"BType\":\"hash\"},\"Signature\":\"304402206dbf6fa5083fa6f702e21b964d09226f66da0f4d14577831fd7025a1c6132a0202205528171177613982d2e0428d016b1836f972c5bbdca87e1887d597a150bff805\"},{\"Type\":\"PubKey\",\"AlgID\":\"sm2\",\"KeyValue\":\"0407f79b28a17a752b3aae4305c98b48978213832729a2571850b1310b2bc9fe8fee039ccf25ebfeac27502414d9fcef792d777183c98893d226171c2f7a3289a2\"}],\"Extension\":{\"Timestamp\":1779976949,\"KeyVersion\":\"v1-Owd2uMESYLo311\"}}"}</vt:lpwstr>
  </property>
  <property fmtid="{D5CDD505-2E9C-101B-9397-08002B2CF9AE}" pid="3" name="KSOTemplateDocerSaveRecord">
    <vt:lpwstr>eyJoZGlkIjoiOTk4OTE5YzhlMGUyZmY4OWM5NWNlNGJmMWM5YzEwYWQiLCJ1c2VySWQiOiIxNTcyMTYwMDU5In0=</vt:lpwstr>
  </property>
  <property fmtid="{D5CDD505-2E9C-101B-9397-08002B2CF9AE}" pid="4" name="KSOProductBuildVer">
    <vt:lpwstr>2052-12.1.0.26375</vt:lpwstr>
  </property>
  <property fmtid="{D5CDD505-2E9C-101B-9397-08002B2CF9AE}" pid="5" name="ICV">
    <vt:lpwstr>BD25CCEE9F21484F8F8677C6A6BF81AE_12</vt:lpwstr>
  </property>
</Properties>
</file>