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B042F" w14:textId="744B22FA" w:rsidR="00961213" w:rsidRPr="00961213" w:rsidRDefault="00961213" w:rsidP="00961213">
      <w:pPr>
        <w:pStyle w:val="NormalWeb"/>
        <w:rPr>
          <w:color w:val="000000"/>
          <w:sz w:val="20"/>
          <w:szCs w:val="20"/>
          <w:lang w:val="en-GB"/>
        </w:rPr>
      </w:pPr>
      <w:r w:rsidRPr="00961213">
        <w:rPr>
          <w:b/>
          <w:bCs/>
          <w:color w:val="000000"/>
          <w:sz w:val="20"/>
          <w:szCs w:val="20"/>
          <w:lang w:val="en-GB"/>
        </w:rPr>
        <w:t>Research Question</w:t>
      </w:r>
      <w:r w:rsidRPr="00961213">
        <w:rPr>
          <w:rStyle w:val="apple-converted-space"/>
          <w:rFonts w:eastAsiaTheme="majorEastAsia"/>
          <w:color w:val="000000"/>
          <w:sz w:val="20"/>
          <w:szCs w:val="20"/>
          <w:lang w:val="en-GB"/>
        </w:rPr>
        <w:t> </w:t>
      </w:r>
      <w:r w:rsidRPr="00961213">
        <w:rPr>
          <w:color w:val="000000"/>
          <w:sz w:val="20"/>
          <w:szCs w:val="20"/>
          <w:lang w:val="en-GB"/>
        </w:rPr>
        <w:t>How do structural shocks to exchange rates and sovereign debt levels propagate through the macroeconomic systems of the "Asian Tiger" economies, and to what extent do theoretical IRF predictions align with observed outcomes across distinct historical debt episodes (1997, 2008, and 2020)?</w:t>
      </w:r>
      <w:r>
        <w:rPr>
          <w:color w:val="000000"/>
          <w:sz w:val="20"/>
          <w:szCs w:val="20"/>
          <w:lang w:val="en-GB"/>
        </w:rPr>
        <w:br/>
      </w:r>
      <w:r w:rsidRPr="00961213">
        <w:rPr>
          <w:b/>
          <w:bCs/>
          <w:color w:val="000000"/>
          <w:sz w:val="20"/>
          <w:szCs w:val="20"/>
          <w:lang w:val="en-GB"/>
        </w:rPr>
        <w:t>Motivation</w:t>
      </w:r>
      <w:r w:rsidRPr="00961213">
        <w:rPr>
          <w:rStyle w:val="apple-converted-space"/>
          <w:rFonts w:eastAsiaTheme="majorEastAsia"/>
          <w:color w:val="000000"/>
          <w:sz w:val="20"/>
          <w:szCs w:val="20"/>
          <w:lang w:val="en-GB"/>
        </w:rPr>
        <w:t> </w:t>
      </w:r>
      <w:r w:rsidRPr="00961213">
        <w:rPr>
          <w:color w:val="000000"/>
          <w:sz w:val="20"/>
          <w:szCs w:val="20"/>
          <w:lang w:val="en-GB"/>
        </w:rPr>
        <w:t>This project evaluates the predictive power of the Dornbusch overshooting framework when applied to sovereign debt sustainability in small open economies. By constructing a theoretical Structural Vector Autoregression (SVAR), we isolate the "valuation effect"—the mechanical inflation of foreign-denominated debt during a currency jump.</w:t>
      </w:r>
      <w:r>
        <w:rPr>
          <w:color w:val="000000"/>
          <w:sz w:val="20"/>
          <w:szCs w:val="20"/>
          <w:lang w:val="en-GB"/>
        </w:rPr>
        <w:t xml:space="preserve"> </w:t>
      </w:r>
      <w:r w:rsidRPr="00961213">
        <w:rPr>
          <w:color w:val="000000"/>
          <w:sz w:val="20"/>
          <w:szCs w:val="20"/>
          <w:lang w:val="en-GB"/>
        </w:rPr>
        <w:t>While the theoretical model provides a "clean" transmission mechanism, real-world crises are often confounded by multiple simultaneous shocks. By expanding the analysis to compare the model’s predictions against three distinct historical periods—the 1997 currency-led collapse, the 2008 global liquidity squeeze, and the 2020 exogenous fiscal shock—we can determine if structural relationships, such as the debt-elasticity of the risk premium, remain stable or shift during different regimes of financial stress.</w:t>
      </w:r>
    </w:p>
    <w:p w14:paraId="66BC4ECC" w14:textId="77777777" w:rsidR="00961213" w:rsidRPr="00961213" w:rsidRDefault="00961213" w:rsidP="00961213">
      <w:pPr>
        <w:pStyle w:val="NormalWeb"/>
        <w:rPr>
          <w:color w:val="000000"/>
          <w:sz w:val="20"/>
          <w:szCs w:val="20"/>
        </w:rPr>
      </w:pPr>
      <w:proofErr w:type="spellStart"/>
      <w:r w:rsidRPr="00961213">
        <w:rPr>
          <w:b/>
          <w:bCs/>
          <w:color w:val="000000"/>
          <w:sz w:val="20"/>
          <w:szCs w:val="20"/>
        </w:rPr>
        <w:t>Literature</w:t>
      </w:r>
      <w:proofErr w:type="spellEnd"/>
    </w:p>
    <w:p w14:paraId="6127CC23" w14:textId="77777777" w:rsidR="00961213" w:rsidRPr="00961213" w:rsidRDefault="00961213" w:rsidP="00961213">
      <w:pPr>
        <w:pStyle w:val="NormalWeb"/>
        <w:numPr>
          <w:ilvl w:val="0"/>
          <w:numId w:val="7"/>
        </w:numPr>
        <w:rPr>
          <w:color w:val="000000"/>
          <w:sz w:val="20"/>
          <w:szCs w:val="20"/>
          <w:lang w:val="en-GB"/>
        </w:rPr>
      </w:pPr>
      <w:r w:rsidRPr="00961213">
        <w:rPr>
          <w:b/>
          <w:bCs/>
          <w:color w:val="000000"/>
          <w:sz w:val="20"/>
          <w:szCs w:val="20"/>
          <w:lang w:val="en-GB"/>
        </w:rPr>
        <w:t>Dornbusch (1976):</w:t>
      </w:r>
      <w:r w:rsidRPr="00961213">
        <w:rPr>
          <w:rStyle w:val="apple-converted-space"/>
          <w:rFonts w:eastAsiaTheme="majorEastAsia"/>
          <w:color w:val="000000"/>
          <w:sz w:val="20"/>
          <w:szCs w:val="20"/>
          <w:lang w:val="en-GB"/>
        </w:rPr>
        <w:t> </w:t>
      </w:r>
      <w:r w:rsidRPr="00961213">
        <w:rPr>
          <w:i/>
          <w:iCs/>
          <w:color w:val="000000"/>
          <w:sz w:val="20"/>
          <w:szCs w:val="20"/>
          <w:lang w:val="en-GB"/>
        </w:rPr>
        <w:t>Expectations and Exchange Rate Dynamics.</w:t>
      </w:r>
      <w:r w:rsidRPr="00961213">
        <w:rPr>
          <w:rStyle w:val="apple-converted-space"/>
          <w:rFonts w:eastAsiaTheme="majorEastAsia"/>
          <w:color w:val="000000"/>
          <w:sz w:val="20"/>
          <w:szCs w:val="20"/>
          <w:lang w:val="en-GB"/>
        </w:rPr>
        <w:t> </w:t>
      </w:r>
      <w:r w:rsidRPr="00961213">
        <w:rPr>
          <w:color w:val="000000"/>
          <w:sz w:val="20"/>
          <w:szCs w:val="20"/>
          <w:lang w:val="en-GB"/>
        </w:rPr>
        <w:t>The foundational theoretical framework for price stickiness and exchange rate overshooting.</w:t>
      </w:r>
    </w:p>
    <w:p w14:paraId="4ECF475C" w14:textId="77777777" w:rsidR="00961213" w:rsidRPr="00961213" w:rsidRDefault="00961213" w:rsidP="00961213">
      <w:pPr>
        <w:pStyle w:val="NormalWeb"/>
        <w:numPr>
          <w:ilvl w:val="0"/>
          <w:numId w:val="7"/>
        </w:numPr>
        <w:rPr>
          <w:color w:val="000000"/>
          <w:sz w:val="20"/>
          <w:szCs w:val="20"/>
          <w:lang w:val="en-GB"/>
        </w:rPr>
      </w:pPr>
      <w:r w:rsidRPr="00961213">
        <w:rPr>
          <w:b/>
          <w:bCs/>
          <w:color w:val="000000"/>
          <w:sz w:val="20"/>
          <w:szCs w:val="20"/>
          <w:lang w:val="en-GB"/>
        </w:rPr>
        <w:t>Corsetti, Pesenti, and Roubini (1998):</w:t>
      </w:r>
      <w:r w:rsidRPr="00961213">
        <w:rPr>
          <w:rStyle w:val="apple-converted-space"/>
          <w:rFonts w:eastAsiaTheme="majorEastAsia"/>
          <w:color w:val="000000"/>
          <w:sz w:val="20"/>
          <w:szCs w:val="20"/>
          <w:lang w:val="en-GB"/>
        </w:rPr>
        <w:t> </w:t>
      </w:r>
      <w:r w:rsidRPr="00961213">
        <w:rPr>
          <w:i/>
          <w:iCs/>
          <w:color w:val="000000"/>
          <w:sz w:val="20"/>
          <w:szCs w:val="20"/>
          <w:lang w:val="en-GB"/>
        </w:rPr>
        <w:t>Paper Tigers? A Model of the Asian Crisis.</w:t>
      </w:r>
      <w:r w:rsidRPr="00961213">
        <w:rPr>
          <w:rStyle w:val="apple-converted-space"/>
          <w:rFonts w:eastAsiaTheme="majorEastAsia"/>
          <w:color w:val="000000"/>
          <w:sz w:val="20"/>
          <w:szCs w:val="20"/>
          <w:lang w:val="en-GB"/>
        </w:rPr>
        <w:t> </w:t>
      </w:r>
      <w:proofErr w:type="spellStart"/>
      <w:r w:rsidRPr="00961213">
        <w:rPr>
          <w:color w:val="000000"/>
          <w:sz w:val="20"/>
          <w:szCs w:val="20"/>
          <w:lang w:val="en-GB"/>
        </w:rPr>
        <w:t>Analyzes</w:t>
      </w:r>
      <w:proofErr w:type="spellEnd"/>
      <w:r w:rsidRPr="00961213">
        <w:rPr>
          <w:color w:val="000000"/>
          <w:sz w:val="20"/>
          <w:szCs w:val="20"/>
          <w:lang w:val="en-GB"/>
        </w:rPr>
        <w:t xml:space="preserve"> the 1997 crisis through the lens of structural imbalances and implicit fiscal guarantees.</w:t>
      </w:r>
    </w:p>
    <w:p w14:paraId="00F17CCD" w14:textId="77777777" w:rsidR="00961213" w:rsidRPr="00961213" w:rsidRDefault="00961213" w:rsidP="00961213">
      <w:pPr>
        <w:pStyle w:val="NormalWeb"/>
        <w:numPr>
          <w:ilvl w:val="0"/>
          <w:numId w:val="7"/>
        </w:numPr>
        <w:rPr>
          <w:color w:val="000000"/>
          <w:sz w:val="20"/>
          <w:szCs w:val="20"/>
          <w:lang w:val="en-GB"/>
        </w:rPr>
      </w:pPr>
      <w:r w:rsidRPr="00961213">
        <w:rPr>
          <w:b/>
          <w:bCs/>
          <w:color w:val="000000"/>
          <w:sz w:val="20"/>
          <w:szCs w:val="20"/>
          <w:lang w:val="en-GB"/>
        </w:rPr>
        <w:t>Kim and Roubini (2000):</w:t>
      </w:r>
      <w:r w:rsidRPr="00961213">
        <w:rPr>
          <w:rStyle w:val="apple-converted-space"/>
          <w:rFonts w:eastAsiaTheme="majorEastAsia"/>
          <w:color w:val="000000"/>
          <w:sz w:val="20"/>
          <w:szCs w:val="20"/>
          <w:lang w:val="en-GB"/>
        </w:rPr>
        <w:t> </w:t>
      </w:r>
      <w:r w:rsidRPr="00961213">
        <w:rPr>
          <w:i/>
          <w:iCs/>
          <w:color w:val="000000"/>
          <w:sz w:val="20"/>
          <w:szCs w:val="20"/>
          <w:lang w:val="en-GB"/>
        </w:rPr>
        <w:t>Exchange Rate Anomalies in the Industrial Seven Countries.</w:t>
      </w:r>
      <w:r w:rsidRPr="00961213">
        <w:rPr>
          <w:rStyle w:val="apple-converted-space"/>
          <w:rFonts w:eastAsiaTheme="majorEastAsia"/>
          <w:color w:val="000000"/>
          <w:sz w:val="20"/>
          <w:szCs w:val="20"/>
          <w:lang w:val="en-GB"/>
        </w:rPr>
        <w:t> </w:t>
      </w:r>
      <w:r w:rsidRPr="00961213">
        <w:rPr>
          <w:color w:val="000000"/>
          <w:sz w:val="20"/>
          <w:szCs w:val="20"/>
          <w:lang w:val="en-GB"/>
        </w:rPr>
        <w:t>A benchmark for SVAR identification and resolving the "exchange rate puzzle."</w:t>
      </w:r>
    </w:p>
    <w:p w14:paraId="4B4D78EC" w14:textId="77777777" w:rsidR="00961213" w:rsidRPr="00961213" w:rsidRDefault="00961213" w:rsidP="00961213">
      <w:pPr>
        <w:pStyle w:val="NormalWeb"/>
        <w:numPr>
          <w:ilvl w:val="0"/>
          <w:numId w:val="7"/>
        </w:numPr>
        <w:rPr>
          <w:color w:val="000000"/>
          <w:sz w:val="20"/>
          <w:szCs w:val="20"/>
          <w:lang w:val="en-GB"/>
        </w:rPr>
      </w:pPr>
      <w:r w:rsidRPr="00961213">
        <w:rPr>
          <w:b/>
          <w:bCs/>
          <w:color w:val="000000"/>
          <w:sz w:val="20"/>
          <w:szCs w:val="20"/>
          <w:lang w:val="en-GB"/>
        </w:rPr>
        <w:t>Mendoza (2002):</w:t>
      </w:r>
      <w:r w:rsidRPr="00961213">
        <w:rPr>
          <w:rStyle w:val="apple-converted-space"/>
          <w:rFonts w:eastAsiaTheme="majorEastAsia"/>
          <w:color w:val="000000"/>
          <w:sz w:val="20"/>
          <w:szCs w:val="20"/>
          <w:lang w:val="en-GB"/>
        </w:rPr>
        <w:t> </w:t>
      </w:r>
      <w:r w:rsidRPr="00961213">
        <w:rPr>
          <w:i/>
          <w:iCs/>
          <w:color w:val="000000"/>
          <w:sz w:val="20"/>
          <w:szCs w:val="20"/>
          <w:lang w:val="en-GB"/>
        </w:rPr>
        <w:t>Credit, Prices, and Crashes: Business Cycles with a Sudden Stop.</w:t>
      </w:r>
      <w:r w:rsidRPr="00961213">
        <w:rPr>
          <w:rStyle w:val="apple-converted-space"/>
          <w:rFonts w:eastAsiaTheme="majorEastAsia"/>
          <w:color w:val="000000"/>
          <w:sz w:val="20"/>
          <w:szCs w:val="20"/>
          <w:lang w:val="en-GB"/>
        </w:rPr>
        <w:t> </w:t>
      </w:r>
      <w:r w:rsidRPr="00961213">
        <w:rPr>
          <w:color w:val="000000"/>
          <w:sz w:val="20"/>
          <w:szCs w:val="20"/>
          <w:lang w:val="en-GB"/>
        </w:rPr>
        <w:t>Essential for comparing the 1997 "sudden stop" to the liquidity dynamics seen in 2008.</w:t>
      </w:r>
    </w:p>
    <w:p w14:paraId="7624D544" w14:textId="77777777" w:rsidR="00961213" w:rsidRPr="00961213" w:rsidRDefault="00961213" w:rsidP="00961213">
      <w:pPr>
        <w:pStyle w:val="NormalWeb"/>
        <w:numPr>
          <w:ilvl w:val="0"/>
          <w:numId w:val="7"/>
        </w:numPr>
        <w:rPr>
          <w:color w:val="000000"/>
          <w:sz w:val="20"/>
          <w:szCs w:val="20"/>
          <w:lang w:val="en-GB"/>
        </w:rPr>
      </w:pPr>
      <w:proofErr w:type="spellStart"/>
      <w:r w:rsidRPr="00961213">
        <w:rPr>
          <w:b/>
          <w:bCs/>
          <w:color w:val="000000"/>
          <w:sz w:val="20"/>
          <w:szCs w:val="20"/>
          <w:lang w:val="en-GB"/>
        </w:rPr>
        <w:t>Gourinchas</w:t>
      </w:r>
      <w:proofErr w:type="spellEnd"/>
      <w:r w:rsidRPr="00961213">
        <w:rPr>
          <w:b/>
          <w:bCs/>
          <w:color w:val="000000"/>
          <w:sz w:val="20"/>
          <w:szCs w:val="20"/>
          <w:lang w:val="en-GB"/>
        </w:rPr>
        <w:t xml:space="preserve"> and Obstfeld (2012):</w:t>
      </w:r>
      <w:r w:rsidRPr="00961213">
        <w:rPr>
          <w:rStyle w:val="apple-converted-space"/>
          <w:rFonts w:eastAsiaTheme="majorEastAsia"/>
          <w:color w:val="000000"/>
          <w:sz w:val="20"/>
          <w:szCs w:val="20"/>
          <w:lang w:val="en-GB"/>
        </w:rPr>
        <w:t> </w:t>
      </w:r>
      <w:r w:rsidRPr="00961213">
        <w:rPr>
          <w:i/>
          <w:iCs/>
          <w:color w:val="000000"/>
          <w:sz w:val="20"/>
          <w:szCs w:val="20"/>
          <w:lang w:val="en-GB"/>
        </w:rPr>
        <w:t>Stories of the Twentieth Century for the Twenty-First.</w:t>
      </w:r>
      <w:r w:rsidRPr="00961213">
        <w:rPr>
          <w:rStyle w:val="apple-converted-space"/>
          <w:rFonts w:eastAsiaTheme="majorEastAsia"/>
          <w:color w:val="000000"/>
          <w:sz w:val="20"/>
          <w:szCs w:val="20"/>
          <w:lang w:val="en-GB"/>
        </w:rPr>
        <w:t> </w:t>
      </w:r>
      <w:r w:rsidRPr="00961213">
        <w:rPr>
          <w:color w:val="000000"/>
          <w:sz w:val="20"/>
          <w:szCs w:val="20"/>
          <w:lang w:val="en-GB"/>
        </w:rPr>
        <w:t>Provides a comparative empirical framework for different types of financial crises across centuries.</w:t>
      </w:r>
    </w:p>
    <w:p w14:paraId="7E168DB5" w14:textId="77777777" w:rsidR="00961213" w:rsidRPr="00961213" w:rsidRDefault="00961213" w:rsidP="00961213">
      <w:pPr>
        <w:pStyle w:val="NormalWeb"/>
        <w:numPr>
          <w:ilvl w:val="0"/>
          <w:numId w:val="7"/>
        </w:numPr>
        <w:rPr>
          <w:color w:val="000000"/>
          <w:sz w:val="20"/>
          <w:szCs w:val="20"/>
          <w:lang w:val="en-GB"/>
        </w:rPr>
      </w:pPr>
      <w:proofErr w:type="spellStart"/>
      <w:r w:rsidRPr="00961213">
        <w:rPr>
          <w:b/>
          <w:bCs/>
          <w:color w:val="000000"/>
          <w:sz w:val="20"/>
          <w:szCs w:val="20"/>
          <w:lang w:val="en-GB"/>
        </w:rPr>
        <w:t>Eichengreen</w:t>
      </w:r>
      <w:proofErr w:type="spellEnd"/>
      <w:r w:rsidRPr="00961213">
        <w:rPr>
          <w:b/>
          <w:bCs/>
          <w:color w:val="000000"/>
          <w:sz w:val="20"/>
          <w:szCs w:val="20"/>
          <w:lang w:val="en-GB"/>
        </w:rPr>
        <w:t>, Hausmann, and Panizza (2022):</w:t>
      </w:r>
      <w:r w:rsidRPr="00961213">
        <w:rPr>
          <w:rStyle w:val="apple-converted-space"/>
          <w:rFonts w:eastAsiaTheme="majorEastAsia"/>
          <w:color w:val="000000"/>
          <w:sz w:val="20"/>
          <w:szCs w:val="20"/>
          <w:lang w:val="en-GB"/>
        </w:rPr>
        <w:t> </w:t>
      </w:r>
      <w:r w:rsidRPr="00961213">
        <w:rPr>
          <w:i/>
          <w:iCs/>
          <w:color w:val="000000"/>
          <w:sz w:val="20"/>
          <w:szCs w:val="20"/>
          <w:lang w:val="en-GB"/>
        </w:rPr>
        <w:t>Yet it Endures: The Persistence of Original Sin.</w:t>
      </w:r>
      <w:r w:rsidRPr="00961213">
        <w:rPr>
          <w:rStyle w:val="apple-converted-space"/>
          <w:rFonts w:eastAsiaTheme="majorEastAsia"/>
          <w:color w:val="000000"/>
          <w:sz w:val="20"/>
          <w:szCs w:val="20"/>
          <w:lang w:val="en-GB"/>
        </w:rPr>
        <w:t> </w:t>
      </w:r>
      <w:r w:rsidRPr="00961213">
        <w:rPr>
          <w:color w:val="000000"/>
          <w:sz w:val="20"/>
          <w:szCs w:val="20"/>
          <w:lang w:val="en-GB"/>
        </w:rPr>
        <w:t>Explores why emerging markets remain vulnerable to currency-induced debt spikes.</w:t>
      </w:r>
    </w:p>
    <w:p w14:paraId="42474A45" w14:textId="77777777" w:rsidR="00961213" w:rsidRPr="00961213" w:rsidRDefault="00961213" w:rsidP="00961213">
      <w:pPr>
        <w:pStyle w:val="NormalWeb"/>
        <w:numPr>
          <w:ilvl w:val="0"/>
          <w:numId w:val="7"/>
        </w:numPr>
        <w:rPr>
          <w:color w:val="000000"/>
          <w:sz w:val="20"/>
          <w:szCs w:val="20"/>
          <w:lang w:val="en-GB"/>
        </w:rPr>
      </w:pPr>
      <w:r w:rsidRPr="00961213">
        <w:rPr>
          <w:b/>
          <w:bCs/>
          <w:color w:val="000000"/>
          <w:sz w:val="20"/>
          <w:szCs w:val="20"/>
          <w:lang w:val="en-GB"/>
        </w:rPr>
        <w:t>Uribe and Schmitt-</w:t>
      </w:r>
      <w:proofErr w:type="spellStart"/>
      <w:r w:rsidRPr="00961213">
        <w:rPr>
          <w:b/>
          <w:bCs/>
          <w:color w:val="000000"/>
          <w:sz w:val="20"/>
          <w:szCs w:val="20"/>
          <w:lang w:val="en-GB"/>
        </w:rPr>
        <w:t>Grohé</w:t>
      </w:r>
      <w:proofErr w:type="spellEnd"/>
      <w:r w:rsidRPr="00961213">
        <w:rPr>
          <w:b/>
          <w:bCs/>
          <w:color w:val="000000"/>
          <w:sz w:val="20"/>
          <w:szCs w:val="20"/>
          <w:lang w:val="en-GB"/>
        </w:rPr>
        <w:t xml:space="preserve"> (2017), Chapter 13:</w:t>
      </w:r>
      <w:r w:rsidRPr="00961213">
        <w:rPr>
          <w:rStyle w:val="apple-converted-space"/>
          <w:rFonts w:eastAsiaTheme="majorEastAsia"/>
          <w:color w:val="000000"/>
          <w:sz w:val="20"/>
          <w:szCs w:val="20"/>
          <w:lang w:val="en-GB"/>
        </w:rPr>
        <w:t> </w:t>
      </w:r>
      <w:r w:rsidRPr="00961213">
        <w:rPr>
          <w:color w:val="000000"/>
          <w:sz w:val="20"/>
          <w:szCs w:val="20"/>
          <w:lang w:val="en-GB"/>
        </w:rPr>
        <w:t>Provides the mathematical rigor for endogenizing sovereign risk premiums within macroeconomic models.</w:t>
      </w:r>
    </w:p>
    <w:p w14:paraId="43F91A19" w14:textId="77777777" w:rsidR="00961213" w:rsidRPr="00961213" w:rsidRDefault="00961213" w:rsidP="00961213">
      <w:pPr>
        <w:pStyle w:val="NormalWeb"/>
        <w:numPr>
          <w:ilvl w:val="0"/>
          <w:numId w:val="7"/>
        </w:numPr>
        <w:rPr>
          <w:color w:val="000000"/>
          <w:sz w:val="20"/>
          <w:szCs w:val="20"/>
          <w:lang w:val="en-GB"/>
        </w:rPr>
      </w:pPr>
      <w:proofErr w:type="spellStart"/>
      <w:r w:rsidRPr="00961213">
        <w:rPr>
          <w:b/>
          <w:bCs/>
          <w:color w:val="000000"/>
          <w:sz w:val="20"/>
          <w:szCs w:val="20"/>
          <w:lang w:val="en-GB"/>
        </w:rPr>
        <w:t>Palmén</w:t>
      </w:r>
      <w:proofErr w:type="spellEnd"/>
      <w:r w:rsidRPr="00961213">
        <w:rPr>
          <w:b/>
          <w:bCs/>
          <w:color w:val="000000"/>
          <w:sz w:val="20"/>
          <w:szCs w:val="20"/>
          <w:lang w:val="en-GB"/>
        </w:rPr>
        <w:t xml:space="preserve"> (2020):</w:t>
      </w:r>
      <w:r w:rsidRPr="00961213">
        <w:rPr>
          <w:rStyle w:val="apple-converted-space"/>
          <w:rFonts w:eastAsiaTheme="majorEastAsia"/>
          <w:color w:val="000000"/>
          <w:sz w:val="20"/>
          <w:szCs w:val="20"/>
          <w:lang w:val="en-GB"/>
        </w:rPr>
        <w:t> </w:t>
      </w:r>
      <w:r w:rsidRPr="00961213">
        <w:rPr>
          <w:i/>
          <w:iCs/>
          <w:color w:val="000000"/>
          <w:sz w:val="20"/>
          <w:szCs w:val="20"/>
          <w:lang w:val="en-GB"/>
        </w:rPr>
        <w:t>Sovereign Default Risk and Credit Supply.</w:t>
      </w:r>
      <w:r w:rsidRPr="00961213">
        <w:rPr>
          <w:rStyle w:val="apple-converted-space"/>
          <w:rFonts w:eastAsiaTheme="majorEastAsia"/>
          <w:color w:val="000000"/>
          <w:sz w:val="20"/>
          <w:szCs w:val="20"/>
          <w:lang w:val="en-GB"/>
        </w:rPr>
        <w:t> </w:t>
      </w:r>
      <w:r w:rsidRPr="00961213">
        <w:rPr>
          <w:color w:val="000000"/>
          <w:sz w:val="20"/>
          <w:szCs w:val="20"/>
          <w:lang w:val="en-GB"/>
        </w:rPr>
        <w:t>Offers a modular framework for linking sovereign risk to domestic credit conditions.</w:t>
      </w:r>
    </w:p>
    <w:p w14:paraId="55A0EC4A" w14:textId="77777777" w:rsidR="00961213" w:rsidRDefault="00961213" w:rsidP="00961213">
      <w:pPr>
        <w:pStyle w:val="NormalWeb"/>
        <w:rPr>
          <w:color w:val="000000"/>
          <w:sz w:val="20"/>
          <w:szCs w:val="20"/>
          <w:lang w:val="en-GB"/>
        </w:rPr>
      </w:pPr>
      <w:r w:rsidRPr="00961213">
        <w:rPr>
          <w:b/>
          <w:bCs/>
          <w:color w:val="000000"/>
          <w:sz w:val="20"/>
          <w:szCs w:val="20"/>
          <w:lang w:val="en-GB"/>
        </w:rPr>
        <w:t>Method</w:t>
      </w:r>
      <w:r w:rsidRPr="00961213">
        <w:rPr>
          <w:rStyle w:val="apple-converted-space"/>
          <w:rFonts w:eastAsiaTheme="majorEastAsia"/>
          <w:color w:val="000000"/>
          <w:sz w:val="20"/>
          <w:szCs w:val="20"/>
          <w:lang w:val="en-GB"/>
        </w:rPr>
        <w:t> </w:t>
      </w:r>
      <w:r w:rsidRPr="00961213">
        <w:rPr>
          <w:color w:val="000000"/>
          <w:sz w:val="20"/>
          <w:szCs w:val="20"/>
          <w:lang w:val="en-GB"/>
        </w:rPr>
        <w:t>The project utilizes a</w:t>
      </w:r>
      <w:r w:rsidRPr="00961213">
        <w:rPr>
          <w:rStyle w:val="apple-converted-space"/>
          <w:rFonts w:eastAsiaTheme="majorEastAsia"/>
          <w:color w:val="000000"/>
          <w:sz w:val="20"/>
          <w:szCs w:val="20"/>
          <w:lang w:val="en-GB"/>
        </w:rPr>
        <w:t> </w:t>
      </w:r>
      <w:r w:rsidRPr="00961213">
        <w:rPr>
          <w:b/>
          <w:bCs/>
          <w:color w:val="000000"/>
          <w:sz w:val="20"/>
          <w:szCs w:val="20"/>
          <w:lang w:val="en-GB"/>
        </w:rPr>
        <w:t>Structural Vector Autoregression (SVAR)</w:t>
      </w:r>
      <w:r w:rsidRPr="00961213">
        <w:rPr>
          <w:rStyle w:val="apple-converted-space"/>
          <w:rFonts w:eastAsiaTheme="majorEastAsia"/>
          <w:color w:val="000000"/>
          <w:sz w:val="20"/>
          <w:szCs w:val="20"/>
          <w:lang w:val="en-GB"/>
        </w:rPr>
        <w:t> </w:t>
      </w:r>
      <w:r w:rsidRPr="00961213">
        <w:rPr>
          <w:color w:val="000000"/>
          <w:sz w:val="20"/>
          <w:szCs w:val="20"/>
          <w:lang w:val="en-GB"/>
        </w:rPr>
        <w:t>to identify the transmission of structural shocks (). The system is defined as</w:t>
      </w:r>
      <w:r w:rsidRPr="00961213">
        <w:rPr>
          <w:rStyle w:val="apple-converted-space"/>
          <w:rFonts w:eastAsiaTheme="majorEastAsia"/>
          <w:color w:val="000000"/>
          <w:sz w:val="20"/>
          <w:szCs w:val="20"/>
          <w:lang w:val="en-GB"/>
        </w:rPr>
        <w:t> </w:t>
      </w:r>
      <w:r w:rsidRPr="00961213">
        <w:rPr>
          <w:color w:val="000000"/>
          <w:sz w:val="20"/>
          <w:szCs w:val="20"/>
          <w:lang w:val="en-GB"/>
        </w:rPr>
        <w:t>, where</w:t>
      </w:r>
      <w:r w:rsidRPr="00961213">
        <w:rPr>
          <w:rStyle w:val="apple-converted-space"/>
          <w:rFonts w:eastAsiaTheme="majorEastAsia"/>
          <w:color w:val="000000"/>
          <w:sz w:val="20"/>
          <w:szCs w:val="20"/>
          <w:lang w:val="en-GB"/>
        </w:rPr>
        <w:t>  </w:t>
      </w:r>
      <w:r w:rsidRPr="00961213">
        <w:rPr>
          <w:color w:val="000000"/>
          <w:sz w:val="20"/>
          <w:szCs w:val="20"/>
          <w:lang w:val="en-GB"/>
        </w:rPr>
        <w:t>represents prices, output, interest rates, nominal exchange rates, the sovereign risk premium, and the debt-to-GDP ratio.</w:t>
      </w:r>
    </w:p>
    <w:p w14:paraId="737AFEDB" w14:textId="77777777" w:rsidR="00961213" w:rsidRDefault="00961213" w:rsidP="00961213">
      <w:pPr>
        <w:pStyle w:val="NormalWeb"/>
        <w:numPr>
          <w:ilvl w:val="0"/>
          <w:numId w:val="12"/>
        </w:numPr>
        <w:rPr>
          <w:color w:val="000000"/>
          <w:sz w:val="20"/>
          <w:szCs w:val="20"/>
          <w:lang w:val="en-GB"/>
        </w:rPr>
      </w:pPr>
      <w:r w:rsidRPr="00961213">
        <w:rPr>
          <w:b/>
          <w:bCs/>
          <w:color w:val="000000"/>
          <w:sz w:val="20"/>
          <w:szCs w:val="20"/>
          <w:lang w:val="en-GB"/>
        </w:rPr>
        <w:t>Identification:</w:t>
      </w:r>
      <w:r w:rsidRPr="00961213">
        <w:rPr>
          <w:rStyle w:val="apple-converted-space"/>
          <w:rFonts w:eastAsiaTheme="majorEastAsia"/>
          <w:color w:val="000000"/>
          <w:sz w:val="20"/>
          <w:szCs w:val="20"/>
          <w:lang w:val="en-GB"/>
        </w:rPr>
        <w:t> </w:t>
      </w:r>
      <w:r w:rsidRPr="00961213">
        <w:rPr>
          <w:color w:val="000000"/>
          <w:sz w:val="20"/>
          <w:szCs w:val="20"/>
          <w:lang w:val="en-GB"/>
        </w:rPr>
        <w:t>We impose a recursive Cholesky identification where</w:t>
      </w:r>
      <w:r w:rsidRPr="00961213">
        <w:rPr>
          <w:rStyle w:val="apple-converted-space"/>
          <w:rFonts w:eastAsiaTheme="majorEastAsia"/>
          <w:color w:val="000000"/>
          <w:sz w:val="20"/>
          <w:szCs w:val="20"/>
          <w:lang w:val="en-GB"/>
        </w:rPr>
        <w:t>  </w:t>
      </w:r>
      <w:r w:rsidRPr="00961213">
        <w:rPr>
          <w:color w:val="000000"/>
          <w:sz w:val="20"/>
          <w:szCs w:val="20"/>
          <w:lang w:val="en-GB"/>
        </w:rPr>
        <w:t xml:space="preserve">is </w:t>
      </w:r>
      <w:proofErr w:type="gramStart"/>
      <w:r w:rsidRPr="00961213">
        <w:rPr>
          <w:color w:val="000000"/>
          <w:sz w:val="20"/>
          <w:szCs w:val="20"/>
          <w:lang w:val="en-GB"/>
        </w:rPr>
        <w:t>lower-triangular</w:t>
      </w:r>
      <w:proofErr w:type="gramEnd"/>
      <w:r w:rsidRPr="00961213">
        <w:rPr>
          <w:color w:val="000000"/>
          <w:sz w:val="20"/>
          <w:szCs w:val="20"/>
          <w:lang w:val="en-GB"/>
        </w:rPr>
        <w:t>. This adheres to the Dornbusch framework by assuming price and output stickiness in the short run, while</w:t>
      </w:r>
      <w:r w:rsidRPr="00961213">
        <w:rPr>
          <w:rStyle w:val="apple-converted-space"/>
          <w:rFonts w:eastAsiaTheme="majorEastAsia"/>
          <w:color w:val="000000"/>
          <w:sz w:val="20"/>
          <w:szCs w:val="20"/>
          <w:lang w:val="en-GB"/>
        </w:rPr>
        <w:t>  </w:t>
      </w:r>
      <w:r w:rsidRPr="00961213">
        <w:rPr>
          <w:color w:val="000000"/>
          <w:sz w:val="20"/>
          <w:szCs w:val="20"/>
          <w:lang w:val="en-GB"/>
        </w:rPr>
        <w:t>and</w:t>
      </w:r>
      <w:r w:rsidRPr="00961213">
        <w:rPr>
          <w:rStyle w:val="apple-converted-space"/>
          <w:rFonts w:eastAsiaTheme="majorEastAsia"/>
          <w:color w:val="000000"/>
          <w:sz w:val="20"/>
          <w:szCs w:val="20"/>
          <w:lang w:val="en-GB"/>
        </w:rPr>
        <w:t>  </w:t>
      </w:r>
      <w:r w:rsidRPr="00961213">
        <w:rPr>
          <w:color w:val="000000"/>
          <w:sz w:val="20"/>
          <w:szCs w:val="20"/>
          <w:lang w:val="en-GB"/>
        </w:rPr>
        <w:t>are forward-looking and jump instantaneously.</w:t>
      </w:r>
    </w:p>
    <w:p w14:paraId="252F600B" w14:textId="77777777" w:rsidR="00961213" w:rsidRDefault="00961213" w:rsidP="00961213">
      <w:pPr>
        <w:pStyle w:val="NormalWeb"/>
        <w:numPr>
          <w:ilvl w:val="0"/>
          <w:numId w:val="12"/>
        </w:numPr>
        <w:rPr>
          <w:color w:val="000000"/>
          <w:sz w:val="20"/>
          <w:szCs w:val="20"/>
          <w:lang w:val="en-GB"/>
        </w:rPr>
      </w:pPr>
      <w:r w:rsidRPr="00961213">
        <w:rPr>
          <w:b/>
          <w:bCs/>
          <w:color w:val="000000"/>
          <w:sz w:val="20"/>
          <w:szCs w:val="20"/>
          <w:lang w:val="en-GB"/>
        </w:rPr>
        <w:t>Shock Analysis:</w:t>
      </w:r>
      <w:r w:rsidRPr="00961213">
        <w:rPr>
          <w:rStyle w:val="apple-converted-space"/>
          <w:rFonts w:eastAsiaTheme="majorEastAsia"/>
          <w:color w:val="000000"/>
          <w:sz w:val="20"/>
          <w:szCs w:val="20"/>
          <w:lang w:val="en-GB"/>
        </w:rPr>
        <w:t> </w:t>
      </w:r>
      <w:r w:rsidRPr="00961213">
        <w:rPr>
          <w:color w:val="000000"/>
          <w:sz w:val="20"/>
          <w:szCs w:val="20"/>
          <w:lang w:val="en-GB"/>
        </w:rPr>
        <w:t>We isolate two primary structural shocks:</w:t>
      </w:r>
    </w:p>
    <w:p w14:paraId="024CEC18" w14:textId="77777777" w:rsidR="00961213" w:rsidRDefault="00961213" w:rsidP="00961213">
      <w:pPr>
        <w:pStyle w:val="NormalWeb"/>
        <w:numPr>
          <w:ilvl w:val="1"/>
          <w:numId w:val="12"/>
        </w:numPr>
        <w:rPr>
          <w:color w:val="000000"/>
          <w:sz w:val="20"/>
          <w:szCs w:val="20"/>
          <w:lang w:val="en-GB"/>
        </w:rPr>
      </w:pPr>
      <w:r w:rsidRPr="00961213">
        <w:rPr>
          <w:rStyle w:val="apple-converted-space"/>
          <w:rFonts w:eastAsiaTheme="majorEastAsia"/>
          <w:b/>
          <w:bCs/>
          <w:color w:val="000000"/>
          <w:sz w:val="20"/>
          <w:szCs w:val="20"/>
          <w:lang w:val="en-GB"/>
        </w:rPr>
        <w:t> </w:t>
      </w:r>
      <w:r w:rsidRPr="00961213">
        <w:rPr>
          <w:b/>
          <w:bCs/>
          <w:color w:val="000000"/>
          <w:sz w:val="20"/>
          <w:szCs w:val="20"/>
          <w:lang w:val="en-GB"/>
        </w:rPr>
        <w:t>(Exchange Rate Shock):</w:t>
      </w:r>
      <w:r w:rsidRPr="00961213">
        <w:rPr>
          <w:rStyle w:val="apple-converted-space"/>
          <w:rFonts w:eastAsiaTheme="majorEastAsia"/>
          <w:color w:val="000000"/>
          <w:sz w:val="20"/>
          <w:szCs w:val="20"/>
          <w:lang w:val="en-GB"/>
        </w:rPr>
        <w:t> </w:t>
      </w:r>
      <w:r w:rsidRPr="00961213">
        <w:rPr>
          <w:color w:val="000000"/>
          <w:sz w:val="20"/>
          <w:szCs w:val="20"/>
          <w:lang w:val="en-GB"/>
        </w:rPr>
        <w:t>Traces the overshooting effect and the resulting valuation spike in</w:t>
      </w:r>
      <w:r w:rsidRPr="00961213">
        <w:rPr>
          <w:rStyle w:val="apple-converted-space"/>
          <w:rFonts w:eastAsiaTheme="majorEastAsia"/>
          <w:color w:val="000000"/>
          <w:sz w:val="20"/>
          <w:szCs w:val="20"/>
          <w:lang w:val="en-GB"/>
        </w:rPr>
        <w:t>  </w:t>
      </w:r>
      <w:r w:rsidRPr="00961213">
        <w:rPr>
          <w:color w:val="000000"/>
          <w:sz w:val="20"/>
          <w:szCs w:val="20"/>
          <w:lang w:val="en-GB"/>
        </w:rPr>
        <w:t>due to currency mismatch.</w:t>
      </w:r>
    </w:p>
    <w:p w14:paraId="4221415A" w14:textId="77777777" w:rsidR="00961213" w:rsidRDefault="00961213" w:rsidP="00961213">
      <w:pPr>
        <w:pStyle w:val="NormalWeb"/>
        <w:numPr>
          <w:ilvl w:val="1"/>
          <w:numId w:val="12"/>
        </w:numPr>
        <w:rPr>
          <w:color w:val="000000"/>
          <w:sz w:val="20"/>
          <w:szCs w:val="20"/>
          <w:lang w:val="en-GB"/>
        </w:rPr>
      </w:pPr>
      <w:r w:rsidRPr="00961213">
        <w:rPr>
          <w:rStyle w:val="apple-converted-space"/>
          <w:rFonts w:eastAsiaTheme="majorEastAsia"/>
          <w:b/>
          <w:bCs/>
          <w:color w:val="000000"/>
          <w:sz w:val="20"/>
          <w:szCs w:val="20"/>
          <w:lang w:val="en-GB"/>
        </w:rPr>
        <w:t> </w:t>
      </w:r>
      <w:r w:rsidRPr="00961213">
        <w:rPr>
          <w:b/>
          <w:bCs/>
          <w:color w:val="000000"/>
          <w:sz w:val="20"/>
          <w:szCs w:val="20"/>
          <w:lang w:val="en-GB"/>
        </w:rPr>
        <w:t>(Debt Accumulation Shock):</w:t>
      </w:r>
      <w:r w:rsidRPr="00961213">
        <w:rPr>
          <w:rStyle w:val="apple-converted-space"/>
          <w:rFonts w:eastAsiaTheme="majorEastAsia"/>
          <w:color w:val="000000"/>
          <w:sz w:val="20"/>
          <w:szCs w:val="20"/>
          <w:lang w:val="en-GB"/>
        </w:rPr>
        <w:t> </w:t>
      </w:r>
      <w:r w:rsidRPr="00961213">
        <w:rPr>
          <w:color w:val="000000"/>
          <w:sz w:val="20"/>
          <w:szCs w:val="20"/>
          <w:lang w:val="en-GB"/>
        </w:rPr>
        <w:t>Measures the sensitivity of the risk premium</w:t>
      </w:r>
      <w:r w:rsidRPr="00961213">
        <w:rPr>
          <w:rStyle w:val="apple-converted-space"/>
          <w:rFonts w:eastAsiaTheme="majorEastAsia"/>
          <w:color w:val="000000"/>
          <w:sz w:val="20"/>
          <w:szCs w:val="20"/>
          <w:lang w:val="en-GB"/>
        </w:rPr>
        <w:t>  </w:t>
      </w:r>
      <w:r w:rsidRPr="00961213">
        <w:rPr>
          <w:color w:val="000000"/>
          <w:sz w:val="20"/>
          <w:szCs w:val="20"/>
          <w:lang w:val="en-GB"/>
        </w:rPr>
        <w:t>to a sudden increase in leverage.</w:t>
      </w:r>
    </w:p>
    <w:p w14:paraId="08D54F9B" w14:textId="5F39E462" w:rsidR="00961213" w:rsidRPr="00961213" w:rsidRDefault="00961213" w:rsidP="00961213">
      <w:pPr>
        <w:pStyle w:val="NormalWeb"/>
        <w:numPr>
          <w:ilvl w:val="0"/>
          <w:numId w:val="12"/>
        </w:numPr>
        <w:rPr>
          <w:color w:val="000000"/>
          <w:sz w:val="20"/>
          <w:szCs w:val="20"/>
          <w:lang w:val="en-GB"/>
        </w:rPr>
      </w:pPr>
      <w:r w:rsidRPr="00961213">
        <w:rPr>
          <w:b/>
          <w:bCs/>
          <w:color w:val="000000"/>
          <w:sz w:val="20"/>
          <w:szCs w:val="20"/>
          <w:lang w:val="en-GB"/>
        </w:rPr>
        <w:t>Historical Comparison:</w:t>
      </w:r>
      <w:r w:rsidRPr="00961213">
        <w:rPr>
          <w:rStyle w:val="apple-converted-space"/>
          <w:rFonts w:eastAsiaTheme="majorEastAsia"/>
          <w:color w:val="000000"/>
          <w:sz w:val="20"/>
          <w:szCs w:val="20"/>
          <w:lang w:val="en-GB"/>
        </w:rPr>
        <w:t> </w:t>
      </w:r>
      <w:r w:rsidRPr="00961213">
        <w:rPr>
          <w:color w:val="000000"/>
          <w:sz w:val="20"/>
          <w:szCs w:val="20"/>
          <w:lang w:val="en-GB"/>
        </w:rPr>
        <w:t>We evaluate the model's impulse response functions (IRFs) against the realized data from three "debt shocks": the 1997-98 Asian Financial Crisis, the 2008-09 Global Financial Crisis, and the 2020-22 COVID-19 fiscal expansion.</w:t>
      </w:r>
    </w:p>
    <w:p w14:paraId="69BAFF02" w14:textId="77777777" w:rsidR="00961213" w:rsidRDefault="00961213" w:rsidP="00961213">
      <w:pPr>
        <w:pStyle w:val="NormalWeb"/>
        <w:rPr>
          <w:color w:val="000000"/>
          <w:sz w:val="20"/>
          <w:szCs w:val="20"/>
          <w:lang w:val="en-GB"/>
        </w:rPr>
      </w:pPr>
      <w:r w:rsidRPr="00961213">
        <w:rPr>
          <w:b/>
          <w:bCs/>
          <w:color w:val="000000"/>
          <w:sz w:val="20"/>
          <w:szCs w:val="20"/>
          <w:lang w:val="en-GB"/>
        </w:rPr>
        <w:t>Data</w:t>
      </w:r>
      <w:r w:rsidRPr="00961213">
        <w:rPr>
          <w:rStyle w:val="apple-converted-space"/>
          <w:rFonts w:eastAsiaTheme="majorEastAsia"/>
          <w:color w:val="000000"/>
          <w:sz w:val="20"/>
          <w:szCs w:val="20"/>
          <w:lang w:val="en-GB"/>
        </w:rPr>
        <w:t> </w:t>
      </w:r>
      <w:r w:rsidRPr="00961213">
        <w:rPr>
          <w:color w:val="000000"/>
          <w:sz w:val="20"/>
          <w:szCs w:val="20"/>
          <w:lang w:val="en-GB"/>
        </w:rPr>
        <w:t>The study utilizes quarterly data from 1990 to 2024 to capture high-frequency dynamics across multiple cycles.</w:t>
      </w:r>
    </w:p>
    <w:p w14:paraId="36832948" w14:textId="77777777" w:rsidR="00961213" w:rsidRDefault="00961213" w:rsidP="00961213">
      <w:pPr>
        <w:pStyle w:val="NormalWeb"/>
        <w:numPr>
          <w:ilvl w:val="0"/>
          <w:numId w:val="10"/>
        </w:numPr>
        <w:rPr>
          <w:color w:val="000000"/>
          <w:sz w:val="20"/>
          <w:szCs w:val="20"/>
          <w:lang w:val="en-GB"/>
        </w:rPr>
      </w:pPr>
      <w:r w:rsidRPr="00961213">
        <w:rPr>
          <w:b/>
          <w:bCs/>
          <w:color w:val="000000"/>
          <w:sz w:val="20"/>
          <w:szCs w:val="20"/>
          <w:lang w:val="en-GB"/>
        </w:rPr>
        <w:t>Macro-Fundamentals:</w:t>
      </w:r>
      <w:r w:rsidRPr="00961213">
        <w:rPr>
          <w:rStyle w:val="apple-converted-space"/>
          <w:rFonts w:eastAsiaTheme="majorEastAsia"/>
          <w:color w:val="000000"/>
          <w:sz w:val="20"/>
          <w:szCs w:val="20"/>
          <w:lang w:val="en-GB"/>
        </w:rPr>
        <w:t> </w:t>
      </w:r>
      <w:r w:rsidRPr="00961213">
        <w:rPr>
          <w:color w:val="000000"/>
          <w:sz w:val="20"/>
          <w:szCs w:val="20"/>
          <w:lang w:val="en-GB"/>
        </w:rPr>
        <w:t>Real GDP, CPI, and nominal interest rates from</w:t>
      </w:r>
      <w:r w:rsidRPr="00961213">
        <w:rPr>
          <w:rStyle w:val="apple-converted-space"/>
          <w:rFonts w:eastAsiaTheme="majorEastAsia"/>
          <w:color w:val="000000"/>
          <w:sz w:val="20"/>
          <w:szCs w:val="20"/>
          <w:lang w:val="en-GB"/>
        </w:rPr>
        <w:t> </w:t>
      </w:r>
      <w:r w:rsidRPr="00961213">
        <w:rPr>
          <w:b/>
          <w:bCs/>
          <w:color w:val="000000"/>
          <w:sz w:val="20"/>
          <w:szCs w:val="20"/>
          <w:lang w:val="en-GB"/>
        </w:rPr>
        <w:t>IMF International Financial Statistics (IFS)</w:t>
      </w:r>
      <w:r w:rsidRPr="00961213">
        <w:rPr>
          <w:rStyle w:val="apple-converted-space"/>
          <w:rFonts w:eastAsiaTheme="majorEastAsia"/>
          <w:color w:val="000000"/>
          <w:sz w:val="20"/>
          <w:szCs w:val="20"/>
          <w:lang w:val="en-GB"/>
        </w:rPr>
        <w:t> </w:t>
      </w:r>
      <w:r w:rsidRPr="00961213">
        <w:rPr>
          <w:color w:val="000000"/>
          <w:sz w:val="20"/>
          <w:szCs w:val="20"/>
          <w:lang w:val="en-GB"/>
        </w:rPr>
        <w:t>and</w:t>
      </w:r>
      <w:r w:rsidRPr="00961213">
        <w:rPr>
          <w:rStyle w:val="apple-converted-space"/>
          <w:rFonts w:eastAsiaTheme="majorEastAsia"/>
          <w:color w:val="000000"/>
          <w:sz w:val="20"/>
          <w:szCs w:val="20"/>
          <w:lang w:val="en-GB"/>
        </w:rPr>
        <w:t> </w:t>
      </w:r>
      <w:r w:rsidRPr="00961213">
        <w:rPr>
          <w:b/>
          <w:bCs/>
          <w:color w:val="000000"/>
          <w:sz w:val="20"/>
          <w:szCs w:val="20"/>
          <w:lang w:val="en-GB"/>
        </w:rPr>
        <w:t>Taiwan DGBAS</w:t>
      </w:r>
      <w:r w:rsidRPr="00961213">
        <w:rPr>
          <w:color w:val="000000"/>
          <w:sz w:val="20"/>
          <w:szCs w:val="20"/>
          <w:lang w:val="en-GB"/>
        </w:rPr>
        <w:t>.</w:t>
      </w:r>
    </w:p>
    <w:p w14:paraId="76E2D250" w14:textId="77777777" w:rsidR="00961213" w:rsidRDefault="00961213" w:rsidP="00961213">
      <w:pPr>
        <w:pStyle w:val="NormalWeb"/>
        <w:numPr>
          <w:ilvl w:val="0"/>
          <w:numId w:val="10"/>
        </w:numPr>
        <w:rPr>
          <w:color w:val="000000"/>
          <w:sz w:val="20"/>
          <w:szCs w:val="20"/>
          <w:lang w:val="en-GB"/>
        </w:rPr>
      </w:pPr>
      <w:r w:rsidRPr="00961213">
        <w:rPr>
          <w:b/>
          <w:bCs/>
          <w:color w:val="000000"/>
          <w:sz w:val="20"/>
          <w:szCs w:val="20"/>
          <w:lang w:val="en-GB"/>
        </w:rPr>
        <w:t>Sovereign Debt:</w:t>
      </w:r>
      <w:r w:rsidRPr="00961213">
        <w:rPr>
          <w:rStyle w:val="apple-converted-space"/>
          <w:rFonts w:eastAsiaTheme="majorEastAsia"/>
          <w:color w:val="000000"/>
          <w:sz w:val="20"/>
          <w:szCs w:val="20"/>
          <w:lang w:val="en-GB"/>
        </w:rPr>
        <w:t> </w:t>
      </w:r>
      <w:r w:rsidRPr="00961213">
        <w:rPr>
          <w:color w:val="000000"/>
          <w:sz w:val="20"/>
          <w:szCs w:val="20"/>
          <w:lang w:val="en-GB"/>
        </w:rPr>
        <w:t>Quarterly debt-to-GDP ratios and currency compositions from the</w:t>
      </w:r>
      <w:r w:rsidRPr="00961213">
        <w:rPr>
          <w:rStyle w:val="apple-converted-space"/>
          <w:rFonts w:eastAsiaTheme="majorEastAsia"/>
          <w:color w:val="000000"/>
          <w:sz w:val="20"/>
          <w:szCs w:val="20"/>
          <w:lang w:val="en-GB"/>
        </w:rPr>
        <w:t> </w:t>
      </w:r>
      <w:r w:rsidRPr="00961213">
        <w:rPr>
          <w:b/>
          <w:bCs/>
          <w:color w:val="000000"/>
          <w:sz w:val="20"/>
          <w:szCs w:val="20"/>
          <w:lang w:val="en-GB"/>
        </w:rPr>
        <w:t>World Bank/IMF Quarterly Public Sector Debt (QPSD)</w:t>
      </w:r>
      <w:r w:rsidRPr="00961213">
        <w:rPr>
          <w:rStyle w:val="apple-converted-space"/>
          <w:rFonts w:eastAsiaTheme="majorEastAsia"/>
          <w:color w:val="000000"/>
          <w:sz w:val="20"/>
          <w:szCs w:val="20"/>
          <w:lang w:val="en-GB"/>
        </w:rPr>
        <w:t> </w:t>
      </w:r>
      <w:r w:rsidRPr="00961213">
        <w:rPr>
          <w:color w:val="000000"/>
          <w:sz w:val="20"/>
          <w:szCs w:val="20"/>
          <w:lang w:val="en-GB"/>
        </w:rPr>
        <w:t>database and</w:t>
      </w:r>
      <w:r w:rsidRPr="00961213">
        <w:rPr>
          <w:rStyle w:val="apple-converted-space"/>
          <w:rFonts w:eastAsiaTheme="majorEastAsia"/>
          <w:color w:val="000000"/>
          <w:sz w:val="20"/>
          <w:szCs w:val="20"/>
          <w:lang w:val="en-GB"/>
        </w:rPr>
        <w:t> </w:t>
      </w:r>
      <w:proofErr w:type="spellStart"/>
      <w:r w:rsidRPr="00961213">
        <w:rPr>
          <w:b/>
          <w:bCs/>
          <w:color w:val="000000"/>
          <w:sz w:val="20"/>
          <w:szCs w:val="20"/>
          <w:lang w:val="en-GB"/>
        </w:rPr>
        <w:t>AsianBondsOnline</w:t>
      </w:r>
      <w:proofErr w:type="spellEnd"/>
      <w:r w:rsidRPr="00961213">
        <w:rPr>
          <w:color w:val="000000"/>
          <w:sz w:val="20"/>
          <w:szCs w:val="20"/>
          <w:lang w:val="en-GB"/>
        </w:rPr>
        <w:t>.</w:t>
      </w:r>
    </w:p>
    <w:p w14:paraId="013AD114" w14:textId="77777777" w:rsidR="00961213" w:rsidRDefault="00961213" w:rsidP="00961213">
      <w:pPr>
        <w:pStyle w:val="NormalWeb"/>
        <w:numPr>
          <w:ilvl w:val="0"/>
          <w:numId w:val="10"/>
        </w:numPr>
        <w:rPr>
          <w:color w:val="000000"/>
          <w:sz w:val="20"/>
          <w:szCs w:val="20"/>
          <w:lang w:val="en-GB"/>
        </w:rPr>
      </w:pPr>
      <w:r w:rsidRPr="00961213">
        <w:rPr>
          <w:b/>
          <w:bCs/>
          <w:color w:val="000000"/>
          <w:sz w:val="20"/>
          <w:szCs w:val="20"/>
          <w:lang w:val="en-GB"/>
        </w:rPr>
        <w:t>Risk Premia:</w:t>
      </w:r>
      <w:r w:rsidRPr="00961213">
        <w:rPr>
          <w:rStyle w:val="apple-converted-space"/>
          <w:rFonts w:eastAsiaTheme="majorEastAsia"/>
          <w:color w:val="000000"/>
          <w:sz w:val="20"/>
          <w:szCs w:val="20"/>
          <w:lang w:val="en-GB"/>
        </w:rPr>
        <w:t> </w:t>
      </w:r>
      <w:r w:rsidRPr="00961213">
        <w:rPr>
          <w:b/>
          <w:bCs/>
          <w:color w:val="000000"/>
          <w:sz w:val="20"/>
          <w:szCs w:val="20"/>
          <w:lang w:val="en-GB"/>
        </w:rPr>
        <w:t>J.P. Morgan EMBI Global Diversified</w:t>
      </w:r>
      <w:r w:rsidRPr="00961213">
        <w:rPr>
          <w:rStyle w:val="apple-converted-space"/>
          <w:rFonts w:eastAsiaTheme="majorEastAsia"/>
          <w:color w:val="000000"/>
          <w:sz w:val="20"/>
          <w:szCs w:val="20"/>
          <w:lang w:val="en-GB"/>
        </w:rPr>
        <w:t> </w:t>
      </w:r>
      <w:r w:rsidRPr="00961213">
        <w:rPr>
          <w:color w:val="000000"/>
          <w:sz w:val="20"/>
          <w:szCs w:val="20"/>
          <w:lang w:val="en-GB"/>
        </w:rPr>
        <w:t>spreads to proxy the sovereign risk premium ().</w:t>
      </w:r>
    </w:p>
    <w:p w14:paraId="437991AC" w14:textId="3C9994DD" w:rsidR="00961213" w:rsidRDefault="00961213" w:rsidP="00961213">
      <w:pPr>
        <w:pStyle w:val="NormalWeb"/>
        <w:numPr>
          <w:ilvl w:val="0"/>
          <w:numId w:val="10"/>
        </w:numPr>
        <w:rPr>
          <w:color w:val="000000"/>
          <w:sz w:val="20"/>
          <w:szCs w:val="20"/>
          <w:lang w:val="en-GB"/>
        </w:rPr>
      </w:pPr>
      <w:r w:rsidRPr="00961213">
        <w:rPr>
          <w:b/>
          <w:bCs/>
          <w:color w:val="000000"/>
          <w:sz w:val="20"/>
          <w:szCs w:val="20"/>
          <w:lang w:val="en-GB"/>
        </w:rPr>
        <w:t>External Exposure:</w:t>
      </w:r>
      <w:r w:rsidRPr="00961213">
        <w:rPr>
          <w:rStyle w:val="apple-converted-space"/>
          <w:rFonts w:eastAsiaTheme="majorEastAsia"/>
          <w:color w:val="000000"/>
          <w:sz w:val="20"/>
          <w:szCs w:val="20"/>
          <w:lang w:val="en-GB"/>
        </w:rPr>
        <w:t> </w:t>
      </w:r>
      <w:r w:rsidRPr="00961213">
        <w:rPr>
          <w:b/>
          <w:bCs/>
          <w:color w:val="000000"/>
          <w:sz w:val="20"/>
          <w:szCs w:val="20"/>
          <w:lang w:val="en-GB"/>
        </w:rPr>
        <w:t>BIS Locational Banking Statistics (LBS)</w:t>
      </w:r>
      <w:r w:rsidRPr="00961213">
        <w:rPr>
          <w:rStyle w:val="apple-converted-space"/>
          <w:rFonts w:eastAsiaTheme="majorEastAsia"/>
          <w:color w:val="000000"/>
          <w:sz w:val="20"/>
          <w:szCs w:val="20"/>
          <w:lang w:val="en-GB"/>
        </w:rPr>
        <w:t> </w:t>
      </w:r>
      <w:r w:rsidRPr="00961213">
        <w:rPr>
          <w:color w:val="000000"/>
          <w:sz w:val="20"/>
          <w:szCs w:val="20"/>
          <w:lang w:val="en-GB"/>
        </w:rPr>
        <w:t>to quantify the foreign-currency debt share required for the theoretical balance sheet channel.</w:t>
      </w:r>
    </w:p>
    <w:p w14:paraId="35996AAE" w14:textId="7AA3AE00" w:rsidR="00961213" w:rsidRPr="00961213" w:rsidRDefault="00961213" w:rsidP="00961213">
      <w:pPr>
        <w:pStyle w:val="NormalWeb"/>
        <w:rPr>
          <w:rFonts w:eastAsiaTheme="majorEastAsia"/>
          <w:color w:val="000000"/>
          <w:sz w:val="20"/>
          <w:szCs w:val="20"/>
          <w:lang w:val="en-GB"/>
        </w:rPr>
      </w:pPr>
      <w:r w:rsidRPr="00961213">
        <w:rPr>
          <w:b/>
          <w:bCs/>
          <w:color w:val="000000"/>
          <w:sz w:val="20"/>
          <w:szCs w:val="20"/>
          <w:lang w:val="en-GB"/>
        </w:rPr>
        <w:lastRenderedPageBreak/>
        <w:t>Research Question</w:t>
      </w:r>
      <w:r w:rsidRPr="00961213">
        <w:rPr>
          <w:rStyle w:val="apple-converted-space"/>
          <w:rFonts w:eastAsiaTheme="majorEastAsia"/>
          <w:color w:val="000000"/>
          <w:sz w:val="20"/>
          <w:szCs w:val="20"/>
          <w:lang w:val="en-GB"/>
        </w:rPr>
        <w:t> </w:t>
      </w:r>
      <w:r w:rsidRPr="00961213">
        <w:rPr>
          <w:color w:val="000000"/>
          <w:sz w:val="20"/>
          <w:szCs w:val="20"/>
          <w:lang w:val="en-GB"/>
        </w:rPr>
        <w:t>How do structural shocks to exchange rates and sovereign debt levels propagate through the macroeconomic systems of the "Asian Tiger" economies, and to what extent do theoretical IRF predictions align with observed outcomes across distinct historical debt episodes (1997, 2008, and 2020)?</w:t>
      </w:r>
      <w:r>
        <w:rPr>
          <w:color w:val="000000"/>
          <w:sz w:val="20"/>
          <w:szCs w:val="20"/>
          <w:lang w:val="en-GB"/>
        </w:rPr>
        <w:t xml:space="preserve"> Specifically, how has emerging markets shift from dollar-based to local-currency based debt affected these mechanisms?</w:t>
      </w:r>
      <w:r>
        <w:rPr>
          <w:color w:val="000000"/>
          <w:sz w:val="20"/>
          <w:szCs w:val="20"/>
          <w:lang w:val="en-GB"/>
        </w:rPr>
        <w:br/>
      </w:r>
      <w:r w:rsidRPr="00961213">
        <w:rPr>
          <w:b/>
          <w:bCs/>
          <w:color w:val="000000"/>
          <w:sz w:val="20"/>
          <w:szCs w:val="20"/>
          <w:lang w:val="en-GB"/>
        </w:rPr>
        <w:t>Motivation</w:t>
      </w:r>
      <w:r>
        <w:rPr>
          <w:b/>
          <w:bCs/>
          <w:color w:val="000000"/>
          <w:sz w:val="20"/>
          <w:szCs w:val="20"/>
          <w:lang w:val="en-GB"/>
        </w:rPr>
        <w:t>:</w:t>
      </w:r>
      <w:r w:rsidRPr="00961213">
        <w:rPr>
          <w:rStyle w:val="apple-converted-space"/>
          <w:rFonts w:eastAsiaTheme="majorEastAsia"/>
          <w:color w:val="000000"/>
          <w:sz w:val="20"/>
          <w:szCs w:val="20"/>
          <w:lang w:val="en-GB"/>
        </w:rPr>
        <w:t> </w:t>
      </w:r>
      <w:r>
        <w:rPr>
          <w:rStyle w:val="apple-converted-space"/>
          <w:rFonts w:eastAsiaTheme="majorEastAsia"/>
          <w:color w:val="000000"/>
          <w:sz w:val="20"/>
          <w:szCs w:val="20"/>
          <w:lang w:val="en-GB"/>
        </w:rPr>
        <w:br/>
        <w:t xml:space="preserve">- Evaluate predictive power of Dornbusch overshooting framework w.r.t sovereign debt sustainability in SMO. </w:t>
      </w:r>
      <w:r>
        <w:rPr>
          <w:rStyle w:val="apple-converted-space"/>
          <w:rFonts w:eastAsiaTheme="majorEastAsia"/>
          <w:color w:val="000000"/>
          <w:sz w:val="20"/>
          <w:szCs w:val="20"/>
          <w:lang w:val="en-GB"/>
        </w:rPr>
        <w:br/>
        <w:t xml:space="preserve">- Investigate theoretical transmission effects and compare to real life historical periods – 1997 currency-led collapse, 2008 global liquidity squeeze, and 2020’s exogenous fiscal shock.  </w:t>
      </w:r>
      <w:r>
        <w:rPr>
          <w:rStyle w:val="apple-converted-space"/>
          <w:rFonts w:eastAsiaTheme="majorEastAsia"/>
          <w:color w:val="000000"/>
          <w:sz w:val="20"/>
          <w:szCs w:val="20"/>
          <w:lang w:val="en-GB"/>
        </w:rPr>
        <w:br/>
      </w:r>
      <w:proofErr w:type="spellStart"/>
      <w:r w:rsidRPr="00961213">
        <w:rPr>
          <w:b/>
          <w:bCs/>
          <w:color w:val="000000"/>
          <w:sz w:val="20"/>
          <w:szCs w:val="20"/>
        </w:rPr>
        <w:t>Literature</w:t>
      </w:r>
      <w:proofErr w:type="spellEnd"/>
    </w:p>
    <w:p w14:paraId="599E6D1A" w14:textId="77777777" w:rsidR="00961213" w:rsidRPr="00961213" w:rsidRDefault="00961213" w:rsidP="00961213">
      <w:pPr>
        <w:pStyle w:val="NormalWeb"/>
        <w:numPr>
          <w:ilvl w:val="0"/>
          <w:numId w:val="7"/>
        </w:numPr>
        <w:rPr>
          <w:color w:val="000000"/>
          <w:sz w:val="20"/>
          <w:szCs w:val="20"/>
          <w:lang w:val="en-GB"/>
        </w:rPr>
      </w:pPr>
      <w:r w:rsidRPr="00961213">
        <w:rPr>
          <w:b/>
          <w:bCs/>
          <w:color w:val="000000"/>
          <w:sz w:val="20"/>
          <w:szCs w:val="20"/>
          <w:lang w:val="en-GB"/>
        </w:rPr>
        <w:t>Dornbusch (1976):</w:t>
      </w:r>
      <w:r w:rsidRPr="00961213">
        <w:rPr>
          <w:rStyle w:val="apple-converted-space"/>
          <w:rFonts w:eastAsiaTheme="majorEastAsia"/>
          <w:color w:val="000000"/>
          <w:sz w:val="20"/>
          <w:szCs w:val="20"/>
          <w:lang w:val="en-GB"/>
        </w:rPr>
        <w:t> </w:t>
      </w:r>
      <w:r w:rsidRPr="00961213">
        <w:rPr>
          <w:i/>
          <w:iCs/>
          <w:color w:val="000000"/>
          <w:sz w:val="20"/>
          <w:szCs w:val="20"/>
          <w:lang w:val="en-GB"/>
        </w:rPr>
        <w:t>Expectations and Exchange Rate Dynamics.</w:t>
      </w:r>
      <w:r w:rsidRPr="00961213">
        <w:rPr>
          <w:rStyle w:val="apple-converted-space"/>
          <w:rFonts w:eastAsiaTheme="majorEastAsia"/>
          <w:color w:val="000000"/>
          <w:sz w:val="20"/>
          <w:szCs w:val="20"/>
          <w:lang w:val="en-GB"/>
        </w:rPr>
        <w:t> </w:t>
      </w:r>
      <w:r w:rsidRPr="00961213">
        <w:rPr>
          <w:color w:val="000000"/>
          <w:sz w:val="20"/>
          <w:szCs w:val="20"/>
          <w:lang w:val="en-GB"/>
        </w:rPr>
        <w:t>The foundational theoretical framework for price stickiness and exchange rate overshooting.</w:t>
      </w:r>
    </w:p>
    <w:p w14:paraId="2DCC5AC2" w14:textId="77777777" w:rsidR="00961213" w:rsidRPr="00961213" w:rsidRDefault="00961213" w:rsidP="00961213">
      <w:pPr>
        <w:pStyle w:val="NormalWeb"/>
        <w:numPr>
          <w:ilvl w:val="0"/>
          <w:numId w:val="7"/>
        </w:numPr>
        <w:rPr>
          <w:color w:val="000000"/>
          <w:sz w:val="20"/>
          <w:szCs w:val="20"/>
          <w:lang w:val="en-GB"/>
        </w:rPr>
      </w:pPr>
      <w:r w:rsidRPr="00961213">
        <w:rPr>
          <w:b/>
          <w:bCs/>
          <w:color w:val="000000"/>
          <w:sz w:val="20"/>
          <w:szCs w:val="20"/>
          <w:lang w:val="en-GB"/>
        </w:rPr>
        <w:t>Corsetti, Pesenti, and Roubini (1998):</w:t>
      </w:r>
      <w:r w:rsidRPr="00961213">
        <w:rPr>
          <w:rStyle w:val="apple-converted-space"/>
          <w:rFonts w:eastAsiaTheme="majorEastAsia"/>
          <w:color w:val="000000"/>
          <w:sz w:val="20"/>
          <w:szCs w:val="20"/>
          <w:lang w:val="en-GB"/>
        </w:rPr>
        <w:t> </w:t>
      </w:r>
      <w:r w:rsidRPr="00961213">
        <w:rPr>
          <w:i/>
          <w:iCs/>
          <w:color w:val="000000"/>
          <w:sz w:val="20"/>
          <w:szCs w:val="20"/>
          <w:lang w:val="en-GB"/>
        </w:rPr>
        <w:t>Paper Tigers? A Model of the Asian Crisis.</w:t>
      </w:r>
      <w:r w:rsidRPr="00961213">
        <w:rPr>
          <w:rStyle w:val="apple-converted-space"/>
          <w:rFonts w:eastAsiaTheme="majorEastAsia"/>
          <w:color w:val="000000"/>
          <w:sz w:val="20"/>
          <w:szCs w:val="20"/>
          <w:lang w:val="en-GB"/>
        </w:rPr>
        <w:t> </w:t>
      </w:r>
      <w:proofErr w:type="spellStart"/>
      <w:r w:rsidRPr="00961213">
        <w:rPr>
          <w:color w:val="000000"/>
          <w:sz w:val="20"/>
          <w:szCs w:val="20"/>
          <w:lang w:val="en-GB"/>
        </w:rPr>
        <w:t>Analyzes</w:t>
      </w:r>
      <w:proofErr w:type="spellEnd"/>
      <w:r w:rsidRPr="00961213">
        <w:rPr>
          <w:color w:val="000000"/>
          <w:sz w:val="20"/>
          <w:szCs w:val="20"/>
          <w:lang w:val="en-GB"/>
        </w:rPr>
        <w:t xml:space="preserve"> the 1997 crisis through the lens of structural imbalances and implicit fiscal guarantees.</w:t>
      </w:r>
    </w:p>
    <w:p w14:paraId="13C295ED" w14:textId="77777777" w:rsidR="00961213" w:rsidRPr="00961213" w:rsidRDefault="00961213" w:rsidP="00961213">
      <w:pPr>
        <w:pStyle w:val="NormalWeb"/>
        <w:numPr>
          <w:ilvl w:val="0"/>
          <w:numId w:val="7"/>
        </w:numPr>
        <w:rPr>
          <w:color w:val="000000"/>
          <w:sz w:val="20"/>
          <w:szCs w:val="20"/>
          <w:lang w:val="en-GB"/>
        </w:rPr>
      </w:pPr>
      <w:r w:rsidRPr="00961213">
        <w:rPr>
          <w:b/>
          <w:bCs/>
          <w:color w:val="000000"/>
          <w:sz w:val="20"/>
          <w:szCs w:val="20"/>
          <w:lang w:val="en-GB"/>
        </w:rPr>
        <w:t>Kim and Roubini (2000):</w:t>
      </w:r>
      <w:r w:rsidRPr="00961213">
        <w:rPr>
          <w:rStyle w:val="apple-converted-space"/>
          <w:rFonts w:eastAsiaTheme="majorEastAsia"/>
          <w:color w:val="000000"/>
          <w:sz w:val="20"/>
          <w:szCs w:val="20"/>
          <w:lang w:val="en-GB"/>
        </w:rPr>
        <w:t> </w:t>
      </w:r>
      <w:r w:rsidRPr="00961213">
        <w:rPr>
          <w:i/>
          <w:iCs/>
          <w:color w:val="000000"/>
          <w:sz w:val="20"/>
          <w:szCs w:val="20"/>
          <w:lang w:val="en-GB"/>
        </w:rPr>
        <w:t>Exchange Rate Anomalies in the Industrial Seven Countries.</w:t>
      </w:r>
      <w:r w:rsidRPr="00961213">
        <w:rPr>
          <w:rStyle w:val="apple-converted-space"/>
          <w:rFonts w:eastAsiaTheme="majorEastAsia"/>
          <w:color w:val="000000"/>
          <w:sz w:val="20"/>
          <w:szCs w:val="20"/>
          <w:lang w:val="en-GB"/>
        </w:rPr>
        <w:t> </w:t>
      </w:r>
      <w:r w:rsidRPr="00961213">
        <w:rPr>
          <w:color w:val="000000"/>
          <w:sz w:val="20"/>
          <w:szCs w:val="20"/>
          <w:lang w:val="en-GB"/>
        </w:rPr>
        <w:t>A benchmark for SVAR identification and resolving the "exchange rate puzzle."</w:t>
      </w:r>
    </w:p>
    <w:p w14:paraId="2AFE6995" w14:textId="77777777" w:rsidR="00961213" w:rsidRPr="00961213" w:rsidRDefault="00961213" w:rsidP="00961213">
      <w:pPr>
        <w:pStyle w:val="NormalWeb"/>
        <w:numPr>
          <w:ilvl w:val="0"/>
          <w:numId w:val="7"/>
        </w:numPr>
        <w:rPr>
          <w:color w:val="000000"/>
          <w:sz w:val="20"/>
          <w:szCs w:val="20"/>
          <w:lang w:val="en-GB"/>
        </w:rPr>
      </w:pPr>
      <w:r w:rsidRPr="00961213">
        <w:rPr>
          <w:b/>
          <w:bCs/>
          <w:color w:val="000000"/>
          <w:sz w:val="20"/>
          <w:szCs w:val="20"/>
          <w:lang w:val="en-GB"/>
        </w:rPr>
        <w:t>Mendoza (2002):</w:t>
      </w:r>
      <w:r w:rsidRPr="00961213">
        <w:rPr>
          <w:rStyle w:val="apple-converted-space"/>
          <w:rFonts w:eastAsiaTheme="majorEastAsia"/>
          <w:color w:val="000000"/>
          <w:sz w:val="20"/>
          <w:szCs w:val="20"/>
          <w:lang w:val="en-GB"/>
        </w:rPr>
        <w:t> </w:t>
      </w:r>
      <w:r w:rsidRPr="00961213">
        <w:rPr>
          <w:i/>
          <w:iCs/>
          <w:color w:val="000000"/>
          <w:sz w:val="20"/>
          <w:szCs w:val="20"/>
          <w:lang w:val="en-GB"/>
        </w:rPr>
        <w:t>Credit, Prices, and Crashes: Business Cycles with a Sudden Stop.</w:t>
      </w:r>
      <w:r w:rsidRPr="00961213">
        <w:rPr>
          <w:rStyle w:val="apple-converted-space"/>
          <w:rFonts w:eastAsiaTheme="majorEastAsia"/>
          <w:color w:val="000000"/>
          <w:sz w:val="20"/>
          <w:szCs w:val="20"/>
          <w:lang w:val="en-GB"/>
        </w:rPr>
        <w:t> </w:t>
      </w:r>
      <w:r w:rsidRPr="00961213">
        <w:rPr>
          <w:color w:val="000000"/>
          <w:sz w:val="20"/>
          <w:szCs w:val="20"/>
          <w:lang w:val="en-GB"/>
        </w:rPr>
        <w:t>Essential for comparing the 1997 "sudden stop" to the liquidity dynamics seen in 2008.</w:t>
      </w:r>
    </w:p>
    <w:p w14:paraId="7D2553B7" w14:textId="77777777" w:rsidR="00961213" w:rsidRPr="00961213" w:rsidRDefault="00961213" w:rsidP="00961213">
      <w:pPr>
        <w:pStyle w:val="NormalWeb"/>
        <w:numPr>
          <w:ilvl w:val="0"/>
          <w:numId w:val="7"/>
        </w:numPr>
        <w:rPr>
          <w:color w:val="000000"/>
          <w:sz w:val="20"/>
          <w:szCs w:val="20"/>
          <w:lang w:val="en-GB"/>
        </w:rPr>
      </w:pPr>
      <w:proofErr w:type="spellStart"/>
      <w:r w:rsidRPr="00961213">
        <w:rPr>
          <w:b/>
          <w:bCs/>
          <w:color w:val="000000"/>
          <w:sz w:val="20"/>
          <w:szCs w:val="20"/>
          <w:lang w:val="en-GB"/>
        </w:rPr>
        <w:t>Gourinchas</w:t>
      </w:r>
      <w:proofErr w:type="spellEnd"/>
      <w:r w:rsidRPr="00961213">
        <w:rPr>
          <w:b/>
          <w:bCs/>
          <w:color w:val="000000"/>
          <w:sz w:val="20"/>
          <w:szCs w:val="20"/>
          <w:lang w:val="en-GB"/>
        </w:rPr>
        <w:t xml:space="preserve"> and Obstfeld (2012):</w:t>
      </w:r>
      <w:r w:rsidRPr="00961213">
        <w:rPr>
          <w:rStyle w:val="apple-converted-space"/>
          <w:rFonts w:eastAsiaTheme="majorEastAsia"/>
          <w:color w:val="000000"/>
          <w:sz w:val="20"/>
          <w:szCs w:val="20"/>
          <w:lang w:val="en-GB"/>
        </w:rPr>
        <w:t> </w:t>
      </w:r>
      <w:r w:rsidRPr="00961213">
        <w:rPr>
          <w:i/>
          <w:iCs/>
          <w:color w:val="000000"/>
          <w:sz w:val="20"/>
          <w:szCs w:val="20"/>
          <w:lang w:val="en-GB"/>
        </w:rPr>
        <w:t>Stories of the Twentieth Century for the Twenty-First.</w:t>
      </w:r>
      <w:r w:rsidRPr="00961213">
        <w:rPr>
          <w:rStyle w:val="apple-converted-space"/>
          <w:rFonts w:eastAsiaTheme="majorEastAsia"/>
          <w:color w:val="000000"/>
          <w:sz w:val="20"/>
          <w:szCs w:val="20"/>
          <w:lang w:val="en-GB"/>
        </w:rPr>
        <w:t> </w:t>
      </w:r>
      <w:r w:rsidRPr="00961213">
        <w:rPr>
          <w:color w:val="000000"/>
          <w:sz w:val="20"/>
          <w:szCs w:val="20"/>
          <w:lang w:val="en-GB"/>
        </w:rPr>
        <w:t>Provides a comparative empirical framework for different types of financial crises across centuries.</w:t>
      </w:r>
    </w:p>
    <w:p w14:paraId="1C09847A" w14:textId="77777777" w:rsidR="00961213" w:rsidRPr="00961213" w:rsidRDefault="00961213" w:rsidP="00961213">
      <w:pPr>
        <w:pStyle w:val="NormalWeb"/>
        <w:numPr>
          <w:ilvl w:val="0"/>
          <w:numId w:val="7"/>
        </w:numPr>
        <w:rPr>
          <w:color w:val="000000"/>
          <w:sz w:val="20"/>
          <w:szCs w:val="20"/>
          <w:lang w:val="en-GB"/>
        </w:rPr>
      </w:pPr>
      <w:proofErr w:type="spellStart"/>
      <w:r w:rsidRPr="00961213">
        <w:rPr>
          <w:b/>
          <w:bCs/>
          <w:color w:val="000000"/>
          <w:sz w:val="20"/>
          <w:szCs w:val="20"/>
          <w:lang w:val="en-GB"/>
        </w:rPr>
        <w:t>Eichengreen</w:t>
      </w:r>
      <w:proofErr w:type="spellEnd"/>
      <w:r w:rsidRPr="00961213">
        <w:rPr>
          <w:b/>
          <w:bCs/>
          <w:color w:val="000000"/>
          <w:sz w:val="20"/>
          <w:szCs w:val="20"/>
          <w:lang w:val="en-GB"/>
        </w:rPr>
        <w:t>, Hausmann, and Panizza (2022):</w:t>
      </w:r>
      <w:r w:rsidRPr="00961213">
        <w:rPr>
          <w:rStyle w:val="apple-converted-space"/>
          <w:rFonts w:eastAsiaTheme="majorEastAsia"/>
          <w:color w:val="000000"/>
          <w:sz w:val="20"/>
          <w:szCs w:val="20"/>
          <w:lang w:val="en-GB"/>
        </w:rPr>
        <w:t> </w:t>
      </w:r>
      <w:r w:rsidRPr="00961213">
        <w:rPr>
          <w:i/>
          <w:iCs/>
          <w:color w:val="000000"/>
          <w:sz w:val="20"/>
          <w:szCs w:val="20"/>
          <w:lang w:val="en-GB"/>
        </w:rPr>
        <w:t>Yet it Endures: The Persistence of Original Sin.</w:t>
      </w:r>
      <w:r w:rsidRPr="00961213">
        <w:rPr>
          <w:rStyle w:val="apple-converted-space"/>
          <w:rFonts w:eastAsiaTheme="majorEastAsia"/>
          <w:color w:val="000000"/>
          <w:sz w:val="20"/>
          <w:szCs w:val="20"/>
          <w:lang w:val="en-GB"/>
        </w:rPr>
        <w:t> </w:t>
      </w:r>
      <w:r w:rsidRPr="00961213">
        <w:rPr>
          <w:color w:val="000000"/>
          <w:sz w:val="20"/>
          <w:szCs w:val="20"/>
          <w:lang w:val="en-GB"/>
        </w:rPr>
        <w:t>Explores why emerging markets remain vulnerable to currency-induced debt spikes.</w:t>
      </w:r>
    </w:p>
    <w:p w14:paraId="342BEC80" w14:textId="77777777" w:rsidR="00961213" w:rsidRPr="00961213" w:rsidRDefault="00961213" w:rsidP="00961213">
      <w:pPr>
        <w:pStyle w:val="NormalWeb"/>
        <w:numPr>
          <w:ilvl w:val="0"/>
          <w:numId w:val="7"/>
        </w:numPr>
        <w:rPr>
          <w:color w:val="000000"/>
          <w:sz w:val="20"/>
          <w:szCs w:val="20"/>
          <w:lang w:val="en-GB"/>
        </w:rPr>
      </w:pPr>
      <w:r w:rsidRPr="00961213">
        <w:rPr>
          <w:b/>
          <w:bCs/>
          <w:color w:val="000000"/>
          <w:sz w:val="20"/>
          <w:szCs w:val="20"/>
          <w:lang w:val="en-GB"/>
        </w:rPr>
        <w:t>Uribe and Schmitt-</w:t>
      </w:r>
      <w:proofErr w:type="spellStart"/>
      <w:r w:rsidRPr="00961213">
        <w:rPr>
          <w:b/>
          <w:bCs/>
          <w:color w:val="000000"/>
          <w:sz w:val="20"/>
          <w:szCs w:val="20"/>
          <w:lang w:val="en-GB"/>
        </w:rPr>
        <w:t>Grohé</w:t>
      </w:r>
      <w:proofErr w:type="spellEnd"/>
      <w:r w:rsidRPr="00961213">
        <w:rPr>
          <w:b/>
          <w:bCs/>
          <w:color w:val="000000"/>
          <w:sz w:val="20"/>
          <w:szCs w:val="20"/>
          <w:lang w:val="en-GB"/>
        </w:rPr>
        <w:t xml:space="preserve"> (2017), Chapter 13:</w:t>
      </w:r>
      <w:r w:rsidRPr="00961213">
        <w:rPr>
          <w:rStyle w:val="apple-converted-space"/>
          <w:rFonts w:eastAsiaTheme="majorEastAsia"/>
          <w:color w:val="000000"/>
          <w:sz w:val="20"/>
          <w:szCs w:val="20"/>
          <w:lang w:val="en-GB"/>
        </w:rPr>
        <w:t> </w:t>
      </w:r>
      <w:r w:rsidRPr="00961213">
        <w:rPr>
          <w:color w:val="000000"/>
          <w:sz w:val="20"/>
          <w:szCs w:val="20"/>
          <w:lang w:val="en-GB"/>
        </w:rPr>
        <w:t>Provides the mathematical rigor for endogenizing sovereign risk premiums within macroeconomic models.</w:t>
      </w:r>
    </w:p>
    <w:p w14:paraId="5D1879B4" w14:textId="009B9058" w:rsidR="00961213" w:rsidRDefault="00961213" w:rsidP="00961213">
      <w:pPr>
        <w:pStyle w:val="NormalWeb"/>
        <w:numPr>
          <w:ilvl w:val="0"/>
          <w:numId w:val="7"/>
        </w:numPr>
        <w:rPr>
          <w:color w:val="000000"/>
          <w:sz w:val="20"/>
          <w:szCs w:val="20"/>
          <w:lang w:val="en-GB"/>
        </w:rPr>
      </w:pPr>
      <w:proofErr w:type="spellStart"/>
      <w:r w:rsidRPr="00961213">
        <w:rPr>
          <w:b/>
          <w:bCs/>
          <w:color w:val="000000"/>
          <w:sz w:val="20"/>
          <w:szCs w:val="20"/>
          <w:lang w:val="en-GB"/>
        </w:rPr>
        <w:t>Palmén</w:t>
      </w:r>
      <w:proofErr w:type="spellEnd"/>
      <w:r w:rsidRPr="00961213">
        <w:rPr>
          <w:b/>
          <w:bCs/>
          <w:color w:val="000000"/>
          <w:sz w:val="20"/>
          <w:szCs w:val="20"/>
          <w:lang w:val="en-GB"/>
        </w:rPr>
        <w:t xml:space="preserve"> (2020):</w:t>
      </w:r>
      <w:r w:rsidRPr="00961213">
        <w:rPr>
          <w:rStyle w:val="apple-converted-space"/>
          <w:rFonts w:eastAsiaTheme="majorEastAsia"/>
          <w:color w:val="000000"/>
          <w:sz w:val="20"/>
          <w:szCs w:val="20"/>
          <w:lang w:val="en-GB"/>
        </w:rPr>
        <w:t> </w:t>
      </w:r>
      <w:r w:rsidRPr="00961213">
        <w:rPr>
          <w:i/>
          <w:iCs/>
          <w:color w:val="000000"/>
          <w:sz w:val="20"/>
          <w:szCs w:val="20"/>
          <w:lang w:val="en-GB"/>
        </w:rPr>
        <w:t>Sovereign Default Risk and Credit Supply.</w:t>
      </w:r>
      <w:r w:rsidRPr="00961213">
        <w:rPr>
          <w:rStyle w:val="apple-converted-space"/>
          <w:rFonts w:eastAsiaTheme="majorEastAsia"/>
          <w:color w:val="000000"/>
          <w:sz w:val="20"/>
          <w:szCs w:val="20"/>
          <w:lang w:val="en-GB"/>
        </w:rPr>
        <w:t> </w:t>
      </w:r>
      <w:r w:rsidRPr="00961213">
        <w:rPr>
          <w:color w:val="000000"/>
          <w:sz w:val="20"/>
          <w:szCs w:val="20"/>
          <w:lang w:val="en-GB"/>
        </w:rPr>
        <w:t>Offers a modular framework for linking sovereign risk to domestic credit conditions.</w:t>
      </w:r>
    </w:p>
    <w:p w14:paraId="0D3B7EA5" w14:textId="0D37853E" w:rsidR="00961213" w:rsidRPr="00961213" w:rsidRDefault="00961213" w:rsidP="00961213">
      <w:pPr>
        <w:pStyle w:val="NormalWeb"/>
        <w:numPr>
          <w:ilvl w:val="0"/>
          <w:numId w:val="7"/>
        </w:numPr>
        <w:rPr>
          <w:color w:val="000000"/>
          <w:sz w:val="20"/>
          <w:szCs w:val="20"/>
          <w:lang w:val="en-GB"/>
        </w:rPr>
      </w:pPr>
      <w:r>
        <w:rPr>
          <w:b/>
          <w:bCs/>
          <w:color w:val="000000"/>
          <w:sz w:val="20"/>
          <w:szCs w:val="20"/>
          <w:lang w:val="en-GB"/>
        </w:rPr>
        <w:t>Na et Al (2018):</w:t>
      </w:r>
      <w:r>
        <w:rPr>
          <w:color w:val="000000"/>
          <w:sz w:val="20"/>
          <w:szCs w:val="20"/>
          <w:lang w:val="en-GB"/>
        </w:rPr>
        <w:t xml:space="preserve"> The Twin D’s: Optimal Default and Devaluation </w:t>
      </w:r>
    </w:p>
    <w:p w14:paraId="31F5349E" w14:textId="77777777" w:rsidR="00961213" w:rsidRDefault="00961213" w:rsidP="00961213">
      <w:pPr>
        <w:pStyle w:val="NormalWeb"/>
        <w:rPr>
          <w:color w:val="000000"/>
          <w:sz w:val="20"/>
          <w:szCs w:val="20"/>
          <w:lang w:val="en-GB"/>
        </w:rPr>
      </w:pPr>
      <w:r w:rsidRPr="00961213">
        <w:rPr>
          <w:b/>
          <w:bCs/>
          <w:color w:val="000000"/>
          <w:sz w:val="20"/>
          <w:szCs w:val="20"/>
          <w:lang w:val="en-GB"/>
        </w:rPr>
        <w:t>Data</w:t>
      </w:r>
      <w:r w:rsidRPr="00961213">
        <w:rPr>
          <w:rStyle w:val="apple-converted-space"/>
          <w:rFonts w:eastAsiaTheme="majorEastAsia"/>
          <w:color w:val="000000"/>
          <w:sz w:val="20"/>
          <w:szCs w:val="20"/>
          <w:lang w:val="en-GB"/>
        </w:rPr>
        <w:t> </w:t>
      </w:r>
      <w:r w:rsidRPr="00961213">
        <w:rPr>
          <w:color w:val="000000"/>
          <w:sz w:val="20"/>
          <w:szCs w:val="20"/>
          <w:lang w:val="en-GB"/>
        </w:rPr>
        <w:t>The study utilizes quarterly data from 1990 to 2024 to capture high-frequency dynamics across multiple cycles.</w:t>
      </w:r>
    </w:p>
    <w:p w14:paraId="26F0665E" w14:textId="77777777" w:rsidR="00961213" w:rsidRDefault="00961213" w:rsidP="00961213">
      <w:pPr>
        <w:pStyle w:val="NormalWeb"/>
        <w:numPr>
          <w:ilvl w:val="0"/>
          <w:numId w:val="10"/>
        </w:numPr>
        <w:rPr>
          <w:color w:val="000000"/>
          <w:sz w:val="20"/>
          <w:szCs w:val="20"/>
          <w:lang w:val="en-GB"/>
        </w:rPr>
      </w:pPr>
      <w:r w:rsidRPr="00961213">
        <w:rPr>
          <w:b/>
          <w:bCs/>
          <w:color w:val="000000"/>
          <w:sz w:val="20"/>
          <w:szCs w:val="20"/>
          <w:lang w:val="en-GB"/>
        </w:rPr>
        <w:t>Macro-Fundamentals:</w:t>
      </w:r>
      <w:r w:rsidRPr="00961213">
        <w:rPr>
          <w:rStyle w:val="apple-converted-space"/>
          <w:rFonts w:eastAsiaTheme="majorEastAsia"/>
          <w:color w:val="000000"/>
          <w:sz w:val="20"/>
          <w:szCs w:val="20"/>
          <w:lang w:val="en-GB"/>
        </w:rPr>
        <w:t> </w:t>
      </w:r>
      <w:r w:rsidRPr="00961213">
        <w:rPr>
          <w:color w:val="000000"/>
          <w:sz w:val="20"/>
          <w:szCs w:val="20"/>
          <w:lang w:val="en-GB"/>
        </w:rPr>
        <w:t>Real GDP, CPI, and nominal interest rates from</w:t>
      </w:r>
      <w:r w:rsidRPr="00961213">
        <w:rPr>
          <w:rStyle w:val="apple-converted-space"/>
          <w:rFonts w:eastAsiaTheme="majorEastAsia"/>
          <w:color w:val="000000"/>
          <w:sz w:val="20"/>
          <w:szCs w:val="20"/>
          <w:lang w:val="en-GB"/>
        </w:rPr>
        <w:t> </w:t>
      </w:r>
      <w:r w:rsidRPr="00961213">
        <w:rPr>
          <w:b/>
          <w:bCs/>
          <w:color w:val="000000"/>
          <w:sz w:val="20"/>
          <w:szCs w:val="20"/>
          <w:lang w:val="en-GB"/>
        </w:rPr>
        <w:t>IMF International Financial Statistics (IFS)</w:t>
      </w:r>
      <w:r w:rsidRPr="00961213">
        <w:rPr>
          <w:rStyle w:val="apple-converted-space"/>
          <w:rFonts w:eastAsiaTheme="majorEastAsia"/>
          <w:color w:val="000000"/>
          <w:sz w:val="20"/>
          <w:szCs w:val="20"/>
          <w:lang w:val="en-GB"/>
        </w:rPr>
        <w:t> </w:t>
      </w:r>
      <w:r w:rsidRPr="00961213">
        <w:rPr>
          <w:color w:val="000000"/>
          <w:sz w:val="20"/>
          <w:szCs w:val="20"/>
          <w:lang w:val="en-GB"/>
        </w:rPr>
        <w:t>and</w:t>
      </w:r>
      <w:r w:rsidRPr="00961213">
        <w:rPr>
          <w:rStyle w:val="apple-converted-space"/>
          <w:rFonts w:eastAsiaTheme="majorEastAsia"/>
          <w:color w:val="000000"/>
          <w:sz w:val="20"/>
          <w:szCs w:val="20"/>
          <w:lang w:val="en-GB"/>
        </w:rPr>
        <w:t> </w:t>
      </w:r>
      <w:r w:rsidRPr="00961213">
        <w:rPr>
          <w:b/>
          <w:bCs/>
          <w:color w:val="000000"/>
          <w:sz w:val="20"/>
          <w:szCs w:val="20"/>
          <w:lang w:val="en-GB"/>
        </w:rPr>
        <w:t>Taiwan DGBAS</w:t>
      </w:r>
      <w:r w:rsidRPr="00961213">
        <w:rPr>
          <w:color w:val="000000"/>
          <w:sz w:val="20"/>
          <w:szCs w:val="20"/>
          <w:lang w:val="en-GB"/>
        </w:rPr>
        <w:t>.</w:t>
      </w:r>
    </w:p>
    <w:p w14:paraId="6F93FD3C" w14:textId="77777777" w:rsidR="00961213" w:rsidRDefault="00961213" w:rsidP="00961213">
      <w:pPr>
        <w:pStyle w:val="NormalWeb"/>
        <w:numPr>
          <w:ilvl w:val="0"/>
          <w:numId w:val="10"/>
        </w:numPr>
        <w:rPr>
          <w:color w:val="000000"/>
          <w:sz w:val="20"/>
          <w:szCs w:val="20"/>
          <w:lang w:val="en-GB"/>
        </w:rPr>
      </w:pPr>
      <w:r w:rsidRPr="00961213">
        <w:rPr>
          <w:b/>
          <w:bCs/>
          <w:color w:val="000000"/>
          <w:sz w:val="20"/>
          <w:szCs w:val="20"/>
          <w:lang w:val="en-GB"/>
        </w:rPr>
        <w:t>Sovereign Debt:</w:t>
      </w:r>
      <w:r w:rsidRPr="00961213">
        <w:rPr>
          <w:rStyle w:val="apple-converted-space"/>
          <w:rFonts w:eastAsiaTheme="majorEastAsia"/>
          <w:color w:val="000000"/>
          <w:sz w:val="20"/>
          <w:szCs w:val="20"/>
          <w:lang w:val="en-GB"/>
        </w:rPr>
        <w:t> </w:t>
      </w:r>
      <w:r w:rsidRPr="00961213">
        <w:rPr>
          <w:color w:val="000000"/>
          <w:sz w:val="20"/>
          <w:szCs w:val="20"/>
          <w:lang w:val="en-GB"/>
        </w:rPr>
        <w:t>Quarterly debt-to-GDP ratios and currency compositions from the</w:t>
      </w:r>
      <w:r w:rsidRPr="00961213">
        <w:rPr>
          <w:rStyle w:val="apple-converted-space"/>
          <w:rFonts w:eastAsiaTheme="majorEastAsia"/>
          <w:color w:val="000000"/>
          <w:sz w:val="20"/>
          <w:szCs w:val="20"/>
          <w:lang w:val="en-GB"/>
        </w:rPr>
        <w:t> </w:t>
      </w:r>
      <w:r w:rsidRPr="00961213">
        <w:rPr>
          <w:b/>
          <w:bCs/>
          <w:color w:val="000000"/>
          <w:sz w:val="20"/>
          <w:szCs w:val="20"/>
          <w:lang w:val="en-GB"/>
        </w:rPr>
        <w:t>World Bank/IMF Quarterly Public Sector Debt (QPSD)</w:t>
      </w:r>
      <w:r w:rsidRPr="00961213">
        <w:rPr>
          <w:rStyle w:val="apple-converted-space"/>
          <w:rFonts w:eastAsiaTheme="majorEastAsia"/>
          <w:color w:val="000000"/>
          <w:sz w:val="20"/>
          <w:szCs w:val="20"/>
          <w:lang w:val="en-GB"/>
        </w:rPr>
        <w:t> </w:t>
      </w:r>
      <w:r w:rsidRPr="00961213">
        <w:rPr>
          <w:color w:val="000000"/>
          <w:sz w:val="20"/>
          <w:szCs w:val="20"/>
          <w:lang w:val="en-GB"/>
        </w:rPr>
        <w:t>database and</w:t>
      </w:r>
      <w:r w:rsidRPr="00961213">
        <w:rPr>
          <w:rStyle w:val="apple-converted-space"/>
          <w:rFonts w:eastAsiaTheme="majorEastAsia"/>
          <w:color w:val="000000"/>
          <w:sz w:val="20"/>
          <w:szCs w:val="20"/>
          <w:lang w:val="en-GB"/>
        </w:rPr>
        <w:t> </w:t>
      </w:r>
      <w:proofErr w:type="spellStart"/>
      <w:r w:rsidRPr="00961213">
        <w:rPr>
          <w:b/>
          <w:bCs/>
          <w:color w:val="000000"/>
          <w:sz w:val="20"/>
          <w:szCs w:val="20"/>
          <w:lang w:val="en-GB"/>
        </w:rPr>
        <w:t>AsianBondsOnline</w:t>
      </w:r>
      <w:proofErr w:type="spellEnd"/>
      <w:r w:rsidRPr="00961213">
        <w:rPr>
          <w:color w:val="000000"/>
          <w:sz w:val="20"/>
          <w:szCs w:val="20"/>
          <w:lang w:val="en-GB"/>
        </w:rPr>
        <w:t>.</w:t>
      </w:r>
    </w:p>
    <w:p w14:paraId="1B66E5E1" w14:textId="77777777" w:rsidR="00961213" w:rsidRDefault="00961213" w:rsidP="00961213">
      <w:pPr>
        <w:pStyle w:val="NormalWeb"/>
        <w:numPr>
          <w:ilvl w:val="0"/>
          <w:numId w:val="10"/>
        </w:numPr>
        <w:rPr>
          <w:color w:val="000000"/>
          <w:sz w:val="20"/>
          <w:szCs w:val="20"/>
          <w:lang w:val="en-GB"/>
        </w:rPr>
      </w:pPr>
      <w:r w:rsidRPr="00961213">
        <w:rPr>
          <w:b/>
          <w:bCs/>
          <w:color w:val="000000"/>
          <w:sz w:val="20"/>
          <w:szCs w:val="20"/>
          <w:lang w:val="en-GB"/>
        </w:rPr>
        <w:t>Risk Premia:</w:t>
      </w:r>
      <w:r w:rsidRPr="00961213">
        <w:rPr>
          <w:rStyle w:val="apple-converted-space"/>
          <w:rFonts w:eastAsiaTheme="majorEastAsia"/>
          <w:color w:val="000000"/>
          <w:sz w:val="20"/>
          <w:szCs w:val="20"/>
          <w:lang w:val="en-GB"/>
        </w:rPr>
        <w:t> </w:t>
      </w:r>
      <w:r w:rsidRPr="00961213">
        <w:rPr>
          <w:b/>
          <w:bCs/>
          <w:color w:val="000000"/>
          <w:sz w:val="20"/>
          <w:szCs w:val="20"/>
          <w:lang w:val="en-GB"/>
        </w:rPr>
        <w:t>J.P. Morgan EMBI Global Diversified</w:t>
      </w:r>
      <w:r w:rsidRPr="00961213">
        <w:rPr>
          <w:rStyle w:val="apple-converted-space"/>
          <w:rFonts w:eastAsiaTheme="majorEastAsia"/>
          <w:color w:val="000000"/>
          <w:sz w:val="20"/>
          <w:szCs w:val="20"/>
          <w:lang w:val="en-GB"/>
        </w:rPr>
        <w:t> </w:t>
      </w:r>
      <w:r w:rsidRPr="00961213">
        <w:rPr>
          <w:color w:val="000000"/>
          <w:sz w:val="20"/>
          <w:szCs w:val="20"/>
          <w:lang w:val="en-GB"/>
        </w:rPr>
        <w:t>spreads to proxy the sovereign risk premium ().</w:t>
      </w:r>
    </w:p>
    <w:p w14:paraId="558D9E9C" w14:textId="77777777" w:rsidR="00961213" w:rsidRPr="00961213" w:rsidRDefault="00961213" w:rsidP="00961213">
      <w:pPr>
        <w:pStyle w:val="NormalWeb"/>
        <w:numPr>
          <w:ilvl w:val="0"/>
          <w:numId w:val="10"/>
        </w:numPr>
        <w:rPr>
          <w:color w:val="000000"/>
          <w:sz w:val="20"/>
          <w:szCs w:val="20"/>
          <w:lang w:val="en-GB"/>
        </w:rPr>
      </w:pPr>
      <w:r w:rsidRPr="00961213">
        <w:rPr>
          <w:b/>
          <w:bCs/>
          <w:color w:val="000000"/>
          <w:sz w:val="20"/>
          <w:szCs w:val="20"/>
          <w:lang w:val="en-GB"/>
        </w:rPr>
        <w:t>External Exposure:</w:t>
      </w:r>
      <w:r w:rsidRPr="00961213">
        <w:rPr>
          <w:rStyle w:val="apple-converted-space"/>
          <w:rFonts w:eastAsiaTheme="majorEastAsia"/>
          <w:color w:val="000000"/>
          <w:sz w:val="20"/>
          <w:szCs w:val="20"/>
          <w:lang w:val="en-GB"/>
        </w:rPr>
        <w:t> </w:t>
      </w:r>
      <w:r w:rsidRPr="00961213">
        <w:rPr>
          <w:b/>
          <w:bCs/>
          <w:color w:val="000000"/>
          <w:sz w:val="20"/>
          <w:szCs w:val="20"/>
          <w:lang w:val="en-GB"/>
        </w:rPr>
        <w:t>BIS Locational Banking Statistics (LBS)</w:t>
      </w:r>
      <w:r w:rsidRPr="00961213">
        <w:rPr>
          <w:rStyle w:val="apple-converted-space"/>
          <w:rFonts w:eastAsiaTheme="majorEastAsia"/>
          <w:color w:val="000000"/>
          <w:sz w:val="20"/>
          <w:szCs w:val="20"/>
          <w:lang w:val="en-GB"/>
        </w:rPr>
        <w:t> </w:t>
      </w:r>
      <w:r w:rsidRPr="00961213">
        <w:rPr>
          <w:color w:val="000000"/>
          <w:sz w:val="20"/>
          <w:szCs w:val="20"/>
          <w:lang w:val="en-GB"/>
        </w:rPr>
        <w:t>to quantify the foreign-currency debt share required for the theoretical balance sheet channel.</w:t>
      </w:r>
    </w:p>
    <w:p w14:paraId="290CB7EE" w14:textId="13D1C5A6" w:rsidR="00961213" w:rsidRPr="00961213" w:rsidRDefault="00961213" w:rsidP="00961213">
      <w:pPr>
        <w:pStyle w:val="NormalWeb"/>
        <w:ind w:left="720"/>
        <w:rPr>
          <w:b/>
          <w:bCs/>
          <w:color w:val="000000"/>
          <w:sz w:val="20"/>
          <w:szCs w:val="20"/>
          <w:lang w:val="en-GB"/>
        </w:rPr>
      </w:pPr>
    </w:p>
    <w:sectPr w:rsidR="00961213" w:rsidRPr="00961213">
      <w:head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66E53" w14:textId="77777777" w:rsidR="00A20F01" w:rsidRDefault="00A20F01" w:rsidP="00961213">
      <w:pPr>
        <w:spacing w:after="0" w:line="240" w:lineRule="auto"/>
      </w:pPr>
      <w:r>
        <w:separator/>
      </w:r>
    </w:p>
  </w:endnote>
  <w:endnote w:type="continuationSeparator" w:id="0">
    <w:p w14:paraId="206E16CB" w14:textId="77777777" w:rsidR="00A20F01" w:rsidRDefault="00A20F01" w:rsidP="00961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17B93" w14:textId="77777777" w:rsidR="00A20F01" w:rsidRDefault="00A20F01" w:rsidP="00961213">
      <w:pPr>
        <w:spacing w:after="0" w:line="240" w:lineRule="auto"/>
      </w:pPr>
      <w:r>
        <w:separator/>
      </w:r>
    </w:p>
  </w:footnote>
  <w:footnote w:type="continuationSeparator" w:id="0">
    <w:p w14:paraId="5633F835" w14:textId="77777777" w:rsidR="00A20F01" w:rsidRDefault="00A20F01" w:rsidP="00961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8E26" w14:textId="13A5962A" w:rsidR="00961213" w:rsidRDefault="00961213">
    <w:pPr>
      <w:pStyle w:val="Sidehoved"/>
      <w:rPr>
        <w:rFonts w:ascii="Times New Roman" w:hAnsi="Times New Roman" w:cs="Times New Roman"/>
        <w:lang w:val="en-GB"/>
      </w:rPr>
    </w:pPr>
    <w:r w:rsidRPr="00961213">
      <w:rPr>
        <w:rFonts w:ascii="Times New Roman" w:hAnsi="Times New Roman" w:cs="Times New Roman"/>
        <w:lang w:val="en-GB"/>
      </w:rPr>
      <w:t>Andreas Sehested</w:t>
    </w:r>
    <w:r>
      <w:rPr>
        <w:rFonts w:ascii="Times New Roman" w:hAnsi="Times New Roman" w:cs="Times New Roman"/>
        <w:lang w:val="en-GB"/>
      </w:rPr>
      <w:t>(slj646)</w:t>
    </w:r>
    <w:r w:rsidRPr="00961213">
      <w:rPr>
        <w:rFonts w:ascii="Times New Roman" w:hAnsi="Times New Roman" w:cs="Times New Roman"/>
        <w:lang w:val="en-GB"/>
      </w:rPr>
      <w:t>, Oliver Tesgaard</w:t>
    </w:r>
    <w:r>
      <w:rPr>
        <w:rFonts w:ascii="Times New Roman" w:hAnsi="Times New Roman" w:cs="Times New Roman"/>
        <w:lang w:val="en-GB"/>
      </w:rPr>
      <w:t>(kqm171)</w:t>
    </w:r>
    <w:r w:rsidRPr="00961213">
      <w:rPr>
        <w:rFonts w:ascii="Times New Roman" w:hAnsi="Times New Roman" w:cs="Times New Roman"/>
        <w:lang w:val="en-GB"/>
      </w:rPr>
      <w:t xml:space="preserve"> and Eske P</w:t>
    </w:r>
    <w:r>
      <w:rPr>
        <w:rFonts w:ascii="Times New Roman" w:hAnsi="Times New Roman" w:cs="Times New Roman"/>
        <w:lang w:val="en-GB"/>
      </w:rPr>
      <w:t>enjor Hermann(lds953)</w:t>
    </w:r>
  </w:p>
  <w:p w14:paraId="35F09445" w14:textId="77777777" w:rsidR="00961213" w:rsidRPr="00961213" w:rsidRDefault="00961213">
    <w:pPr>
      <w:pStyle w:val="Sidehoved"/>
      <w:rPr>
        <w:rFonts w:ascii="Times New Roman" w:hAnsi="Times New Roman" w:cs="Times New Roman"/>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C36"/>
    <w:multiLevelType w:val="multilevel"/>
    <w:tmpl w:val="7C9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333DB"/>
    <w:multiLevelType w:val="multilevel"/>
    <w:tmpl w:val="44E2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85435"/>
    <w:multiLevelType w:val="hybridMultilevel"/>
    <w:tmpl w:val="5E66E01A"/>
    <w:lvl w:ilvl="0" w:tplc="5DA054EC">
      <w:start w:val="2"/>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354544B4"/>
    <w:multiLevelType w:val="multilevel"/>
    <w:tmpl w:val="DAD2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F2B80"/>
    <w:multiLevelType w:val="hybridMultilevel"/>
    <w:tmpl w:val="A40274F2"/>
    <w:lvl w:ilvl="0" w:tplc="BD4494BE">
      <w:start w:val="2"/>
      <w:numFmt w:val="bullet"/>
      <w:lvlText w:val="-"/>
      <w:lvlJc w:val="left"/>
      <w:pPr>
        <w:ind w:left="720" w:hanging="360"/>
      </w:pPr>
      <w:rPr>
        <w:rFonts w:ascii="Times New Roman" w:eastAsia="Times New Roman" w:hAnsi="Times New Roman" w:cs="Times New Roman" w:hint="default"/>
      </w:rPr>
    </w:lvl>
    <w:lvl w:ilvl="1" w:tplc="04060003">
      <w:start w:val="1"/>
      <w:numFmt w:val="bullet"/>
      <w:lvlText w:val="o"/>
      <w:lvlJc w:val="left"/>
      <w:pPr>
        <w:ind w:left="1440" w:hanging="360"/>
      </w:pPr>
      <w:rPr>
        <w:rFonts w:ascii="Courier New" w:hAnsi="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hint="default"/>
      </w:rPr>
    </w:lvl>
    <w:lvl w:ilvl="8" w:tplc="04060005">
      <w:start w:val="1"/>
      <w:numFmt w:val="bullet"/>
      <w:lvlText w:val=""/>
      <w:lvlJc w:val="left"/>
      <w:pPr>
        <w:ind w:left="6480" w:hanging="360"/>
      </w:pPr>
      <w:rPr>
        <w:rFonts w:ascii="Wingdings" w:hAnsi="Wingdings" w:hint="default"/>
      </w:rPr>
    </w:lvl>
  </w:abstractNum>
  <w:abstractNum w:abstractNumId="5" w15:restartNumberingAfterBreak="0">
    <w:nsid w:val="39140263"/>
    <w:multiLevelType w:val="multilevel"/>
    <w:tmpl w:val="8B6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D0061"/>
    <w:multiLevelType w:val="multilevel"/>
    <w:tmpl w:val="4E360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F15F82"/>
    <w:multiLevelType w:val="multilevel"/>
    <w:tmpl w:val="6ED6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21F37"/>
    <w:multiLevelType w:val="multilevel"/>
    <w:tmpl w:val="8144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A22FE"/>
    <w:multiLevelType w:val="multilevel"/>
    <w:tmpl w:val="4572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16BDE"/>
    <w:multiLevelType w:val="hybridMultilevel"/>
    <w:tmpl w:val="2FDA3EBA"/>
    <w:lvl w:ilvl="0" w:tplc="C61216DA">
      <w:start w:val="2"/>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7E0E3244"/>
    <w:multiLevelType w:val="multilevel"/>
    <w:tmpl w:val="0E067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942182">
    <w:abstractNumId w:val="0"/>
  </w:num>
  <w:num w:numId="2" w16cid:durableId="1243030575">
    <w:abstractNumId w:val="9"/>
  </w:num>
  <w:num w:numId="3" w16cid:durableId="804202500">
    <w:abstractNumId w:val="8"/>
  </w:num>
  <w:num w:numId="4" w16cid:durableId="950866459">
    <w:abstractNumId w:val="6"/>
  </w:num>
  <w:num w:numId="5" w16cid:durableId="998654331">
    <w:abstractNumId w:val="5"/>
  </w:num>
  <w:num w:numId="6" w16cid:durableId="563830455">
    <w:abstractNumId w:val="3"/>
  </w:num>
  <w:num w:numId="7" w16cid:durableId="1174881691">
    <w:abstractNumId w:val="7"/>
  </w:num>
  <w:num w:numId="8" w16cid:durableId="2071224943">
    <w:abstractNumId w:val="11"/>
  </w:num>
  <w:num w:numId="9" w16cid:durableId="1391341207">
    <w:abstractNumId w:val="1"/>
  </w:num>
  <w:num w:numId="10" w16cid:durableId="1968118000">
    <w:abstractNumId w:val="10"/>
  </w:num>
  <w:num w:numId="11" w16cid:durableId="1643850712">
    <w:abstractNumId w:val="2"/>
  </w:num>
  <w:num w:numId="12" w16cid:durableId="1575972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213"/>
    <w:rsid w:val="008F5531"/>
    <w:rsid w:val="00961213"/>
    <w:rsid w:val="00A20F01"/>
  </w:rsids>
  <m:mathPr>
    <m:mathFont m:val="Cambria Math"/>
    <m:brkBin m:val="before"/>
    <m:brkBinSub m:val="--"/>
    <m:smallFrac m:val="0"/>
    <m:dispDef/>
    <m:lMargin m:val="0"/>
    <m:rMargin m:val="0"/>
    <m:defJc m:val="centerGroup"/>
    <m:wrapIndent m:val="1440"/>
    <m:intLim m:val="subSup"/>
    <m:naryLim m:val="undOvr"/>
  </m:mathPr>
  <w:themeFontLang w:val="da-DK"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3D75FE6"/>
  <w15:chartTrackingRefBased/>
  <w15:docId w15:val="{D18B3CDD-44D6-F547-BAEE-3363C70D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61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61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6121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6121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6121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6121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6121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6121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61213"/>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6121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96121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96121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96121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96121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96121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6121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6121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61213"/>
    <w:rPr>
      <w:rFonts w:eastAsiaTheme="majorEastAsia" w:cstheme="majorBidi"/>
      <w:color w:val="272727" w:themeColor="text1" w:themeTint="D8"/>
    </w:rPr>
  </w:style>
  <w:style w:type="paragraph" w:styleId="Titel">
    <w:name w:val="Title"/>
    <w:basedOn w:val="Normal"/>
    <w:next w:val="Normal"/>
    <w:link w:val="TitelTegn"/>
    <w:uiPriority w:val="10"/>
    <w:qFormat/>
    <w:rsid w:val="00961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6121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61213"/>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6121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61213"/>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61213"/>
    <w:rPr>
      <w:i/>
      <w:iCs/>
      <w:color w:val="404040" w:themeColor="text1" w:themeTint="BF"/>
    </w:rPr>
  </w:style>
  <w:style w:type="paragraph" w:styleId="Listeafsnit">
    <w:name w:val="List Paragraph"/>
    <w:basedOn w:val="Normal"/>
    <w:uiPriority w:val="34"/>
    <w:qFormat/>
    <w:rsid w:val="00961213"/>
    <w:pPr>
      <w:ind w:left="720"/>
      <w:contextualSpacing/>
    </w:pPr>
  </w:style>
  <w:style w:type="character" w:styleId="Kraftigfremhvning">
    <w:name w:val="Intense Emphasis"/>
    <w:basedOn w:val="Standardskrifttypeiafsnit"/>
    <w:uiPriority w:val="21"/>
    <w:qFormat/>
    <w:rsid w:val="00961213"/>
    <w:rPr>
      <w:i/>
      <w:iCs/>
      <w:color w:val="0F4761" w:themeColor="accent1" w:themeShade="BF"/>
    </w:rPr>
  </w:style>
  <w:style w:type="paragraph" w:styleId="Strktcitat">
    <w:name w:val="Intense Quote"/>
    <w:basedOn w:val="Normal"/>
    <w:next w:val="Normal"/>
    <w:link w:val="StrktcitatTegn"/>
    <w:uiPriority w:val="30"/>
    <w:qFormat/>
    <w:rsid w:val="00961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61213"/>
    <w:rPr>
      <w:i/>
      <w:iCs/>
      <w:color w:val="0F4761" w:themeColor="accent1" w:themeShade="BF"/>
    </w:rPr>
  </w:style>
  <w:style w:type="character" w:styleId="Kraftighenvisning">
    <w:name w:val="Intense Reference"/>
    <w:basedOn w:val="Standardskrifttypeiafsnit"/>
    <w:uiPriority w:val="32"/>
    <w:qFormat/>
    <w:rsid w:val="00961213"/>
    <w:rPr>
      <w:b/>
      <w:bCs/>
      <w:smallCaps/>
      <w:color w:val="0F4761" w:themeColor="accent1" w:themeShade="BF"/>
      <w:spacing w:val="5"/>
    </w:rPr>
  </w:style>
  <w:style w:type="paragraph" w:styleId="NormalWeb">
    <w:name w:val="Normal (Web)"/>
    <w:basedOn w:val="Normal"/>
    <w:uiPriority w:val="99"/>
    <w:unhideWhenUsed/>
    <w:rsid w:val="009612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Standardskrifttypeiafsnit"/>
    <w:rsid w:val="00961213"/>
  </w:style>
  <w:style w:type="paragraph" w:styleId="Sidehoved">
    <w:name w:val="header"/>
    <w:basedOn w:val="Normal"/>
    <w:link w:val="SidehovedTegn"/>
    <w:uiPriority w:val="99"/>
    <w:unhideWhenUsed/>
    <w:rsid w:val="00961213"/>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961213"/>
  </w:style>
  <w:style w:type="paragraph" w:styleId="Sidefod">
    <w:name w:val="footer"/>
    <w:basedOn w:val="Normal"/>
    <w:link w:val="SidefodTegn"/>
    <w:uiPriority w:val="99"/>
    <w:unhideWhenUsed/>
    <w:rsid w:val="00961213"/>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961213"/>
  </w:style>
  <w:style w:type="character" w:customStyle="1" w:styleId="citation-240">
    <w:name w:val="citation-240"/>
    <w:basedOn w:val="Standardskrifttypeiafsnit"/>
    <w:rsid w:val="00961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1142</Words>
  <Characters>5850</Characters>
  <Application>Microsoft Office Word</Application>
  <DocSecurity>0</DocSecurity>
  <Lines>177</Lines>
  <Paragraphs>151</Paragraphs>
  <ScaleCrop>false</ScaleCrop>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Eske Penjor Hermann</dc:creator>
  <cp:keywords/>
  <dc:description/>
  <cp:lastModifiedBy>Eske Penjor Hermann</cp:lastModifiedBy>
  <cp:revision>1</cp:revision>
  <cp:lastPrinted>2026-03-01T11:33:00Z</cp:lastPrinted>
  <dcterms:created xsi:type="dcterms:W3CDTF">2026-03-01T09:52:00Z</dcterms:created>
  <dcterms:modified xsi:type="dcterms:W3CDTF">2026-03-01T11:34:00Z</dcterms:modified>
</cp:coreProperties>
</file>