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48"/>
          <w:szCs w:val="48"/>
        </w:rPr>
        <w:t xml:space="preserve">Enhanced Steel Module</w:t>
      </w:r>
    </w:p>
    <w:p>
      <w:pPr>
        <w:spacing w:after="80"/>
        <w:jc w:val="center"/>
      </w:pPr>
      <w:r>
        <w:rPr>
          <w:rFonts w:ascii="Arial" w:cs="Arial" w:eastAsia="Arial" w:hAnsi="Arial"/>
          <w:color w:val="2E74B5"/>
          <w:sz w:val="28"/>
          <w:szCs w:val="28"/>
        </w:rPr>
        <w:t xml:space="preserve">MatML v2.0 — Structural Steel Implementation Plan</w:t>
      </w:r>
    </w:p>
    <w:p>
      <w:pPr>
        <w:pBdr>
          <w:bottom w:val="single" w:color="2E74B5" w:sz="6" w:space="8"/>
        </w:pBdr>
        <w:spacing w:after="480"/>
        <w:jc w:val="center"/>
      </w:pPr>
      <w:r>
        <w:rPr>
          <w:i/>
          <w:iCs/>
          <w:color w:val="595959"/>
          <w:sz w:val="20"/>
          <w:szCs w:val="20"/>
        </w:rPr>
        <w:t xml:space="preserve">Updated April 2026 | Focus: Steel-Only Structural Design</w:t>
      </w:r>
    </w:p>
    <w:p>
      <w:pPr>
        <w:pStyle w:val="Heading1"/>
      </w:pPr>
      <w:r>
        <w:rPr>
          <w:b/>
          <w:bCs/>
          <w:color w:val="1F4E79"/>
          <w:sz w:val="32"/>
          <w:szCs w:val="32"/>
        </w:rPr>
        <w:t xml:space="preserve">1. Overview</w:t>
      </w:r>
    </w:p>
    <w:p>
      <w:pPr>
        <w:spacing w:after="160"/>
      </w:pPr>
      <w:r>
        <w:rPr>
          <w:sz w:val="22"/>
          <w:szCs w:val="22"/>
        </w:rPr>
        <w:t xml:space="preserve">This implementation plan specifies the steel-only upgrade to the MatML dashboard. All composite material references have been removed. The system now delivers a six-module unified prediction engine exclusively for structural and engineering-grade steel, exposed via the /api/predict/enhanced-steel endpoint.</w:t>
      </w:r>
    </w:p>
    <w:p>
      <w:pPr>
        <w:spacing w:after="160"/>
      </w:pPr>
      <w:r>
        <w:t xml:space="preserve"/>
      </w:r>
    </w:p>
    <w:p>
      <w:pPr>
        <w:pBdr>
          <w:left w:val="single" w:color="BF8F00" w:sz="12" w:space="4"/>
        </w:pBdr>
        <w:shd w:fill="FFF2CC" w:val="clear"/>
        <w:spacing w:after="160" w:before="120"/>
        <w:ind w:left="360"/>
      </w:pPr>
      <w:r>
        <w:rPr>
          <w:i/>
          <w:iCs/>
          <w:color w:val="7F6000"/>
          <w:sz w:val="20"/>
          <w:szCs w:val="20"/>
        </w:rPr>
        <w:t xml:space="preserve">CRITICAL: The enhanced steel module must NEVER be merged with concrete module schemas. These are architecturally incompatible. The existing concrete-based structural outputs from /api/predict/concrete remain unchanged and serve as the baseline comparison reference for hybrid structural assessments (see Section 3).</w:t>
      </w:r>
    </w:p>
    <w:p>
      <w:pPr>
        <w:spacing w:after="160"/>
      </w:pPr>
      <w:r>
        <w:t xml:space="preserve"/>
      </w:r>
    </w:p>
    <w:p>
      <w:pPr>
        <w:spacing w:after="160"/>
      </w:pPr>
      <w:r>
        <w:rPr>
          <w:b/>
          <w:bCs/>
        </w:rPr>
        <w:t xml:space="preserve">All six prediction modules share a common 13-element composition input vector:</w:t>
      </w:r>
    </w:p>
    <w:p>
      <w:pPr>
        <w:pStyle w:val="ListParagraph"/>
        <w:numPr>
          <w:ilvl w:val="0"/>
          <w:numId w:val="2"/>
        </w:numPr>
        <w:spacing w:after="80"/>
      </w:pPr>
      <w:r>
        <w:rPr>
          <w:sz w:val="22"/>
          <w:szCs w:val="22"/>
        </w:rPr>
        <w:t xml:space="preserve">c, mn, si, cr, ni, mo, v, n, nb, co, w, al, ti</w:t>
      </w:r>
    </w:p>
    <w:p>
      <w:pPr>
        <w:spacing w:after="160"/>
      </w:pPr>
      <w:r>
        <w:t xml:space="preserve"/>
      </w:r>
    </w:p>
    <w:p>
      <w:pPr>
        <w:pStyle w:val="Heading1"/>
      </w:pPr>
      <w:r>
        <w:rPr>
          <w:b/>
          <w:bCs/>
          <w:color w:val="1F4E79"/>
          <w:sz w:val="32"/>
          <w:szCs w:val="32"/>
        </w:rPr>
        <w:t xml:space="preserve">2. Six Prediction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200"/>
        <w:gridCol w:w="1680"/>
        <w:gridCol w:w="1480"/>
        <w:gridCol w:w="1000"/>
      </w:tblGrid>
      <w:t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Module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Targets</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Method</w:t>
            </w:r>
          </w:p>
        </w:tc>
        <w:tc>
          <w:tcPr>
            <w:tcW w:type="dxa" w:w="1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Inputs</w:t>
            </w:r>
          </w:p>
        </w:tc>
        <w:tc>
          <w:tcPr>
            <w:tcW w:type="dxa" w:w="1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Target R²/Acc.</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A — Mechanical</w:t>
            </w:r>
          </w:p>
        </w:tc>
        <w:tc>
          <w:tcPr>
            <w:tcW w:type="dxa" w:w="2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E (MPa), G (MPa), mu</w:t>
            </w:r>
          </w:p>
        </w:tc>
        <w:tc>
          <w:tcPr>
            <w:tcW w:type="dxa" w:w="2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MultiOutput RF or XGB</w:t>
            </w:r>
          </w:p>
        </w:tc>
        <w:tc>
          <w:tcPr>
            <w:tcW w:type="dxa" w:w="168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13 composition</w:t>
            </w:r>
          </w:p>
        </w:tc>
        <w:tc>
          <w:tcPr>
            <w:tcW w:type="dxa" w:w="148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R² &gt; 0.88</w:t>
            </w:r>
          </w:p>
        </w:tc>
        <w:tc>
          <w:tcPr>
            <w:tcW w:type="dxa" w:w="1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Active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 — Thermal/EM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conductivity (W/m·K), Tc (°C), Ro (kg/m³)</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MultiOutput RF</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13 composition</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R² &gt; 0.85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Active</w:t>
            </w:r>
          </w:p>
        </w:tc>
      </w:tr>
      <w:tr>
        <w:tc>
          <w:tcPr>
            <w:tcW w:type="dxa" w:w="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C — Strength (pre-repair)</w:t>
            </w:r>
          </w:p>
        </w:tc>
        <w:tc>
          <w:tcPr>
            <w:tcW w:type="dxa" w:w="2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Su (MPa), Sy (MPa), Elongation (%)</w:t>
            </w:r>
          </w:p>
        </w:tc>
        <w:tc>
          <w:tcPr>
            <w:tcW w:type="dxa" w:w="2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MultiOutput XGB</w:t>
            </w:r>
          </w:p>
        </w:tc>
        <w:tc>
          <w:tcPr>
            <w:tcW w:type="dxa" w:w="168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13 composition</w:t>
            </w:r>
          </w:p>
        </w:tc>
        <w:tc>
          <w:tcPr>
            <w:tcW w:type="dxa" w:w="148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R² &gt; 0.90</w:t>
            </w:r>
          </w:p>
        </w:tc>
        <w:tc>
          <w:tcPr>
            <w:tcW w:type="dxa" w:w="1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Active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 — Post-repair strength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Su_post (MPa), Sy_post (MPa)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MultiOutput RF</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13 comp. + repair_cycles</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R² &gt; 0.87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Active</w:t>
            </w:r>
          </w:p>
        </w:tc>
      </w:tr>
      <w:tr>
        <w:tc>
          <w:tcPr>
            <w:tcW w:type="dxa" w:w="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E — Repair degradation</w:t>
            </w:r>
          </w:p>
        </w:tc>
        <w:tc>
          <w:tcPr>
            <w:tcW w:type="dxa" w:w="2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lifespan_index (0–1)</w:t>
            </w:r>
          </w:p>
        </w:tc>
        <w:tc>
          <w:tcPr>
            <w:tcW w:type="dxa" w:w="2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Single RF</w:t>
            </w:r>
          </w:p>
        </w:tc>
        <w:tc>
          <w:tcPr>
            <w:tcW w:type="dxa" w:w="168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13 comp. + repair_cycles</w:t>
            </w:r>
          </w:p>
        </w:tc>
        <w:tc>
          <w:tcPr>
            <w:tcW w:type="dxa" w:w="148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R² &gt; 0.84</w:t>
            </w:r>
          </w:p>
        </w:tc>
        <w:tc>
          <w:tcPr>
            <w:tcW w:type="dxa" w:w="1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Active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 — Use suitability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recommended (bool), probability, weldability class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RF Classifier</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13 comp. + CE brackets</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Accuracy &gt; 0.90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Active</w:t>
            </w:r>
          </w:p>
        </w:tc>
      </w:tr>
    </w:tbl>
    <w:p>
      <w:pPr>
        <w:spacing w:after="160"/>
      </w:pPr>
      <w:r>
        <w:t xml:space="preserve"/>
      </w:r>
    </w:p>
    <w:p>
      <w:pPr>
        <w:pStyle w:val="Heading1"/>
      </w:pPr>
      <w:r>
        <w:rPr>
          <w:b/>
          <w:bCs/>
          <w:color w:val="1F4E79"/>
          <w:sz w:val="32"/>
          <w:szCs w:val="32"/>
        </w:rPr>
        <w:t xml:space="preserve">3. Engineer Guidance — Why This Steel Solution Is Appropriate</w:t>
      </w:r>
    </w:p>
    <w:p>
      <w:pPr>
        <w:spacing w:after="160"/>
      </w:pPr>
      <w:r>
        <w:t xml:space="preserve">The following section is written specifically for structural and materials engineers integrating these outputs into design workflows.</w:t>
      </w:r>
    </w:p>
    <w:p>
      <w:pPr>
        <w:spacing w:after="160"/>
      </w:pPr>
      <w:r>
        <w:t xml:space="preserve"/>
      </w:r>
    </w:p>
    <w:p>
      <w:pPr>
        <w:pStyle w:val="Heading2"/>
      </w:pPr>
      <w:r>
        <w:rPr>
          <w:b/>
          <w:bCs/>
          <w:color w:val="2E74B5"/>
          <w:sz w:val="28"/>
          <w:szCs w:val="28"/>
        </w:rPr>
        <w:t xml:space="preserve">3.1 Complementing Existing Concrete Outputs</w:t>
      </w:r>
    </w:p>
    <w:p>
      <w:pPr>
        <w:spacing w:after="160"/>
      </w:pPr>
      <w:r>
        <w:t xml:space="preserve">The MatML dashboard already generates concrete-based structural predictions (compressive strength, carbonation depth, reinforcement corrosion index). The enhanced steel module is designed to work alongside these outputs, not replace them. Engineers should use both sets of predictions when evaluating composite or hybrid structural systems.</w:t>
      </w:r>
    </w:p>
    <w:p>
      <w:pPr>
        <w:pStyle w:val="ListParagraph"/>
        <w:numPr>
          <w:ilvl w:val="0"/>
          <w:numId w:val="2"/>
        </w:numPr>
        <w:spacing w:after="80"/>
      </w:pPr>
      <w:r>
        <w:rPr>
          <w:sz w:val="22"/>
          <w:szCs w:val="22"/>
        </w:rPr>
        <w:t xml:space="preserve">For column and beam design: compare steel yield strength (Sy, from Module C) against the equivalent concrete compressive capacity from existing concrete model outputs. Steel consistently outperforms concrete in tension — use steel predictions where tensile demand governs.</w:t>
      </w:r>
    </w:p>
    <w:p>
      <w:pPr>
        <w:pStyle w:val="ListParagraph"/>
        <w:numPr>
          <w:ilvl w:val="0"/>
          <w:numId w:val="2"/>
        </w:numPr>
        <w:spacing w:after="80"/>
      </w:pPr>
      <w:r>
        <w:rPr>
          <w:sz w:val="22"/>
          <w:szCs w:val="22"/>
        </w:rPr>
        <w:t xml:space="preserve">For floor systems: the steel elastic modulus (E, from Module A) directly informs deflection checks; cross-reference against the concrete slab stiffness already available in the dashboard.</w:t>
      </w:r>
    </w:p>
    <w:p>
      <w:pPr>
        <w:pStyle w:val="ListParagraph"/>
        <w:numPr>
          <w:ilvl w:val="0"/>
          <w:numId w:val="2"/>
        </w:numPr>
        <w:spacing w:after="80"/>
      </w:pPr>
      <w:r>
        <w:rPr>
          <w:sz w:val="22"/>
          <w:szCs w:val="22"/>
        </w:rPr>
        <w:t xml:space="preserve">For repair decisions: Module D and Module E outputs (post-repair strength and lifespan index) allow direct comparison of a steel repair strategy against a concrete replacement strategy when both options are on the table.</w:t>
      </w:r>
    </w:p>
    <w:p>
      <w:pPr>
        <w:spacing w:after="160"/>
      </w:pPr>
      <w:r>
        <w:t xml:space="preserve"/>
      </w:r>
    </w:p>
    <w:p>
      <w:pPr>
        <w:pStyle w:val="Heading2"/>
      </w:pPr>
      <w:r>
        <w:rPr>
          <w:b/>
          <w:bCs/>
          <w:color w:val="2E74B5"/>
          <w:sz w:val="28"/>
          <w:szCs w:val="28"/>
        </w:rPr>
        <w:t xml:space="preserve">3.2 Why Steel for Construction</w:t>
      </w:r>
    </w:p>
    <w:p>
      <w:pPr>
        <w:spacing w:after="160"/>
      </w:pPr>
      <w:r>
        <w:t xml:space="preserve">The enhanced steel module is particularly suited to structural construction applications for the following reasons:</w:t>
      </w:r>
    </w:p>
    <w:p>
      <w:pPr>
        <w:pStyle w:val="ListParagraph"/>
        <w:numPr>
          <w:ilvl w:val="0"/>
          <w:numId w:val="3"/>
        </w:numPr>
        <w:spacing w:after="80"/>
      </w:pPr>
      <w:r>
        <w:rPr>
          <w:sz w:val="22"/>
          <w:szCs w:val="22"/>
        </w:rPr>
        <w:t xml:space="preserve">High strength-to-weight ratio: Steel grades predicted by Module A (E &gt; 200 GPa) allow longer spans and reduced structural depth compared to equivalent concrete sections.</w:t>
      </w:r>
    </w:p>
    <w:p>
      <w:pPr>
        <w:pStyle w:val="ListParagraph"/>
        <w:numPr>
          <w:ilvl w:val="0"/>
          <w:numId w:val="3"/>
        </w:numPr>
        <w:spacing w:after="80"/>
      </w:pPr>
      <w:r>
        <w:rPr>
          <w:sz w:val="22"/>
          <w:szCs w:val="22"/>
        </w:rPr>
        <w:t xml:space="preserve">Predictable post-repair behaviour: Module D provides quantitative post-weld and post-bend strength values, allowing engineers to make confident reuse decisions after repair — something not available in the concrete model.</w:t>
      </w:r>
    </w:p>
    <w:p>
      <w:pPr>
        <w:pStyle w:val="ListParagraph"/>
        <w:numPr>
          <w:ilvl w:val="0"/>
          <w:numId w:val="3"/>
        </w:numPr>
        <w:spacing w:after="80"/>
      </w:pPr>
      <w:r>
        <w:rPr>
          <w:sz w:val="22"/>
          <w:szCs w:val="22"/>
        </w:rPr>
        <w:t xml:space="preserve">Standards compliance confidence: The weldability class output (Module F) maps directly to BS EN 1993, ASME VIII, and BS 5400 preheat requirements, removing ambiguity from welding procedure specifications.</w:t>
      </w:r>
    </w:p>
    <w:p>
      <w:pPr>
        <w:pStyle w:val="ListParagraph"/>
        <w:numPr>
          <w:ilvl w:val="0"/>
          <w:numId w:val="3"/>
        </w:numPr>
        <w:spacing w:after="80"/>
      </w:pPr>
      <w:r>
        <w:rPr>
          <w:sz w:val="22"/>
          <w:szCs w:val="22"/>
        </w:rPr>
        <w:t xml:space="preserve">Lifespan modelling: Module E&amp;#x2019;s lifespan_index accounts for repair cycle accumulation — critical for life-cycle cost analysis where steel is compared against concrete over a 50+ year horizon.</w:t>
      </w:r>
    </w:p>
    <w:p>
      <w:pPr>
        <w:pStyle w:val="ListParagraph"/>
        <w:numPr>
          <w:ilvl w:val="0"/>
          <w:numId w:val="3"/>
        </w:numPr>
        <w:spacing w:after="80"/>
      </w:pPr>
      <w:r>
        <w:rPr>
          <w:sz w:val="22"/>
          <w:szCs w:val="22"/>
        </w:rPr>
        <w:t xml:space="preserve">Multi-hazard resilience: High-alloy compositions (Cr, Ni, Mo flagged by Module F) are flagged as suitable for offshore, seismic, or fire-exposed applications where concrete performance degrades more rapidly.</w:t>
      </w:r>
    </w:p>
    <w:p>
      <w:pPr>
        <w:spacing w:after="160"/>
      </w:pPr>
      <w:r>
        <w:t xml:space="preserve"/>
      </w:r>
    </w:p>
    <w:p>
      <w:pPr>
        <w:pStyle w:val="Heading2"/>
      </w:pPr>
      <w:r>
        <w:rPr>
          <w:b/>
          <w:bCs/>
          <w:color w:val="2E74B5"/>
          <w:sz w:val="28"/>
          <w:szCs w:val="28"/>
        </w:rPr>
        <w:t xml:space="preserve">3.3 Interpreting the Recommendation Engine</w:t>
      </w:r>
    </w:p>
    <w:p>
      <w:pPr>
        <w:spacing w:after="160"/>
      </w:pPr>
      <w:r>
        <w:t xml:space="preserve">The deterministic recommendation engine combines the ML predictions with application-specific rules. The table below specifies the lookup values and includes steel suitability notes for each application class: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Application</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Base Lifespan Multiplier</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Max Repair Cycles</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Standard</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Steel Suitability Notes</w:t>
            </w:r>
          </w:p>
        </w:tc>
      </w:tr>
      <w:tr>
        <w:tc>
          <w:tcPr>
            <w:tcW w:type="dxa" w:w="234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Structural (buildings)</w:t>
            </w:r>
          </w:p>
        </w:tc>
        <w:tc>
          <w:tcPr>
            <w:tcW w:type="dxa" w:w="15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×50 yr</w:t>
            </w:r>
          </w:p>
        </w:tc>
        <w:tc>
          <w:tcPr>
            <w:tcW w:type="dxa" w:w="15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8</w:t>
            </w:r>
          </w:p>
        </w:tc>
        <w:tc>
          <w:tcPr>
            <w:tcW w:type="dxa" w:w="15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BS EN 1993</w:t>
            </w:r>
          </w:p>
        </w:tc>
        <w:tc>
          <w:tcPr>
            <w:tcW w:type="dxa" w:w="234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High-grade structural steel (S355/S460) ideal; compare against concrete outputs for hybrid design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Bridge / civil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×40 yr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BS 5400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Weathering steel preferred; fatigue checks required</w:t>
            </w:r>
          </w:p>
        </w:tc>
      </w:tr>
      <w:tr>
        <w:tc>
          <w:tcPr>
            <w:tcW w:type="dxa" w:w="234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Pressure vessel</w:t>
            </w:r>
          </w:p>
        </w:tc>
        <w:tc>
          <w:tcPr>
            <w:tcW w:type="dxa" w:w="15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×30 yr</w:t>
            </w:r>
          </w:p>
        </w:tc>
        <w:tc>
          <w:tcPr>
            <w:tcW w:type="dxa" w:w="15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4</w:t>
            </w:r>
          </w:p>
        </w:tc>
        <w:tc>
          <w:tcPr>
            <w:tcW w:type="dxa" w:w="15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ASME VIII</w:t>
            </w:r>
          </w:p>
        </w:tc>
        <w:tc>
          <w:tcPr>
            <w:tcW w:type="dxa" w:w="234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Low-alloy steel with PWHT; corrosion allowances apply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Pipeline (onshore)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×35 yr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ASME B31.3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 5L grades; cathodic protection recommended</w:t>
            </w:r>
          </w:p>
        </w:tc>
      </w:tr>
      <w:tr>
        <w:tc>
          <w:tcPr>
            <w:tcW w:type="dxa" w:w="234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Offshore platform</w:t>
            </w:r>
          </w:p>
        </w:tc>
        <w:tc>
          <w:tcPr>
            <w:tcW w:type="dxa" w:w="15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×25 yr</w:t>
            </w:r>
          </w:p>
        </w:tc>
        <w:tc>
          <w:tcPr>
            <w:tcW w:type="dxa" w:w="15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4</w:t>
            </w:r>
          </w:p>
        </w:tc>
        <w:tc>
          <w:tcPr>
            <w:tcW w:type="dxa" w:w="15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DNV-OS-C101</w:t>
            </w:r>
          </w:p>
        </w:tc>
        <w:tc>
          <w:tcPr>
            <w:tcW w:type="dxa" w:w="234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Duplex/super-duplex steel for marine environments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Rotating machinery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 yr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ISO 9283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Hardened alloy steels; surface treatment required</w:t>
            </w:r>
          </w:p>
        </w:tc>
      </w:tr>
    </w:tbl>
    <w:p>
      <w:pPr>
        <w:spacing w:after="160"/>
      </w:pPr>
      <w:r>
        <w:t xml:space="preserve"/>
      </w:r>
    </w:p>
    <w:p>
      <w:pPr>
        <w:pBdr>
          <w:left w:val="single" w:color="2E74B5" w:sz="12" w:space="4"/>
        </w:pBdr>
        <w:shd w:fill="EBF3FB" w:val="clear"/>
        <w:spacing w:after="160" w:before="120"/>
        <w:ind w:left="360"/>
      </w:pPr>
      <w:r>
        <w:rPr>
          <w:i/>
          <w:iCs/>
          <w:color w:val="2E74B5"/>
          <w:sz w:val="20"/>
          <w:szCs w:val="20"/>
        </w:rPr>
        <w:t xml:space="preserve">NOTE: The base lifespan multipliers assume standard maintenance regimes. Where repair_cycles input is non-zero, Module E applies an exponential decay adjustment to the lifespan_index before the multiplier is applied. Engineers should treat the resulting figure as a lower-bound design life.</w:t>
      </w:r>
    </w:p>
    <w:p>
      <w:pPr>
        <w:spacing w:after="160"/>
      </w:pPr>
      <w:r>
        <w:t xml:space="preserve"/>
      </w:r>
    </w:p>
    <w:p>
      <w:pPr>
        <w:pStyle w:val="Heading2"/>
      </w:pPr>
      <w:r>
        <w:rPr>
          <w:b/>
          <w:bCs/>
          <w:color w:val="2E74B5"/>
          <w:sz w:val="28"/>
          <w:szCs w:val="28"/>
        </w:rPr>
        <w:t xml:space="preserve">3.4 Weldability Class — Practical Interpretation</w:t>
      </w:r>
    </w:p>
    <w:p>
      <w:pPr>
        <w:spacing w:after="160"/>
      </w:pPr>
      <w:r>
        <w:t xml:space="preserve">Module F outputs a weldability_class alongside the binary recommended flag. This is derived from the Carbon Equivalent (CE) bracket of the input composition. Engineers should use this as a primary input to welding procedure qualification: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CE (Carbon Equivalent)</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Weldability Class</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Encoded Value</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Construction Guidance</w:t>
            </w:r>
          </w:p>
        </w:tc>
      </w:tr>
      <w:tr>
        <w:tc>
          <w:tcPr>
            <w:tcW w:type="dxa" w:w="234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CE &lt; 0.35</w:t>
            </w:r>
          </w:p>
        </w:tc>
        <w:tc>
          <w:tcPr>
            <w:tcW w:type="dxa" w:w="234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Class I — Excellent</w:t>
            </w:r>
          </w:p>
        </w:tc>
        <w:tc>
          <w:tcPr>
            <w:tcW w:type="dxa" w:w="234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2</w:t>
            </w:r>
          </w:p>
        </w:tc>
        <w:tc>
          <w:tcPr>
            <w:tcW w:type="dxa" w:w="234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No preheat required; suitable for all positions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0.35 ≤ CE &lt; 0.45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Class II — Acceptable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Low preheat (75–150°C); standard welding procedures apply</w:t>
            </w:r>
          </w:p>
        </w:tc>
      </w:tr>
      <w:tr>
        <w:tc>
          <w:tcPr>
            <w:tcW w:type="dxa" w:w="234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CE ≥ 0.45</w:t>
            </w:r>
          </w:p>
        </w:tc>
        <w:tc>
          <w:tcPr>
            <w:tcW w:type="dxa" w:w="234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Class III — Restricted</w:t>
            </w:r>
          </w:p>
        </w:tc>
        <w:tc>
          <w:tcPr>
            <w:tcW w:type="dxa" w:w="234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0</w:t>
            </w:r>
          </w:p>
        </w:tc>
        <w:tc>
          <w:tcPr>
            <w:tcW w:type="dxa" w:w="234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High preheat (&gt;150°C); post-weld heat treatment mandatory</w:t>
            </w:r>
          </w:p>
        </w:tc>
      </w:tr>
    </w:tbl>
    <w:p>
      <w:pPr>
        <w:spacing w:after="160"/>
      </w:pPr>
      <w:r>
        <w:t xml:space="preserve"/>
      </w:r>
    </w:p>
    <w:p>
      <w:pPr>
        <w:pBdr>
          <w:left w:val="single" w:color="2E74B5" w:sz="12" w:space="4"/>
        </w:pBdr>
        <w:shd w:fill="EBF3FB" w:val="clear"/>
        <w:spacing w:after="160" w:before="120"/>
        <w:ind w:left="360"/>
      </w:pPr>
      <w:r>
        <w:rPr>
          <w:i/>
          <w:iCs/>
          <w:color w:val="2E74B5"/>
          <w:sz w:val="20"/>
          <w:szCs w:val="20"/>
        </w:rPr>
        <w:t xml:space="preserve">CE = C + Mn/6 + (Cr + Mo + V)/5 + (Ni + Cu)/15. This formula is computed from the 13 composition inputs internally. Engineers do not need to compute CE separately.</w:t>
      </w:r>
    </w:p>
    <w:p>
      <w:pPr>
        <w:spacing w:after="160"/>
      </w:pPr>
      <w:r>
        <w:t xml:space="preserve"/>
      </w:r>
    </w:p>
    <w:p>
      <w:pPr>
        <w:pStyle w:val="Heading1"/>
      </w:pPr>
      <w:r>
        <w:rPr>
          <w:b/>
          <w:bCs/>
          <w:color w:val="1F4E79"/>
          <w:sz w:val="32"/>
          <w:szCs w:val="32"/>
        </w:rPr>
        <w:t xml:space="preserve">4. Material Property Prediction — Steel Condition Across Repair Cycles</w:t>
      </w:r>
    </w:p>
    <w:p>
      <w:pPr>
        <w:spacing w:after="160"/>
      </w:pPr>
      <w:r>
        <w:t xml:space="preserve">The dashboard must include a graphical comparison of steel mechanical properties before repair (as-rolled or as-fabricated state) against the degraded properties after multiple repair interventions such as welding and bending. This section specifies the graph and its data sources.</w:t>
      </w:r>
    </w:p>
    <w:p>
      <w:pPr>
        <w:spacing w:after="160"/>
      </w:pPr>
      <w:r>
        <w:t xml:space="preserve"/>
      </w:r>
    </w:p>
    <w:p>
      <w:pPr>
        <w:pStyle w:val="Heading2"/>
      </w:pPr>
      <w:r>
        <w:rPr>
          <w:b/>
          <w:bCs/>
          <w:color w:val="2E74B5"/>
          <w:sz w:val="28"/>
          <w:szCs w:val="28"/>
        </w:rPr>
        <w:t xml:space="preserve">4.1 Repair Cycle Degradation Graph</w:t>
      </w:r>
    </w:p>
    <w:p>
      <w:pPr>
        <w:spacing w:after="160"/>
      </w:pPr>
      <w:r>
        <w:t xml:space="preserve">The RepairCurveChart frontend component should render the following data series on a shared x-axis of repair_cycles (0 to 10):</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Series</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Data Source</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Colour</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Axis</w:t>
            </w:r>
          </w:p>
        </w:tc>
      </w:tr>
      <w:tr>
        <w:tc>
          <w:tcPr>
            <w:tcW w:type="dxa" w:w="234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Su (MPa) — Ultimate Strength</w:t>
            </w:r>
          </w:p>
        </w:tc>
        <w:tc>
          <w:tcPr>
            <w:tcW w:type="dxa" w:w="234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Module C (repair_cycles=0) → Module D (repair_cycles=1–10)</w:t>
            </w:r>
          </w:p>
        </w:tc>
        <w:tc>
          <w:tcPr>
            <w:tcW w:type="dxa" w:w="234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Deep blue (#1F4E79)</w:t>
            </w:r>
          </w:p>
        </w:tc>
        <w:tc>
          <w:tcPr>
            <w:tcW w:type="dxa" w:w="234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Left (MPa)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Sy (MPa) — Yield Strength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Module C (repair_cycles=0) → Module D (repair_cycles=1–10)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Mid blue (#2E74B5)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Left (MPa)</w:t>
            </w:r>
          </w:p>
        </w:tc>
      </w:tr>
      <w:tr>
        <w:tc>
          <w:tcPr>
            <w:tcW w:type="dxa" w:w="234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lifespan_index (0–1)</w:t>
            </w:r>
          </w:p>
        </w:tc>
        <w:tc>
          <w:tcPr>
            <w:tcW w:type="dxa" w:w="234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Module E across repair_cycles 0–10</w:t>
            </w:r>
          </w:p>
        </w:tc>
        <w:tc>
          <w:tcPr>
            <w:tcW w:type="dxa" w:w="234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Amber (#BF8F00)</w:t>
            </w:r>
          </w:p>
        </w:tc>
        <w:tc>
          <w:tcPr>
            <w:tcW w:type="dxa" w:w="234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Right (0–1 normalised)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Elongation (%) — Ductility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Module C (repair_cycles=0) → inferred from Module E degrade factor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Green (#375623)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Right (%)</w:t>
            </w:r>
          </w:p>
        </w:tc>
      </w:tr>
    </w:tbl>
    <w:p>
      <w:pPr>
        <w:spacing w:after="160"/>
      </w:pPr>
      <w:r>
        <w:t xml:space="preserve"/>
      </w:r>
    </w:p>
    <w:p>
      <w:pPr>
        <w:pStyle w:val="Heading3"/>
      </w:pPr>
      <w:r>
        <w:rPr>
          <w:b/>
          <w:bCs/>
          <w:color w:val="2E74B5"/>
          <w:sz w:val="24"/>
          <w:szCs w:val="24"/>
        </w:rPr>
        <w:t xml:space="preserve">4.1.1 Behaviour Characteristics to Communicate</w:t>
      </w:r>
    </w:p>
    <w:p>
      <w:pPr>
        <w:spacing w:after="160"/>
      </w:pPr>
      <w:r>
        <w:t xml:space="preserve">The graph must visually convey the following known degradation patterns. The ML models are trained to reproduce these patterns from real composition data:</w:t>
      </w:r>
    </w:p>
    <w:p>
      <w:pPr>
        <w:pStyle w:val="ListParagraph"/>
        <w:numPr>
          <w:ilvl w:val="0"/>
          <w:numId w:val="2"/>
        </w:numPr>
        <w:spacing w:after="80"/>
      </w:pPr>
      <w:r>
        <w:rPr>
          <w:sz w:val="22"/>
          <w:szCs w:val="22"/>
        </w:rPr>
        <w:t xml:space="preserve">Su and Sy: both decline with increasing repair_cycles due to heat-affected zone accumulation during welding. The decline is non-linear — steepest between cycles 0–3, then plateauing for high-alloy compositions.</w:t>
      </w:r>
    </w:p>
    <w:p>
      <w:pPr>
        <w:pStyle w:val="ListParagraph"/>
        <w:numPr>
          <w:ilvl w:val="0"/>
          <w:numId w:val="2"/>
        </w:numPr>
        <w:spacing w:after="80"/>
      </w:pPr>
      <w:r>
        <w:rPr>
          <w:sz w:val="22"/>
          <w:szCs w:val="22"/>
        </w:rPr>
        <w:t xml:space="preserve">Ductility (Elongation): typically degrades faster than strength, particularly for higher-carbon steels (CE &gt; 0.35). This is the key failure mode for Class II and Class III weldability steels after multiple repairs.</w:t>
      </w:r>
    </w:p>
    <w:p>
      <w:pPr>
        <w:pStyle w:val="ListParagraph"/>
        <w:numPr>
          <w:ilvl w:val="0"/>
          <w:numId w:val="2"/>
        </w:numPr>
        <w:spacing w:after="80"/>
      </w:pPr>
      <w:r>
        <w:rPr>
          <w:sz w:val="22"/>
          <w:szCs w:val="22"/>
        </w:rPr>
        <w:t xml:space="preserve">lifespan_index: decreases monotonically. For repair_cycles &gt; max_repair_limit (application-specific, see Section 3 table), the index should be flagged in red as below the safe threshold.</w:t>
      </w:r>
    </w:p>
    <w:p>
      <w:pPr>
        <w:pStyle w:val="ListParagraph"/>
        <w:numPr>
          <w:ilvl w:val="0"/>
          <w:numId w:val="2"/>
        </w:numPr>
        <w:spacing w:after="80"/>
      </w:pPr>
      <w:r>
        <w:rPr>
          <w:sz w:val="22"/>
          <w:szCs w:val="22"/>
        </w:rPr>
        <w:t xml:space="preserve">Weld repair vs. mechanical bending: where repair type is tracked, welding repairs show a step-change degradation pattern; bending repairs show a smoother, accumulated cold-work curve. Distinguish these series with solid vs. dashed line styles.</w:t>
      </w:r>
    </w:p>
    <w:p>
      <w:pPr>
        <w:spacing w:after="160"/>
      </w:pPr>
      <w:r>
        <w:t xml:space="preserve"/>
      </w:r>
    </w:p>
    <w:p>
      <w:pPr>
        <w:pStyle w:val="Heading3"/>
      </w:pPr>
      <w:r>
        <w:rPr>
          <w:b/>
          <w:bCs/>
          <w:color w:val="2E74B5"/>
          <w:sz w:val="24"/>
          <w:szCs w:val="24"/>
        </w:rPr>
        <w:t xml:space="preserve">4.1.2 Comparison Baseline — Pre-Repair Reference</w:t>
      </w:r>
    </w:p>
    <w:p>
      <w:pPr>
        <w:spacing w:after="160"/>
      </w:pPr>
      <w:r>
        <w:t xml:space="preserve">The pre-repair state (repair_cycles = 0) serves as the reference condition. The chart should render a horizontal dashed reference line at the Module C predicted Su and Sy values to allow engineers to immediately read the percentage degradation at any repair cycle count. This baseline is fixed per composition input and does not change across the x-axis.</w:t>
      </w:r>
    </w:p>
    <w:p>
      <w:pPr>
        <w:spacing w:after="160"/>
      </w:pPr>
      <w:r>
        <w:t xml:space="preserve"/>
      </w:r>
    </w:p>
    <w:p>
      <w:pPr>
        <w:pStyle w:val="Heading3"/>
      </w:pPr>
      <w:r>
        <w:rPr>
          <w:b/>
          <w:bCs/>
          <w:color w:val="2E74B5"/>
          <w:sz w:val="24"/>
          <w:szCs w:val="24"/>
        </w:rPr>
        <w:t xml:space="preserve">4.1.3 SHAP Overlay (Optional)</w:t>
      </w:r>
    </w:p>
    <w:p>
      <w:pPr>
        <w:spacing w:after="160"/>
      </w:pPr>
      <w:r>
        <w:t xml:space="preserve">When the SHAP panel is enabled, the chart should optionally overlay a bar chart beneath the main line chart showing the top-3 SHAP feature contributions driving the Module E lifespan_index prediction at the currently selected repair_cycle value. This helps engineers understand which alloying elements dominate the degradation response.</w:t>
      </w:r>
    </w:p>
    <w:p>
      <w:pPr>
        <w:spacing w:after="160"/>
      </w:pPr>
      <w:r>
        <w:t xml:space="preserve"/>
      </w:r>
    </w:p>
    <w:p>
      <w:pPr>
        <w:pBdr>
          <w:left w:val="single" w:color="2E74B5" w:sz="12" w:space="4"/>
        </w:pBdr>
        <w:shd w:fill="EBF3FB" w:val="clear"/>
        <w:spacing w:after="160" w:before="120"/>
        <w:ind w:left="360"/>
      </w:pPr>
      <w:r>
        <w:rPr>
          <w:i/>
          <w:iCs/>
          <w:color w:val="2E74B5"/>
          <w:sz w:val="20"/>
          <w:szCs w:val="20"/>
        </w:rPr>
        <w:t xml:space="preserve">NOTE: The RepairCurveChart component should call the /api/predict/enhanced-steel endpoint once per repair_cycle integer (0–10), batching 11 requests on component mount. If the models are not loaded (mock mode), the chart must still render using synthetic decay curves generated from the mock response schema to preserve the visual design.</w:t>
      </w:r>
    </w:p>
    <w:p>
      <w:pPr>
        <w:spacing w:after="160"/>
      </w:pPr>
      <w:r>
        <w:t xml:space="preserve"/>
      </w:r>
    </w:p>
    <w:p>
      <w:pPr>
        <w:pStyle w:val="Heading1"/>
      </w:pPr>
      <w:r>
        <w:rPr>
          <w:b/>
          <w:bCs/>
          <w:color w:val="1F4E79"/>
          <w:sz w:val="32"/>
          <w:szCs w:val="32"/>
        </w:rPr>
        <w:t xml:space="preserve">5. Training Script Changes — train_enhanced_steel.py</w:t>
      </w:r>
    </w:p>
    <w:p>
      <w:pPr>
        <w:spacing w:after="160"/>
      </w:pPr>
      <w:r>
        <w:t xml:space="preserve">The following concrete additions are required to the existing training script. The overall structure is correct and requires targeted enhancements only.</w:t>
      </w:r>
    </w:p>
    <w:p>
      <w:pPr>
        <w:spacing w:after="160"/>
      </w:pPr>
      <w:r>
        <w:t xml:space="preserve"/>
      </w:r>
    </w:p>
    <w:p>
      <w:pPr>
        <w:pStyle w:val="Heading2"/>
      </w:pPr>
      <w:r>
        <w:rPr>
          <w:b/>
          <w:bCs/>
          <w:color w:val="2E74B5"/>
          <w:sz w:val="28"/>
          <w:szCs w:val="28"/>
        </w:rPr>
        <w:t xml:space="preserve">5.1 Additions Required</w:t>
      </w:r>
    </w:p>
    <w:p>
      <w:pPr>
        <w:pStyle w:val="ListParagraph"/>
        <w:numPr>
          <w:ilvl w:val="0"/>
          <w:numId w:val="3"/>
        </w:numPr>
        <w:spacing w:after="80"/>
      </w:pPr>
      <w:r>
        <w:rPr>
          <w:sz w:val="22"/>
          <w:szCs w:val="22"/>
        </w:rPr>
        <w:t xml:space="preserve">Add weldability_class column: derive from CE brackets (0=Class III, 1=Class II, 2=Class I) and append to the augmented steel dataframe as a classification target for Module F.</w:t>
      </w:r>
    </w:p>
    <w:p>
      <w:pPr>
        <w:pStyle w:val="ListParagraph"/>
        <w:numPr>
          <w:ilvl w:val="0"/>
          <w:numId w:val="3"/>
        </w:numPr>
        <w:spacing w:after="80"/>
      </w:pPr>
      <w:r>
        <w:rPr>
          <w:sz w:val="22"/>
          <w:szCs w:val="22"/>
        </w:rPr>
        <w:t xml:space="preserve">Add repair_n_residual computation: use an exponential decay model (residual_strength = Su_0 × exp(−0.07 × n_repairs)) to generate a synthetic multi-cycle training column for Module E. The decay constant −0.07 is calibrated against published weld cycle data and should be parameterised as DECAY_K in the script header.</w:t>
      </w:r>
    </w:p>
    <w:p>
      <w:pPr>
        <w:pStyle w:val="ListParagraph"/>
        <w:numPr>
          <w:ilvl w:val="0"/>
          <w:numId w:val="3"/>
        </w:numPr>
        <w:spacing w:after="80"/>
      </w:pPr>
      <w:r>
        <w:rPr>
          <w:sz w:val="22"/>
          <w:szCs w:val="22"/>
        </w:rPr>
        <w:t xml:space="preserve">Save enhanced_steel_strength_scaler.pkl explicitly: this scaler is reused by Modules D, E, and F. Ensure it is saved with its own named reference, not as a side-effect of Module C saving.</w:t>
      </w:r>
    </w:p>
    <w:p>
      <w:pPr>
        <w:pStyle w:val="ListParagraph"/>
        <w:numPr>
          <w:ilvl w:val="0"/>
          <w:numId w:val="3"/>
        </w:numPr>
        <w:spacing w:after="80"/>
      </w:pPr>
      <w:r>
        <w:rPr>
          <w:sz w:val="22"/>
          <w:szCs w:val="22"/>
        </w:rPr>
        <w:t xml:space="preserve">Metrics summary: add a final printed table at training completion showing each module, achieved R²/accuracy, and pass/fail against document targets. Exit with code 1 if any module fails its target.</w:t>
      </w:r>
    </w:p>
    <w:p>
      <w:pPr>
        <w:pStyle w:val="ListParagraph"/>
        <w:numPr>
          <w:ilvl w:val="0"/>
          <w:numId w:val="3"/>
        </w:numPr>
        <w:spacing w:after="80"/>
      </w:pPr>
      <w:r>
        <w:rPr>
          <w:sz w:val="22"/>
          <w:szCs w:val="22"/>
        </w:rPr>
        <w:t xml:space="preserve">random_state=42: enforce on all RandomForest and XGBoost instantiations.</w:t>
      </w:r>
    </w:p>
    <w:p>
      <w:pPr>
        <w:pStyle w:val="ListParagraph"/>
        <w:numPr>
          <w:ilvl w:val="0"/>
          <w:numId w:val="3"/>
        </w:numPr>
        <w:spacing w:after="80"/>
      </w:pPr>
      <w:r>
        <w:rPr>
          <w:sz w:val="22"/>
          <w:szCs w:val="22"/>
        </w:rPr>
        <w:t xml:space="preserve">Scaler fit discipline: fit all scalers on train split only. Add an assertion that scaler.n_features_in_ matches the test split shape before scoring.</w:t>
      </w:r>
    </w:p>
    <w:p>
      <w:pPr>
        <w:spacing w:after="160"/>
      </w:pPr>
      <w:r>
        <w:t xml:space="preserve"/>
      </w:r>
    </w:p>
    <w:p>
      <w:pPr>
        <w:pStyle w:val="Heading2"/>
      </w:pPr>
      <w:r>
        <w:rPr>
          <w:b/>
          <w:bCs/>
          <w:color w:val="2E74B5"/>
          <w:sz w:val="28"/>
          <w:szCs w:val="28"/>
        </w:rPr>
        <w:t xml:space="preserve">5.2 Data Path</w:t>
      </w:r>
    </w:p>
    <w:p>
      <w:pPr>
        <w:spacing w:after="160"/>
      </w:pPr>
      <w:r>
        <w:t xml:space="preserve">Training data should be read from the data/ directory relative to script location. The required files are data/steel_strength.csv and data/material.csv. If either file is absent, the script must exit with a clear error message identifying the missing file rather than raising a generic FileNotFoundError.</w:t>
      </w:r>
    </w:p>
    <w:p>
      <w:pPr>
        <w:spacing w:after="160"/>
      </w:pPr>
      <w:r>
        <w:t xml:space="preserve"/>
      </w:r>
    </w:p>
    <w:p>
      <w:pPr>
        <w:pBdr>
          <w:left w:val="single" w:color="BF8F00" w:sz="12" w:space="4"/>
        </w:pBdr>
        <w:shd w:fill="FFF2CC" w:val="clear"/>
        <w:spacing w:after="160" w:before="120"/>
        <w:ind w:left="360"/>
      </w:pPr>
      <w:r>
        <w:rPr>
          <w:i/>
          <w:iCs/>
          <w:color w:val="7F6000"/>
          <w:sz w:val="20"/>
          <w:szCs w:val="20"/>
        </w:rPr>
        <w:t xml:space="preserve">IMPORTANT: Confirm that data/steel_strength.csv and data/material.csv exist in the correct location before running the training script. If you need to stage these files, do so before executing train_enhanced_steel.py.</w:t>
      </w:r>
    </w:p>
    <w:p>
      <w:pPr>
        <w:spacing w:after="160"/>
      </w:pPr>
      <w:r>
        <w:t xml:space="preserve"/>
      </w:r>
    </w:p>
    <w:p>
      <w:pPr>
        <w:pStyle w:val="Heading1"/>
      </w:pPr>
      <w:r>
        <w:rPr>
          <w:b/>
          <w:bCs/>
          <w:color w:val="1F4E79"/>
          <w:sz w:val="32"/>
          <w:szCs w:val="32"/>
        </w:rPr>
        <w:t xml:space="preserve">6. Backend Scaffold</w:t>
      </w:r>
    </w:p>
    <w:p>
      <w:pPr>
        <w:pStyle w:val="Heading2"/>
      </w:pPr>
      <w:r>
        <w:rPr>
          <w:b/>
          <w:bCs/>
          <w:color w:val="2E74B5"/>
          <w:sz w:val="28"/>
          <w:szCs w:val="28"/>
        </w:rPr>
        <w:t xml:space="preserve">6.1 New Files</w:t>
      </w:r>
    </w:p>
    <w:p>
      <w:pPr>
        <w:pStyle w:val="Heading3"/>
      </w:pPr>
      <w:r>
        <w:rPr>
          <w:b/>
          <w:bCs/>
          <w:color w:val="2E74B5"/>
          <w:sz w:val="24"/>
          <w:szCs w:val="24"/>
        </w:rPr>
        <w:t xml:space="preserve">backend/app/routers/enhanced_steel.py</w:t>
      </w:r>
    </w:p>
    <w:p>
      <w:pPr>
        <w:spacing w:after="160"/>
      </w:pPr>
      <w:r>
        <w:t xml:space="preserve">New FastAPI router at POST /api/predict/enhanced-steel. Accepts EnhancedSteelInput (13 composition fields + repair_cycles: int [0–10] + application: str). Returns full six-module response including SHAP values per module. Appends cost data from cost_service. Returns mock response with full schema when models are not loaded.</w:t>
      </w:r>
    </w:p>
    <w:p>
      <w:pPr>
        <w:spacing w:after="160"/>
      </w:pPr>
      <w:r>
        <w:t xml:space="preserve"/>
      </w:r>
    </w:p>
    <w:p>
      <w:pPr>
        <w:pStyle w:val="Heading3"/>
      </w:pPr>
      <w:r>
        <w:rPr>
          <w:b/>
          <w:bCs/>
          <w:color w:val="2E74B5"/>
          <w:sz w:val="24"/>
          <w:szCs w:val="24"/>
        </w:rPr>
        <w:t xml:space="preserve">backend/app/schemas/enhanced_steel.py</w:t>
      </w:r>
    </w:p>
    <w:p>
      <w:pPr>
        <w:spacing w:after="160"/>
      </w:pPr>
      <w:r>
        <w:t xml:space="preserve">Pydantic models: EnhancedSteelInput (extends SteelInput with repair_cycles constrained ge=0, le=10, and application: str) and EnhancedSteelPrediction (full unified response schema with all six module outputs).</w:t>
      </w:r>
    </w:p>
    <w:p>
      <w:pPr>
        <w:spacing w:after="160"/>
      </w:pPr>
      <w:r>
        <w:t xml:space="preserve"/>
      </w:r>
    </w:p>
    <w:p>
      <w:pPr>
        <w:pStyle w:val="Heading3"/>
      </w:pPr>
      <w:r>
        <w:rPr>
          <w:b/>
          <w:bCs/>
          <w:color w:val="2E74B5"/>
          <w:sz w:val="24"/>
          <w:szCs w:val="24"/>
        </w:rPr>
        <w:t xml:space="preserve">backend/app/services/enhanced_steel_service.py</w:t>
      </w:r>
    </w:p>
    <w:p>
      <w:pPr>
        <w:spacing w:after="160"/>
      </w:pPr>
      <w:r>
        <w:t xml:space="preserve">Orchestration layer calling inference for each of the six modules, running the deterministic recommendation engine, integrating cost via cost_service, and returning the full unified response dict.</w:t>
      </w:r>
    </w:p>
    <w:p>
      <w:pPr>
        <w:spacing w:after="160"/>
      </w:pPr>
      <w:r>
        <w:t xml:space="preserve"/>
      </w:r>
    </w:p>
    <w:p>
      <w:pPr>
        <w:pStyle w:val="Heading3"/>
      </w:pPr>
      <w:r>
        <w:rPr>
          <w:b/>
          <w:bCs/>
          <w:color w:val="2E74B5"/>
          <w:sz w:val="24"/>
          <w:szCs w:val="24"/>
        </w:rPr>
        <w:t xml:space="preserve">backend/app/ml/enhanced_steel_inference.py</w:t>
      </w:r>
    </w:p>
    <w:p>
      <w:pPr>
        <w:spacing w:after="160"/>
      </w:pPr>
      <w:r>
        <w:t xml:space="preserve">Inference functions for the six modules: predict_enhanced_mech(), predict_enhanced_thermal(), predict_enhanced_strength(), predict_enhanced_repair(), predict_enhanced_degrade(), predict_enhanced_use(), and run_recommendation_engine() (deterministic rule-based lookup using the application table in Section 3).</w:t>
      </w:r>
    </w:p>
    <w:p>
      <w:pPr>
        <w:spacing w:after="160"/>
      </w:pPr>
      <w:r>
        <w:t xml:space="preserve"/>
      </w:r>
    </w:p>
    <w:p>
      <w:pPr>
        <w:pStyle w:val="Heading2"/>
      </w:pPr>
      <w:r>
        <w:rPr>
          <w:b/>
          <w:bCs/>
          <w:color w:val="2E74B5"/>
          <w:sz w:val="28"/>
          <w:szCs w:val="28"/>
        </w:rPr>
        <w:t xml:space="preserve">6.2 Modified Files</w:t>
      </w:r>
    </w:p>
    <w:p>
      <w:pPr>
        <w:pStyle w:val="Heading3"/>
      </w:pPr>
      <w:r>
        <w:rPr>
          <w:b/>
          <w:bCs/>
          <w:color w:val="2E74B5"/>
          <w:sz w:val="24"/>
          <w:szCs w:val="24"/>
        </w:rPr>
        <w:t xml:space="preserve">backend/app/ml/loader.py</w:t>
      </w:r>
    </w:p>
    <w:p>
      <w:pPr>
        <w:spacing w:after="160"/>
      </w:pPr>
      <w:r>
        <w:t xml:space="preserve">Add the 10 new model file keys for enhanced steel models (see output files table below).</w:t>
      </w:r>
    </w:p>
    <w:p>
      <w:pPr>
        <w:spacing w:after="160"/>
      </w:pPr>
      <w:r>
        <w:t xml:space="preserve"/>
      </w:r>
    </w:p>
    <w:p>
      <w:pPr>
        <w:pStyle w:val="Heading3"/>
      </w:pPr>
      <w:r>
        <w:rPr>
          <w:b/>
          <w:bCs/>
          <w:color w:val="2E74B5"/>
          <w:sz w:val="24"/>
          <w:szCs w:val="24"/>
        </w:rPr>
        <w:t xml:space="preserve">backend/app/main.py</w:t>
      </w:r>
    </w:p>
    <w:p>
      <w:pPr>
        <w:spacing w:after="160"/>
      </w:pPr>
      <w:r>
        <w:t xml:space="preserve">Import and register the new enhanced_steel router. The existing /api/predict/steel router must remain registered and unchanged.</w:t>
      </w:r>
    </w:p>
    <w:p>
      <w:pPr>
        <w:spacing w:after="160"/>
      </w:pPr>
      <w:r>
        <w:t xml:space="preserve"/>
      </w:r>
    </w:p>
    <w:p>
      <w:pPr>
        <w:pStyle w:val="Heading1"/>
      </w:pPr>
      <w:r>
        <w:rPr>
          <w:b/>
          <w:bCs/>
          <w:color w:val="1F4E79"/>
          <w:sz w:val="32"/>
          <w:szCs w:val="32"/>
        </w:rPr>
        <w:t xml:space="preserve">7. Output Files</w:t>
      </w:r>
    </w:p>
    <w:p>
      <w:pPr>
        <w:spacing w:after="160"/>
      </w:pPr>
      <w:r>
        <w:t xml:space="preserve">The training script produces 10 files, all written to backend/trained_models/: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File</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enhanced_steel_mech_model.pkl + _scaler.pkl</w:t>
            </w:r>
          </w:p>
        </w:tc>
        <w:tc>
          <w:tcPr>
            <w:tcW w:type="dxa" w:w="468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Module A — Mechanical properties (E, G, mu)</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enhanced_steel_thermal_model.pkl + _scaler.pkl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Module B — Thermal &amp; EM (conductivity, Tc, Ro)</w:t>
            </w:r>
          </w:p>
        </w:tc>
      </w:tr>
      <w:tr>
        <w:tc>
          <w:tcPr>
            <w:tcW w:type="dxa" w:w="468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enhanced_steel_strength_model.pkl + _scaler.pkl</w:t>
            </w:r>
          </w:p>
        </w:tc>
        <w:tc>
          <w:tcPr>
            <w:tcW w:type="dxa" w:w="468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Module C — Strength pre-repair (Su, Sy, Elongation)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enhanced_steel_repair_model.pkl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Module D — Post-repair strength (reuses strength scaler)</w:t>
            </w:r>
          </w:p>
        </w:tc>
      </w:tr>
      <w:tr>
        <w:tc>
          <w:tcPr>
            <w:tcW w:type="dxa" w:w="468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enhanced_steel_degrade_model.pkl</w:t>
            </w:r>
          </w:p>
        </w:tc>
        <w:tc>
          <w:tcPr>
            <w:tcW w:type="dxa" w:w="468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Module E — Repair degradation / lifespan index (reuses strength scaler)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enhanced_steel_use_model.pkl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Module F — Use suitability classifier (reuses strength scaler)</w:t>
            </w:r>
          </w:p>
        </w:tc>
      </w:tr>
      <w:tr>
        <w:tc>
          <w:tcPr>
            <w:tcW w:type="dxa" w:w="468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enhanced_steel_feature_meta.json</w:t>
            </w:r>
          </w:p>
        </w:tc>
        <w:tc>
          <w:tcPr>
            <w:tcW w:type="dxa" w:w="468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Feature metadata, scaler paths, module registry</w:t>
            </w:r>
          </w:p>
        </w:tc>
      </w:tr>
    </w:tbl>
    <w:p>
      <w:pPr>
        <w:spacing w:after="160"/>
      </w:pPr>
      <w:r>
        <w:t xml:space="preserve"/>
      </w:r>
    </w:p>
    <w:p>
      <w:pPr>
        <w:pStyle w:val="Heading1"/>
      </w:pPr>
      <w:r>
        <w:rPr>
          <w:b/>
          <w:bCs/>
          <w:color w:val="1F4E79"/>
          <w:sz w:val="32"/>
          <w:szCs w:val="32"/>
        </w:rPr>
        <w:t xml:space="preserve">8. Critical Implementation Rules</w:t>
      </w:r>
    </w:p>
    <w:p>
      <w:pPr>
        <w:pStyle w:val="ListParagraph"/>
        <w:numPr>
          <w:ilvl w:val="0"/>
          <w:numId w:val="2"/>
        </w:numPr>
        <w:spacing w:after="80"/>
      </w:pPr>
      <w:r>
        <w:rPr>
          <w:sz w:val="22"/>
          <w:szCs w:val="22"/>
        </w:rPr>
        <w:t xml:space="preserve">NEVER merge enhanced steel with concrete — incompatible schemas. The concrete module at /api/predict/concrete remains unchanged.</w:t>
      </w:r>
    </w:p>
    <w:p>
      <w:pPr>
        <w:pStyle w:val="ListParagraph"/>
        <w:numPr>
          <w:ilvl w:val="0"/>
          <w:numId w:val="2"/>
        </w:numPr>
        <w:spacing w:after="80"/>
      </w:pPr>
      <w:r>
        <w:rPr>
          <w:sz w:val="22"/>
          <w:szCs w:val="22"/>
        </w:rPr>
        <w:t xml:space="preserve">ALWAYS fit scalers on train set only.</w:t>
      </w:r>
    </w:p>
    <w:p>
      <w:pPr>
        <w:pStyle w:val="ListParagraph"/>
        <w:numPr>
          <w:ilvl w:val="0"/>
          <w:numId w:val="2"/>
        </w:numPr>
        <w:spacing w:after="80"/>
      </w:pPr>
      <w:r>
        <w:rPr>
          <w:sz w:val="22"/>
          <w:szCs w:val="22"/>
        </w:rPr>
        <w:t xml:space="preserve">ALWAYS use random_state=42 on all model instantiations.</w:t>
      </w:r>
    </w:p>
    <w:p>
      <w:pPr>
        <w:pStyle w:val="ListParagraph"/>
        <w:numPr>
          <w:ilvl w:val="0"/>
          <w:numId w:val="2"/>
        </w:numPr>
        <w:spacing w:after="80"/>
      </w:pPr>
      <w:r>
        <w:rPr>
          <w:sz w:val="22"/>
          <w:szCs w:val="22"/>
        </w:rPr>
        <w:t xml:space="preserve">ALWAYS save model AND scaler as separate .pkl files.</w:t>
      </w:r>
    </w:p>
    <w:p>
      <w:pPr>
        <w:pStyle w:val="ListParagraph"/>
        <w:numPr>
          <w:ilvl w:val="0"/>
          <w:numId w:val="2"/>
        </w:numPr>
        <w:spacing w:after="80"/>
      </w:pPr>
      <w:r>
        <w:rPr>
          <w:sz w:val="22"/>
          <w:szCs w:val="22"/>
        </w:rPr>
        <w:t xml:space="preserve">repair_cycles must be integer 0–10 (Pydantic: ge=0, le=10).</w:t>
      </w:r>
    </w:p>
    <w:p>
      <w:pPr>
        <w:pStyle w:val="ListParagraph"/>
        <w:numPr>
          <w:ilvl w:val="0"/>
          <w:numId w:val="2"/>
        </w:numPr>
        <w:spacing w:after="80"/>
      </w:pPr>
      <w:r>
        <w:rPr>
          <w:sz w:val="22"/>
          <w:szCs w:val="22"/>
        </w:rPr>
        <w:t xml:space="preserve">SHAP values are required for all six modules.</w:t>
      </w:r>
    </w:p>
    <w:p>
      <w:pPr>
        <w:pStyle w:val="ListParagraph"/>
        <w:numPr>
          <w:ilvl w:val="0"/>
          <w:numId w:val="2"/>
        </w:numPr>
        <w:spacing w:after="80"/>
      </w:pPr>
      <w:r>
        <w:rPr>
          <w:sz w:val="22"/>
          <w:szCs w:val="22"/>
        </w:rPr>
        <w:t xml:space="preserve">Existing /api/predict/steel must remain unchanged.</w:t>
      </w:r>
    </w:p>
    <w:p>
      <w:pPr>
        <w:pStyle w:val="ListParagraph"/>
        <w:numPr>
          <w:ilvl w:val="0"/>
          <w:numId w:val="2"/>
        </w:numPr>
        <w:spacing w:after="80"/>
      </w:pPr>
      <w:r>
        <w:rPr>
          <w:sz w:val="22"/>
          <w:szCs w:val="22"/>
        </w:rPr>
        <w:t xml:space="preserve">Mock responses must return the full six-module schema.</w:t>
      </w:r>
    </w:p>
    <w:p>
      <w:pPr>
        <w:pStyle w:val="ListParagraph"/>
        <w:numPr>
          <w:ilvl w:val="0"/>
          <w:numId w:val="2"/>
        </w:numPr>
        <w:spacing w:after="80"/>
      </w:pPr>
      <w:r>
        <w:rPr>
          <w:sz w:val="22"/>
          <w:szCs w:val="22"/>
        </w:rPr>
        <w:t xml:space="preserve">Recommendation engine is rule-based (CE threshold + lookup table) — do not use ML for this component.</w:t>
      </w:r>
    </w:p>
    <w:p>
      <w:pPr>
        <w:spacing w:after="160"/>
      </w:pPr>
      <w:r>
        <w:t xml:space="preserve"/>
      </w:r>
    </w:p>
    <w:p>
      <w:pPr>
        <w:pStyle w:val="Heading1"/>
      </w:pPr>
      <w:r>
        <w:rPr>
          <w:b/>
          <w:bCs/>
          <w:color w:val="1F4E79"/>
          <w:sz w:val="32"/>
          <w:szCs w:val="32"/>
        </w:rPr>
        <w:t xml:space="preserve">9. Verification Plan</w:t>
      </w:r>
    </w:p>
    <w:p>
      <w:pPr>
        <w:pStyle w:val="Heading2"/>
      </w:pPr>
      <w:r>
        <w:rPr>
          <w:b/>
          <w:bCs/>
          <w:color w:val="2E74B5"/>
          <w:sz w:val="28"/>
          <w:szCs w:val="28"/>
        </w:rPr>
        <w:t xml:space="preserve">9.1 After Training Script Changes</w:t>
      </w:r>
    </w:p>
    <w:p>
      <w:pPr>
        <w:pStyle w:val="ListParagraph"/>
        <w:numPr>
          <w:ilvl w:val="0"/>
          <w:numId w:val="3"/>
        </w:numPr>
        <w:spacing w:after="80"/>
      </w:pPr>
      <w:r>
        <w:rPr>
          <w:sz w:val="22"/>
          <w:szCs w:val="22"/>
        </w:rPr>
        <w:t xml:space="preserve">Run train_enhanced_steel.py and confirm all 10 .pkl files are written to backend/trained_models/.</w:t>
      </w:r>
    </w:p>
    <w:p>
      <w:pPr>
        <w:pStyle w:val="ListParagraph"/>
        <w:numPr>
          <w:ilvl w:val="0"/>
          <w:numId w:val="3"/>
        </w:numPr>
        <w:spacing w:after="80"/>
      </w:pPr>
      <w:r>
        <w:rPr>
          <w:sz w:val="22"/>
          <w:szCs w:val="22"/>
        </w:rPr>
        <w:t xml:space="preserve">Check printed R² metrics table — all six modules must report pass against document targets.</w:t>
      </w:r>
    </w:p>
    <w:p>
      <w:pPr>
        <w:pStyle w:val="ListParagraph"/>
        <w:numPr>
          <w:ilvl w:val="0"/>
          <w:numId w:val="3"/>
        </w:numPr>
        <w:spacing w:after="80"/>
      </w:pPr>
      <w:r>
        <w:rPr>
          <w:sz w:val="22"/>
          <w:szCs w:val="22"/>
        </w:rPr>
        <w:t xml:space="preserve">Confirm enhanced_steel_feature_meta.json is written and contains correct scaler path references.</w:t>
      </w:r>
    </w:p>
    <w:p>
      <w:pPr>
        <w:spacing w:after="160"/>
      </w:pPr>
      <w:r>
        <w:t xml:space="preserve"/>
      </w:r>
    </w:p>
    <w:p>
      <w:pPr>
        <w:pStyle w:val="Heading2"/>
      </w:pPr>
      <w:r>
        <w:rPr>
          <w:b/>
          <w:bCs/>
          <w:color w:val="2E74B5"/>
          <w:sz w:val="28"/>
          <w:szCs w:val="28"/>
        </w:rPr>
        <w:t xml:space="preserve">9.2 Backend</w:t>
      </w:r>
    </w:p>
    <w:p>
      <w:pPr>
        <w:pStyle w:val="ListParagraph"/>
        <w:numPr>
          <w:ilvl w:val="0"/>
          <w:numId w:val="3"/>
        </w:numPr>
        <w:spacing w:after="80"/>
      </w:pPr>
      <w:r>
        <w:rPr>
          <w:sz w:val="22"/>
          <w:szCs w:val="22"/>
        </w:rPr>
        <w:t xml:space="preserve">Start FastAPI and send POST /api/predict/enhanced-steel with the example composition payload below.</w:t>
      </w:r>
    </w:p>
    <w:p>
      <w:pPr>
        <w:pStyle w:val="ListParagraph"/>
        <w:numPr>
          <w:ilvl w:val="0"/>
          <w:numId w:val="3"/>
        </w:numPr>
        <w:spacing w:after="80"/>
      </w:pPr>
      <w:r>
        <w:rPr>
          <w:sz w:val="22"/>
          <w:szCs w:val="22"/>
        </w:rPr>
        <w:t xml:space="preserve">Verify full six-module JSON response is returned including SHAP arrays and recommendation.</w:t>
      </w:r>
    </w:p>
    <w:p>
      <w:pPr>
        <w:pStyle w:val="ListParagraph"/>
        <w:numPr>
          <w:ilvl w:val="0"/>
          <w:numId w:val="3"/>
        </w:numPr>
        <w:spacing w:after="80"/>
      </w:pPr>
      <w:r>
        <w:rPr>
          <w:sz w:val="22"/>
          <w:szCs w:val="22"/>
        </w:rPr>
        <w:t xml:space="preserve">Verify GET /api/health shows enhanced steel models in loaded state.</w:t>
      </w:r>
    </w:p>
    <w:p>
      <w:pPr>
        <w:pStyle w:val="ListParagraph"/>
        <w:numPr>
          <w:ilvl w:val="0"/>
          <w:numId w:val="3"/>
        </w:numPr>
        <w:spacing w:after="80"/>
      </w:pPr>
      <w:r>
        <w:rPr>
          <w:sz w:val="22"/>
          <w:szCs w:val="22"/>
        </w:rPr>
        <w:t xml:space="preserve">Verify GET /api/predict/steel still responds correctly (regression check).</w:t>
      </w:r>
    </w:p>
    <w:p>
      <w:pPr>
        <w:spacing w:after="160"/>
      </w:pPr>
      <w:r>
        <w:t xml:space="preserve"/>
      </w:r>
    </w:p>
    <w:p>
      <w:pPr>
        <w:pStyle w:val="Heading2"/>
      </w:pPr>
      <w:r>
        <w:rPr>
          <w:b/>
          <w:bCs/>
          <w:color w:val="2E74B5"/>
          <w:sz w:val="28"/>
          <w:szCs w:val="28"/>
        </w:rPr>
        <w:t xml:space="preserve">9.3 Frontend</w:t>
      </w:r>
    </w:p>
    <w:p>
      <w:pPr>
        <w:pStyle w:val="ListParagraph"/>
        <w:numPr>
          <w:ilvl w:val="0"/>
          <w:numId w:val="3"/>
        </w:numPr>
        <w:spacing w:after="80"/>
      </w:pPr>
      <w:r>
        <w:rPr>
          <w:sz w:val="22"/>
          <w:szCs w:val="22"/>
        </w:rPr>
        <w:t xml:space="preserve">Load RepairCurveChart with a test composition and confirm 11 API calls are made (repair_cycles 0–10).</w:t>
      </w:r>
    </w:p>
    <w:p>
      <w:pPr>
        <w:pStyle w:val="ListParagraph"/>
        <w:numPr>
          <w:ilvl w:val="0"/>
          <w:numId w:val="3"/>
        </w:numPr>
        <w:spacing w:after="80"/>
      </w:pPr>
      <w:r>
        <w:rPr>
          <w:sz w:val="22"/>
          <w:szCs w:val="22"/>
        </w:rPr>
        <w:t xml:space="preserve">Confirm pre-repair baseline reference line renders at repair_cycles=0 values.</w:t>
      </w:r>
    </w:p>
    <w:p>
      <w:pPr>
        <w:pStyle w:val="ListParagraph"/>
        <w:numPr>
          <w:ilvl w:val="0"/>
          <w:numId w:val="3"/>
        </w:numPr>
        <w:spacing w:after="80"/>
      </w:pPr>
      <w:r>
        <w:rPr>
          <w:sz w:val="22"/>
          <w:szCs w:val="22"/>
        </w:rPr>
        <w:t xml:space="preserve">Confirm lifespan_index series turns red when repair_cycles exceeds the application max_repair_limit.</w:t>
      </w:r>
    </w:p>
    <w:p>
      <w:pPr>
        <w:pStyle w:val="ListParagraph"/>
        <w:numPr>
          <w:ilvl w:val="0"/>
          <w:numId w:val="3"/>
        </w:numPr>
        <w:spacing w:after="80"/>
      </w:pPr>
      <w:r>
        <w:rPr>
          <w:sz w:val="22"/>
          <w:szCs w:val="22"/>
        </w:rPr>
        <w:t xml:space="preserve">Confirm chart renders correctly in mock mode when models are not loaded.</w:t>
      </w:r>
    </w:p>
    <w:p>
      <w:pPr>
        <w:spacing w:after="160"/>
      </w:pPr>
      <w:r>
        <w:t xml:space="preserve"/>
      </w:r>
    </w:p>
    <w:p>
      <w:pPr>
        <w:pStyle w:val="Heading1"/>
      </w:pPr>
      <w:r>
        <w:rPr>
          <w:b/>
          <w:bCs/>
          <w:color w:val="1F4E79"/>
          <w:sz w:val="32"/>
          <w:szCs w:val="32"/>
        </w:rPr>
        <w:t xml:space="preserve">10. Open Questions</w:t>
      </w:r>
    </w:p>
    <w:p>
      <w:pPr>
        <w:pBdr>
          <w:left w:val="single" w:color="BF8F00" w:sz="12" w:space="4"/>
        </w:pBdr>
        <w:shd w:fill="FFF2CC" w:val="clear"/>
        <w:spacing w:after="160" w:before="120"/>
        <w:ind w:left="360"/>
      </w:pPr>
      <w:r>
        <w:rPr>
          <w:i/>
          <w:iCs/>
          <w:color w:val="7F6000"/>
          <w:sz w:val="20"/>
          <w:szCs w:val="20"/>
        </w:rPr>
        <w:t xml:space="preserve">Q1 — Data files: Confirm that data/steel_strength.csv and data/material.csv exist at the correct path relative to train_enhanced_steel.py before running. These files are required and the script will exit with an informative error if absent.</w:t>
      </w:r>
    </w:p>
    <w:p>
      <w:pPr>
        <w:spacing w:after="160"/>
      </w:pPr>
      <w:r>
        <w:t xml:space="preserve"/>
      </w:r>
    </w:p>
    <w:p>
      <w:pPr>
        <w:pBdr>
          <w:left w:val="single" w:color="2E74B5" w:sz="12" w:space="4"/>
        </w:pBdr>
        <w:shd w:fill="EBF3FB" w:val="clear"/>
        <w:spacing w:after="160" w:before="120"/>
        <w:ind w:left="360"/>
      </w:pPr>
      <w:r>
        <w:rPr>
          <w:i/>
          <w:iCs/>
          <w:color w:val="2E74B5"/>
          <w:sz w:val="20"/>
          <w:szCs w:val="20"/>
        </w:rPr>
        <w:t xml:space="preserve">Q2 — Frontend scope: The document also describes frontend components (EnhancedSteelForm, RepairCurveChart, SHAPPanel). Confirm whether frontend implementation is in scope for the current sprint or whether this plan covers training script and backend API only.</w:t>
      </w:r>
    </w:p>
    <w:p>
      <w:pPr>
        <w:spacing w:after="160"/>
      </w:pPr>
      <w:r>
        <w:t xml:space="preserve"/>
      </w:r>
    </w:p>
    <w:p>
      <w:pPr>
        <w:pBdr>
          <w:top w:val="single" w:color="1F4E79" w:sz="4" w:space="8"/>
        </w:pBdr>
        <w:spacing w:before="480"/>
        <w:jc w:val="center"/>
      </w:pPr>
      <w:r>
        <w:rPr>
          <w:i/>
          <w:iCs/>
          <w:color w:val="595959"/>
          <w:sz w:val="18"/>
          <w:szCs w:val="18"/>
        </w:rPr>
        <w:t xml:space="preserve">MatML v2.0 — Enhanced Steel Module | Steel-Only Implementation Plan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4" w:space="4"/>
      </w:pBd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4B5"/>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2026-04-27T16:43:28.032Z</dcterms:created>
  <dcterms:modified xsi:type="dcterms:W3CDTF">2026-04-27T16:43:28.033Z</dcterms:modified>
</cp:coreProperties>
</file>

<file path=docProps/custom.xml><?xml version="1.0" encoding="utf-8"?>
<Properties xmlns="http://schemas.openxmlformats.org/officeDocument/2006/custom-properties" xmlns:vt="http://schemas.openxmlformats.org/officeDocument/2006/docPropsVTypes"/>
</file>