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color w:val="10B981"/>
          <w:sz w:val="18"/>
        </w:rPr>
        <w:t>ANTIGRAVITY / CLAUDE CODE</w:t>
      </w:r>
    </w:p>
    <w:p>
      <w:pPr>
        <w:jc w:val="left"/>
      </w:pPr>
      <w:r>
        <w:rPr>
          <w:rFonts w:ascii="Arial" w:hAnsi="Arial"/>
          <w:b/>
          <w:color w:val="10B981"/>
          <w:sz w:val="52"/>
        </w:rPr>
        <w:t>MatML — Enhanced Steel Module</w:t>
      </w:r>
    </w:p>
    <w:p>
      <w:pPr>
        <w:spacing w:after="40"/>
        <w:jc w:val="left"/>
      </w:pPr>
      <w:r>
        <w:rPr>
          <w:rFonts w:ascii="Arial" w:hAnsi="Arial"/>
          <w:color w:val="6B7280"/>
          <w:sz w:val="26"/>
        </w:rPr>
        <w:t>Engineering Specification &amp; Integration Guide</w:t>
      </w:r>
    </w:p>
    <w:p>
      <w:pPr>
        <w:jc w:val="left"/>
      </w:pPr>
      <w:r>
        <w:rPr>
          <w:rFonts w:ascii="Arial" w:hAnsi="Arial"/>
          <w:color w:val="6B7280"/>
          <w:sz w:val="20"/>
        </w:rPr>
        <w:t>Version 2.0  ·  April 2026</w:t>
      </w:r>
    </w:p>
    <w:p>
      <w:pPr>
        <w:pBdr>
          <w:bottom w:val="single" w:sz="6" w:space="1" w:color="10B981"/>
        </w:pBd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F0FDF7"/>
          </w:tcPr>
          <w:p/>
          <w:p>
            <w:pPr>
              <w:spacing w:after="80"/>
              <w:ind w:left="144"/>
            </w:pPr>
            <w:r>
              <w:rPr>
                <w:rFonts w:ascii="Arial" w:hAnsi="Arial"/>
                <w:b/>
                <w:color w:val="1F2A24"/>
                <w:sz w:val="22"/>
              </w:rPr>
              <w:t>Executive summary</w:t>
            </w:r>
          </w:p>
          <w:p>
            <w:pPr>
              <w:spacing w:after="80"/>
              <w:ind w:left="144"/>
            </w:pPr>
            <w:r>
              <w:rPr>
                <w:rFonts w:ascii="Arial" w:hAnsi="Arial"/>
                <w:b w:val="0"/>
                <w:color w:val="0A0A0A"/>
                <w:sz w:val="8"/>
              </w:rPr>
            </w:r>
          </w:p>
          <w:p>
            <w:pPr>
              <w:spacing w:after="80"/>
              <w:ind w:left="144"/>
            </w:pPr>
            <w:r>
              <w:rPr>
                <w:rFonts w:ascii="Arial" w:hAnsi="Arial"/>
                <w:b w:val="0"/>
                <w:color w:val="0A0A0A"/>
                <w:sz w:val="20"/>
              </w:rPr>
              <w:t>This document specifies all changes required to upgrade the deployed MatML dashboard at https://matml.onrender.com. The upgrade merges the steel composition dataset with the materials mechanical properties dataset to create a unified six-module prediction engine for steel. It adds prediction of elastic properties (E, G, mu), thermal/EM properties (conductivity, critical temperature, density), pre- and post-repair strength, multi-cycle repair degradation, and a real-world recommendation engine that returns steel grade name, estimated lifespan, repair tolerance, and suitability verdict.</w:t>
            </w:r>
          </w:p>
        </w:tc>
      </w:tr>
    </w:tbl>
    <w:p>
      <w:pPr>
        <w:spacing w:after="200"/>
      </w:pPr>
    </w:p>
    <w:p>
      <w:pPr>
        <w:spacing w:before="360" w:after="120"/>
        <w:jc w:val="left"/>
      </w:pPr>
      <w:r>
        <w:rPr>
          <w:rFonts w:ascii="Arial" w:hAnsi="Arial"/>
          <w:b/>
          <w:color w:val="1F2A24"/>
          <w:sz w:val="32"/>
        </w:rPr>
        <w:t>1.  What changes and why</w:t>
      </w:r>
    </w:p>
    <w:p>
      <w:pPr>
        <w:pBdr>
          <w:bottom w:val="single" w:sz="6" w:space="1" w:color="CCCCCC"/>
        </w:pBdr>
        <w:spacing w:after="160"/>
      </w:pPr>
    </w:p>
    <w:p>
      <w:pPr>
        <w:spacing w:after="120"/>
      </w:pPr>
      <w:r>
        <w:rPr>
          <w:rFonts w:ascii="Arial" w:hAnsi="Arial"/>
          <w:i w:val="0"/>
          <w:color w:val="0A0A0A"/>
          <w:sz w:val="21"/>
        </w:rPr>
        <w:t>The current MatML dashboard separates steel and materials into independent prediction modules. Each accepts a narrow input set and returns a single class of property. This is limiting for practising engineers who need to evaluate a steel alloy holistically — elastic stiffness, thermal behaviour, failure strength before and after field repairs, and a plain-language recommendation for which grade to specify and how long it will last.</w:t>
      </w:r>
    </w:p>
    <w:p>
      <w:pPr>
        <w:spacing w:before="240" w:after="80"/>
        <w:jc w:val="left"/>
      </w:pPr>
      <w:r>
        <w:rPr>
          <w:rFonts w:ascii="Arial" w:hAnsi="Arial"/>
          <w:b/>
          <w:color w:val="1F2A24"/>
          <w:sz w:val="24"/>
        </w:rPr>
        <w:t>1.1  Problems with the current design</w:t>
      </w:r>
    </w:p>
    <w:p>
      <w:pPr>
        <w:pStyle w:val="ListBullet"/>
        <w:spacing w:after="60"/>
        <w:ind w:left="432"/>
      </w:pPr>
      <w:r>
        <w:rPr>
          <w:rFonts w:ascii="Arial" w:hAnsi="Arial"/>
          <w:color w:val="0A0A0A"/>
          <w:sz w:val="20"/>
        </w:rPr>
        <w:t>Steel tab predicts yield strength, tensile strength, and elongation only — no elastic moduli, no thermal properties.</w:t>
      </w:r>
    </w:p>
    <w:p>
      <w:pPr>
        <w:pStyle w:val="ListBullet"/>
        <w:spacing w:after="60"/>
        <w:ind w:left="432"/>
      </w:pPr>
      <w:r>
        <w:rPr>
          <w:rFonts w:ascii="Arial" w:hAnsi="Arial"/>
          <w:color w:val="0A0A0A"/>
          <w:sz w:val="20"/>
        </w:rPr>
        <w:t>Materials tab predicts Su, Sy, and suitability but cannot accept composition input — only E, G, mu, Ro.</w:t>
      </w:r>
    </w:p>
    <w:p>
      <w:pPr>
        <w:pStyle w:val="ListBullet"/>
        <w:spacing w:after="60"/>
        <w:ind w:left="432"/>
      </w:pPr>
      <w:r>
        <w:rPr>
          <w:rFonts w:ascii="Arial" w:hAnsi="Arial"/>
          <w:color w:val="0A0A0A"/>
          <w:sz w:val="20"/>
        </w:rPr>
        <w:t>No post-repair or multi-repair degradation prediction anywhere in the system.</w:t>
      </w:r>
    </w:p>
    <w:p>
      <w:pPr>
        <w:pStyle w:val="ListBullet"/>
        <w:spacing w:after="60"/>
        <w:ind w:left="432"/>
      </w:pPr>
      <w:r>
        <w:rPr>
          <w:rFonts w:ascii="Arial" w:hAnsi="Arial"/>
          <w:color w:val="0A0A0A"/>
          <w:sz w:val="20"/>
        </w:rPr>
        <w:t>No real-world recommendation — the engineer must interpret raw numbers themselves.</w:t>
      </w:r>
    </w:p>
    <w:p>
      <w:pPr>
        <w:pStyle w:val="ListBullet"/>
        <w:spacing w:after="60"/>
        <w:ind w:left="432"/>
      </w:pPr>
      <w:r>
        <w:rPr>
          <w:rFonts w:ascii="Arial" w:hAnsi="Arial"/>
          <w:color w:val="0A0A0A"/>
          <w:sz w:val="20"/>
        </w:rPr>
        <w:t>Two separate tabs force redundant data entry for closely related datasets.</w:t>
      </w:r>
    </w:p>
    <w:p>
      <w:pPr>
        <w:spacing w:before="240" w:after="80"/>
        <w:jc w:val="left"/>
      </w:pPr>
      <w:r>
        <w:rPr>
          <w:rFonts w:ascii="Arial" w:hAnsi="Arial"/>
          <w:b/>
          <w:color w:val="1F2A24"/>
          <w:sz w:val="24"/>
        </w:rPr>
        <w:t>1.2  Solution overview</w:t>
      </w:r>
    </w:p>
    <w:p>
      <w:pPr>
        <w:spacing w:after="120"/>
      </w:pPr>
      <w:r>
        <w:rPr>
          <w:rFonts w:ascii="Arial" w:hAnsi="Arial"/>
          <w:i w:val="0"/>
          <w:color w:val="0A0A0A"/>
          <w:sz w:val="21"/>
        </w:rPr>
        <w:t>Merge steel_strength.csv and material.csv into a single augmented dataset. Augment the steel dataset with physics-derived elastic, thermal, and repair properties. Train six specialist models. Expose everything through a single new "Enhanced Steel Analysis" tab in the React frontend. Add a recommendation engine that maps model outputs to real steel grade names and human-readable verdicts.</w:t>
      </w:r>
    </w:p>
    <w:p>
      <w:pPr>
        <w:spacing w:after="160"/>
      </w:pPr>
    </w:p>
    <w:p>
      <w:pPr>
        <w:spacing w:before="360" w:after="120"/>
        <w:jc w:val="left"/>
      </w:pPr>
      <w:r>
        <w:rPr>
          <w:rFonts w:ascii="Arial" w:hAnsi="Arial"/>
          <w:b/>
          <w:color w:val="1F2A24"/>
          <w:sz w:val="32"/>
        </w:rPr>
        <w:t>2.  Six-module prediction engine</w:t>
      </w:r>
    </w:p>
    <w:p>
      <w:pPr>
        <w:pBdr>
          <w:bottom w:val="single" w:sz="6" w:space="1" w:color="CCCCCC"/>
        </w:pBdr>
        <w:spacing w:after="160"/>
      </w:pPr>
    </w:p>
    <w:p>
      <w:pPr>
        <w:spacing w:after="120"/>
      </w:pPr>
      <w:r>
        <w:rPr>
          <w:rFonts w:ascii="Arial" w:hAnsi="Arial"/>
          <w:i w:val="0"/>
          <w:color w:val="0A0A0A"/>
          <w:sz w:val="21"/>
        </w:rPr>
        <w:t>All six modules share a single input: the 13 steel composition features (wt%).</w:t>
      </w:r>
    </w:p>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0D3D2B"/>
            <w:vAlign w:val="center"/>
          </w:tcPr>
          <w:p>
            <w:pPr>
              <w:jc w:val="center"/>
            </w:pPr>
            <w:r>
              <w:rPr>
                <w:rFonts w:ascii="Arial" w:hAnsi="Arial"/>
                <w:b/>
                <w:i w:val="0"/>
                <w:color w:val="FFFFFF"/>
                <w:sz w:val="19"/>
              </w:rPr>
              <w:t>Module</w:t>
            </w:r>
          </w:p>
        </w:tc>
        <w:tc>
          <w:tcPr>
            <w:tcW w:type="dxa" w:w="2268"/>
            <w:shd w:val="clear" w:color="auto" w:fill="0D3D2B"/>
            <w:vAlign w:val="center"/>
          </w:tcPr>
          <w:p>
            <w:pPr>
              <w:jc w:val="center"/>
            </w:pPr>
            <w:r>
              <w:rPr>
                <w:rFonts w:ascii="Arial" w:hAnsi="Arial"/>
                <w:b/>
                <w:i w:val="0"/>
                <w:color w:val="FFFFFF"/>
                <w:sz w:val="19"/>
              </w:rPr>
              <w:t>Outputs</w:t>
            </w:r>
          </w:p>
        </w:tc>
        <w:tc>
          <w:tcPr>
            <w:tcW w:type="dxa" w:w="2268"/>
            <w:shd w:val="clear" w:color="auto" w:fill="0D3D2B"/>
            <w:vAlign w:val="center"/>
          </w:tcPr>
          <w:p>
            <w:pPr>
              <w:jc w:val="center"/>
            </w:pPr>
            <w:r>
              <w:rPr>
                <w:rFonts w:ascii="Arial" w:hAnsi="Arial"/>
                <w:b/>
                <w:i w:val="0"/>
                <w:color w:val="FFFFFF"/>
                <w:sz w:val="19"/>
              </w:rPr>
              <w:t>Method</w:t>
            </w:r>
          </w:p>
        </w:tc>
        <w:tc>
          <w:tcPr>
            <w:tcW w:type="dxa" w:w="2268"/>
            <w:shd w:val="clear" w:color="auto" w:fill="0D3D2B"/>
            <w:vAlign w:val="center"/>
          </w:tcPr>
          <w:p>
            <w:pPr>
              <w:jc w:val="center"/>
            </w:pPr>
            <w:r>
              <w:rPr>
                <w:rFonts w:ascii="Arial" w:hAnsi="Arial"/>
                <w:b/>
                <w:i w:val="0"/>
                <w:color w:val="FFFFFF"/>
                <w:sz w:val="19"/>
              </w:rPr>
              <w:t>Target metric</w:t>
            </w:r>
          </w:p>
        </w:tc>
      </w:tr>
      <w:tr>
        <w:tc>
          <w:tcPr>
            <w:tcW w:type="dxa" w:w="2268"/>
            <w:shd w:val="clear" w:color="auto" w:fill="FFFFFF"/>
            <w:vAlign w:val="top"/>
          </w:tcPr>
          <w:p>
            <w:pPr>
              <w:spacing w:after="40"/>
              <w:ind w:left="72"/>
            </w:pPr>
            <w:r>
              <w:rPr>
                <w:rFonts w:ascii="Arial" w:hAnsi="Arial"/>
                <w:b/>
                <w:color w:val="1F2A24"/>
                <w:sz w:val="18"/>
              </w:rPr>
              <w:t>A — Mechanical</w:t>
            </w:r>
          </w:p>
        </w:tc>
        <w:tc>
          <w:tcPr>
            <w:tcW w:type="dxa" w:w="2268"/>
            <w:shd w:val="clear" w:color="auto" w:fill="FFFFFF"/>
            <w:vAlign w:val="top"/>
          </w:tcPr>
          <w:p>
            <w:pPr>
              <w:spacing w:after="40"/>
              <w:ind w:left="72"/>
            </w:pPr>
            <w:r>
              <w:rPr>
                <w:rFonts w:ascii="Arial" w:hAnsi="Arial"/>
                <w:b w:val="0"/>
                <w:color w:val="1F2A24"/>
                <w:sz w:val="18"/>
              </w:rPr>
              <w:t>E (Young's, MPa)</w:t>
            </w:r>
          </w:p>
          <w:p>
            <w:pPr>
              <w:spacing w:after="40"/>
              <w:ind w:left="72"/>
            </w:pPr>
            <w:r>
              <w:rPr>
                <w:rFonts w:ascii="Arial" w:hAnsi="Arial"/>
                <w:b w:val="0"/>
                <w:color w:val="6B7280"/>
                <w:sz w:val="18"/>
              </w:rPr>
              <w:t>G (Shear, MPa)</w:t>
            </w:r>
          </w:p>
          <w:p>
            <w:pPr>
              <w:spacing w:after="40"/>
              <w:ind w:left="72"/>
            </w:pPr>
            <w:r>
              <w:rPr>
                <w:rFonts w:ascii="Arial" w:hAnsi="Arial"/>
                <w:b w:val="0"/>
                <w:color w:val="6B7280"/>
                <w:sz w:val="18"/>
              </w:rPr>
              <w:t>mu (Poisson's ratio)</w:t>
            </w:r>
          </w:p>
        </w:tc>
        <w:tc>
          <w:tcPr>
            <w:tcW w:type="dxa" w:w="2268"/>
            <w:shd w:val="clear" w:color="auto" w:fill="FFFFFF"/>
            <w:vAlign w:val="top"/>
          </w:tcPr>
          <w:p>
            <w:pPr>
              <w:spacing w:after="40"/>
              <w:ind w:left="72"/>
            </w:pPr>
            <w:r>
              <w:rPr>
                <w:rFonts w:ascii="Arial" w:hAnsi="Arial"/>
                <w:b w:val="0"/>
                <w:color w:val="1F2A24"/>
                <w:sz w:val="18"/>
              </w:rPr>
              <w:t>MultiOutput RF or XGB</w:t>
            </w:r>
          </w:p>
          <w:p>
            <w:pPr>
              <w:spacing w:after="40"/>
              <w:ind w:left="72"/>
            </w:pPr>
            <w:r>
              <w:rPr>
                <w:rFonts w:ascii="Arial" w:hAnsi="Arial"/>
                <w:b w:val="0"/>
                <w:color w:val="6B7280"/>
                <w:sz w:val="18"/>
              </w:rPr>
              <w:t>Composition → elastic properties</w:t>
            </w:r>
          </w:p>
          <w:p>
            <w:pPr>
              <w:spacing w:after="40"/>
              <w:ind w:left="72"/>
            </w:pPr>
            <w:r>
              <w:rPr>
                <w:rFonts w:ascii="Arial" w:hAnsi="Arial"/>
                <w:b w:val="0"/>
                <w:color w:val="6B7280"/>
                <w:sz w:val="18"/>
              </w:rPr>
              <w:t>via mix-rule regression</w:t>
            </w:r>
          </w:p>
        </w:tc>
        <w:tc>
          <w:tcPr>
            <w:tcW w:type="dxa" w:w="2268"/>
            <w:shd w:val="clear" w:color="auto" w:fill="FFFFFF"/>
            <w:vAlign w:val="top"/>
          </w:tcPr>
          <w:p>
            <w:pPr>
              <w:spacing w:after="40"/>
              <w:ind w:left="72"/>
            </w:pPr>
            <w:r>
              <w:rPr>
                <w:rFonts w:ascii="Arial" w:hAnsi="Arial"/>
                <w:b w:val="0"/>
                <w:color w:val="1F2A24"/>
                <w:sz w:val="18"/>
              </w:rPr>
              <w:t>R² &gt; 0.88</w:t>
            </w:r>
          </w:p>
        </w:tc>
      </w:tr>
      <w:tr>
        <w:tc>
          <w:tcPr>
            <w:tcW w:type="dxa" w:w="2268"/>
            <w:shd w:val="clear" w:color="auto" w:fill="F8FFFE"/>
            <w:vAlign w:val="top"/>
          </w:tcPr>
          <w:p>
            <w:pPr>
              <w:spacing w:after="40"/>
              <w:ind w:left="72"/>
            </w:pPr>
            <w:r>
              <w:rPr>
                <w:rFonts w:ascii="Arial" w:hAnsi="Arial"/>
                <w:b/>
                <w:color w:val="1F2A24"/>
                <w:sz w:val="18"/>
              </w:rPr>
              <w:t>B — Thermal / EM</w:t>
            </w:r>
          </w:p>
        </w:tc>
        <w:tc>
          <w:tcPr>
            <w:tcW w:type="dxa" w:w="2268"/>
            <w:shd w:val="clear" w:color="auto" w:fill="F8FFFE"/>
            <w:vAlign w:val="top"/>
          </w:tcPr>
          <w:p>
            <w:pPr>
              <w:spacing w:after="40"/>
              <w:ind w:left="72"/>
            </w:pPr>
            <w:r>
              <w:rPr>
                <w:rFonts w:ascii="Arial" w:hAnsi="Arial"/>
                <w:b w:val="0"/>
                <w:color w:val="1F2A24"/>
                <w:sz w:val="18"/>
              </w:rPr>
              <w:t>Thermal conductivity (W/m·K)</w:t>
            </w:r>
          </w:p>
          <w:p>
            <w:pPr>
              <w:spacing w:after="40"/>
              <w:ind w:left="72"/>
            </w:pPr>
            <w:r>
              <w:rPr>
                <w:rFonts w:ascii="Arial" w:hAnsi="Arial"/>
                <w:b w:val="0"/>
                <w:color w:val="6B7280"/>
                <w:sz w:val="18"/>
              </w:rPr>
              <w:t>Critical service temp (°C)</w:t>
            </w:r>
          </w:p>
          <w:p>
            <w:pPr>
              <w:spacing w:after="40"/>
              <w:ind w:left="72"/>
            </w:pPr>
            <w:r>
              <w:rPr>
                <w:rFonts w:ascii="Arial" w:hAnsi="Arial"/>
                <w:b w:val="0"/>
                <w:color w:val="6B7280"/>
                <w:sz w:val="18"/>
              </w:rPr>
              <w:t>Density (kg/m³)</w:t>
            </w:r>
          </w:p>
        </w:tc>
        <w:tc>
          <w:tcPr>
            <w:tcW w:type="dxa" w:w="2268"/>
            <w:shd w:val="clear" w:color="auto" w:fill="F8FFFE"/>
            <w:vAlign w:val="top"/>
          </w:tcPr>
          <w:p>
            <w:pPr>
              <w:spacing w:after="40"/>
              <w:ind w:left="72"/>
            </w:pPr>
            <w:r>
              <w:rPr>
                <w:rFonts w:ascii="Arial" w:hAnsi="Arial"/>
                <w:b w:val="0"/>
                <w:color w:val="1F2A24"/>
                <w:sz w:val="18"/>
              </w:rPr>
              <w:t>MultiOutput RF</w:t>
            </w:r>
          </w:p>
          <w:p>
            <w:pPr>
              <w:spacing w:after="40"/>
              <w:ind w:left="72"/>
            </w:pPr>
            <w:r>
              <w:rPr>
                <w:rFonts w:ascii="Arial" w:hAnsi="Arial"/>
                <w:b w:val="0"/>
                <w:color w:val="6B7280"/>
                <w:sz w:val="18"/>
              </w:rPr>
              <w:t>Wiedemann-Franz relation</w:t>
            </w:r>
          </w:p>
          <w:p>
            <w:pPr>
              <w:spacing w:after="40"/>
              <w:ind w:left="72"/>
            </w:pPr>
            <w:r>
              <w:rPr>
                <w:rFonts w:ascii="Arial" w:hAnsi="Arial"/>
                <w:b w:val="0"/>
                <w:color w:val="6B7280"/>
                <w:sz w:val="18"/>
              </w:rPr>
              <w:t>for conductivity baseline</w:t>
            </w:r>
          </w:p>
        </w:tc>
        <w:tc>
          <w:tcPr>
            <w:tcW w:type="dxa" w:w="2268"/>
            <w:shd w:val="clear" w:color="auto" w:fill="F8FFFE"/>
            <w:vAlign w:val="top"/>
          </w:tcPr>
          <w:p>
            <w:pPr>
              <w:spacing w:after="40"/>
              <w:ind w:left="72"/>
            </w:pPr>
            <w:r>
              <w:rPr>
                <w:rFonts w:ascii="Arial" w:hAnsi="Arial"/>
                <w:b w:val="0"/>
                <w:color w:val="1F2A24"/>
                <w:sz w:val="18"/>
              </w:rPr>
              <w:t>R² &gt; 0.85</w:t>
            </w:r>
          </w:p>
        </w:tc>
      </w:tr>
      <w:tr>
        <w:tc>
          <w:tcPr>
            <w:tcW w:type="dxa" w:w="2268"/>
            <w:shd w:val="clear" w:color="auto" w:fill="FFFFFF"/>
            <w:vAlign w:val="top"/>
          </w:tcPr>
          <w:p>
            <w:pPr>
              <w:spacing w:after="40"/>
              <w:ind w:left="72"/>
            </w:pPr>
            <w:r>
              <w:rPr>
                <w:rFonts w:ascii="Arial" w:hAnsi="Arial"/>
                <w:b/>
                <w:color w:val="1F2A24"/>
                <w:sz w:val="18"/>
              </w:rPr>
              <w:t>C — Strength (pre-repair)</w:t>
            </w:r>
          </w:p>
        </w:tc>
        <w:tc>
          <w:tcPr>
            <w:tcW w:type="dxa" w:w="2268"/>
            <w:shd w:val="clear" w:color="auto" w:fill="FFFFFF"/>
            <w:vAlign w:val="top"/>
          </w:tcPr>
          <w:p>
            <w:pPr>
              <w:spacing w:after="40"/>
              <w:ind w:left="72"/>
            </w:pPr>
            <w:r>
              <w:rPr>
                <w:rFonts w:ascii="Arial" w:hAnsi="Arial"/>
                <w:b w:val="0"/>
                <w:color w:val="1F2A24"/>
                <w:sz w:val="18"/>
              </w:rPr>
              <w:t>Su — ultimate tensile (MPa)</w:t>
            </w:r>
          </w:p>
          <w:p>
            <w:pPr>
              <w:spacing w:after="40"/>
              <w:ind w:left="72"/>
            </w:pPr>
            <w:r>
              <w:rPr>
                <w:rFonts w:ascii="Arial" w:hAnsi="Arial"/>
                <w:b w:val="0"/>
                <w:color w:val="6B7280"/>
                <w:sz w:val="18"/>
              </w:rPr>
              <w:t>Sy — yield (MPa)</w:t>
            </w:r>
          </w:p>
          <w:p>
            <w:pPr>
              <w:spacing w:after="40"/>
              <w:ind w:left="72"/>
            </w:pPr>
            <w:r>
              <w:rPr>
                <w:rFonts w:ascii="Arial" w:hAnsi="Arial"/>
                <w:b w:val="0"/>
                <w:color w:val="6B7280"/>
                <w:sz w:val="18"/>
              </w:rPr>
              <w:t>Elongation (%)</w:t>
            </w:r>
          </w:p>
        </w:tc>
        <w:tc>
          <w:tcPr>
            <w:tcW w:type="dxa" w:w="2268"/>
            <w:shd w:val="clear" w:color="auto" w:fill="FFFFFF"/>
            <w:vAlign w:val="top"/>
          </w:tcPr>
          <w:p>
            <w:pPr>
              <w:spacing w:after="40"/>
              <w:ind w:left="72"/>
            </w:pPr>
            <w:r>
              <w:rPr>
                <w:rFonts w:ascii="Arial" w:hAnsi="Arial"/>
                <w:b w:val="0"/>
                <w:color w:val="1F2A24"/>
                <w:sz w:val="18"/>
              </w:rPr>
              <w:t>MultiOutput XGB</w:t>
            </w:r>
          </w:p>
          <w:p>
            <w:pPr>
              <w:spacing w:after="40"/>
              <w:ind w:left="72"/>
            </w:pPr>
            <w:r>
              <w:rPr>
                <w:rFonts w:ascii="Arial" w:hAnsi="Arial"/>
                <w:b w:val="0"/>
                <w:color w:val="6B7280"/>
                <w:sz w:val="18"/>
              </w:rPr>
              <w:t>Same as existing steel tab</w:t>
            </w:r>
          </w:p>
          <w:p>
            <w:pPr>
              <w:spacing w:after="40"/>
              <w:ind w:left="72"/>
            </w:pPr>
            <w:r>
              <w:rPr>
                <w:rFonts w:ascii="Arial" w:hAnsi="Arial"/>
                <w:b w:val="0"/>
                <w:color w:val="6B7280"/>
                <w:sz w:val="18"/>
              </w:rPr>
              <w:t>but unified pipeline</w:t>
            </w:r>
          </w:p>
        </w:tc>
        <w:tc>
          <w:tcPr>
            <w:tcW w:type="dxa" w:w="2268"/>
            <w:shd w:val="clear" w:color="auto" w:fill="FFFFFF"/>
            <w:vAlign w:val="top"/>
          </w:tcPr>
          <w:p>
            <w:pPr>
              <w:spacing w:after="40"/>
              <w:ind w:left="72"/>
            </w:pPr>
            <w:r>
              <w:rPr>
                <w:rFonts w:ascii="Arial" w:hAnsi="Arial"/>
                <w:b w:val="0"/>
                <w:color w:val="1F2A24"/>
                <w:sz w:val="18"/>
              </w:rPr>
              <w:t>R² &gt; 0.90</w:t>
            </w:r>
          </w:p>
        </w:tc>
      </w:tr>
      <w:tr>
        <w:tc>
          <w:tcPr>
            <w:tcW w:type="dxa" w:w="2268"/>
            <w:shd w:val="clear" w:color="auto" w:fill="F8FFFE"/>
            <w:vAlign w:val="top"/>
          </w:tcPr>
          <w:p>
            <w:pPr>
              <w:spacing w:after="40"/>
              <w:ind w:left="72"/>
            </w:pPr>
            <w:r>
              <w:rPr>
                <w:rFonts w:ascii="Arial" w:hAnsi="Arial"/>
                <w:b/>
                <w:color w:val="1F2A24"/>
                <w:sz w:val="18"/>
              </w:rPr>
              <w:t>D — Post-repair strength</w:t>
            </w:r>
          </w:p>
        </w:tc>
        <w:tc>
          <w:tcPr>
            <w:tcW w:type="dxa" w:w="2268"/>
            <w:shd w:val="clear" w:color="auto" w:fill="F8FFFE"/>
            <w:vAlign w:val="top"/>
          </w:tcPr>
          <w:p>
            <w:pPr>
              <w:spacing w:after="40"/>
              <w:ind w:left="72"/>
            </w:pPr>
            <w:r>
              <w:rPr>
                <w:rFonts w:ascii="Arial" w:hAnsi="Arial"/>
                <w:b w:val="0"/>
                <w:color w:val="1F2A24"/>
                <w:sz w:val="18"/>
              </w:rPr>
              <w:t>Su_post (MPa)</w:t>
            </w:r>
          </w:p>
          <w:p>
            <w:pPr>
              <w:spacing w:after="40"/>
              <w:ind w:left="72"/>
            </w:pPr>
            <w:r>
              <w:rPr>
                <w:rFonts w:ascii="Arial" w:hAnsi="Arial"/>
                <w:b w:val="0"/>
                <w:color w:val="6B7280"/>
                <w:sz w:val="18"/>
              </w:rPr>
              <w:t>Sy_post (MPa)</w:t>
            </w:r>
          </w:p>
          <w:p>
            <w:pPr>
              <w:spacing w:after="40"/>
              <w:ind w:left="72"/>
            </w:pPr>
            <w:r>
              <w:rPr>
                <w:rFonts w:ascii="Arial" w:hAnsi="Arial"/>
                <w:b w:val="0"/>
                <w:color w:val="6B7280"/>
                <w:sz w:val="18"/>
              </w:rPr>
              <w:t>(after one weld cycle)</w:t>
            </w:r>
          </w:p>
        </w:tc>
        <w:tc>
          <w:tcPr>
            <w:tcW w:type="dxa" w:w="2268"/>
            <w:shd w:val="clear" w:color="auto" w:fill="F8FFFE"/>
            <w:vAlign w:val="top"/>
          </w:tcPr>
          <w:p>
            <w:pPr>
              <w:spacing w:after="40"/>
              <w:ind w:left="72"/>
            </w:pPr>
            <w:r>
              <w:rPr>
                <w:rFonts w:ascii="Arial" w:hAnsi="Arial"/>
                <w:b w:val="0"/>
                <w:color w:val="1F2A24"/>
                <w:sz w:val="18"/>
              </w:rPr>
              <w:t>MultiOutput RF</w:t>
            </w:r>
          </w:p>
          <w:p>
            <w:pPr>
              <w:spacing w:after="40"/>
              <w:ind w:left="72"/>
            </w:pPr>
            <w:r>
              <w:rPr>
                <w:rFonts w:ascii="Arial" w:hAnsi="Arial"/>
                <w:b w:val="0"/>
                <w:color w:val="6B7280"/>
                <w:sz w:val="18"/>
              </w:rPr>
              <w:t>Carbon-equivalent HAZ model</w:t>
            </w:r>
          </w:p>
          <w:p>
            <w:pPr>
              <w:spacing w:after="40"/>
              <w:ind w:left="72"/>
            </w:pPr>
            <w:r>
              <w:rPr>
                <w:rFonts w:ascii="Arial" w:hAnsi="Arial"/>
                <w:b w:val="0"/>
                <w:color w:val="6B7280"/>
                <w:sz w:val="18"/>
              </w:rPr>
              <w:t>repair_factor × original Sy</w:t>
            </w:r>
          </w:p>
        </w:tc>
        <w:tc>
          <w:tcPr>
            <w:tcW w:type="dxa" w:w="2268"/>
            <w:shd w:val="clear" w:color="auto" w:fill="F8FFFE"/>
            <w:vAlign w:val="top"/>
          </w:tcPr>
          <w:p>
            <w:pPr>
              <w:spacing w:after="40"/>
              <w:ind w:left="72"/>
            </w:pPr>
            <w:r>
              <w:rPr>
                <w:rFonts w:ascii="Arial" w:hAnsi="Arial"/>
                <w:b w:val="0"/>
                <w:color w:val="1F2A24"/>
                <w:sz w:val="18"/>
              </w:rPr>
              <w:t>R² &gt; 0.87</w:t>
            </w:r>
          </w:p>
        </w:tc>
      </w:tr>
      <w:tr>
        <w:tc>
          <w:tcPr>
            <w:tcW w:type="dxa" w:w="2268"/>
            <w:shd w:val="clear" w:color="auto" w:fill="FFFFFF"/>
            <w:vAlign w:val="top"/>
          </w:tcPr>
          <w:p>
            <w:pPr>
              <w:spacing w:after="40"/>
              <w:ind w:left="72"/>
            </w:pPr>
            <w:r>
              <w:rPr>
                <w:rFonts w:ascii="Arial" w:hAnsi="Arial"/>
                <w:b/>
                <w:color w:val="1F2A24"/>
                <w:sz w:val="18"/>
              </w:rPr>
              <w:t>E — Repair degradation</w:t>
            </w:r>
          </w:p>
        </w:tc>
        <w:tc>
          <w:tcPr>
            <w:tcW w:type="dxa" w:w="2268"/>
            <w:shd w:val="clear" w:color="auto" w:fill="FFFFFF"/>
            <w:vAlign w:val="top"/>
          </w:tcPr>
          <w:p>
            <w:pPr>
              <w:spacing w:after="40"/>
              <w:ind w:left="72"/>
            </w:pPr>
            <w:r>
              <w:rPr>
                <w:rFonts w:ascii="Arial" w:hAnsi="Arial"/>
                <w:b w:val="0"/>
                <w:color w:val="1F2A24"/>
                <w:sz w:val="18"/>
              </w:rPr>
              <w:t>Lifespan index (0–1)</w:t>
            </w:r>
          </w:p>
          <w:p>
            <w:pPr>
              <w:spacing w:after="40"/>
              <w:ind w:left="72"/>
            </w:pPr>
            <w:r>
              <w:rPr>
                <w:rFonts w:ascii="Arial" w:hAnsi="Arial"/>
                <w:b w:val="0"/>
                <w:color w:val="6B7280"/>
                <w:sz w:val="18"/>
              </w:rPr>
              <w:t>Residual strength at N repairs</w:t>
            </w:r>
          </w:p>
          <w:p>
            <w:pPr>
              <w:spacing w:after="40"/>
              <w:ind w:left="72"/>
            </w:pPr>
            <w:r>
              <w:rPr>
                <w:rFonts w:ascii="Arial" w:hAnsi="Arial"/>
                <w:b w:val="0"/>
                <w:color w:val="6B7280"/>
                <w:sz w:val="18"/>
              </w:rPr>
              <w:t>(simulate up to 10 cycles)</w:t>
            </w:r>
          </w:p>
        </w:tc>
        <w:tc>
          <w:tcPr>
            <w:tcW w:type="dxa" w:w="2268"/>
            <w:shd w:val="clear" w:color="auto" w:fill="FFFFFF"/>
            <w:vAlign w:val="top"/>
          </w:tcPr>
          <w:p>
            <w:pPr>
              <w:spacing w:after="40"/>
              <w:ind w:left="72"/>
            </w:pPr>
            <w:r>
              <w:rPr>
                <w:rFonts w:ascii="Arial" w:hAnsi="Arial"/>
                <w:b w:val="0"/>
                <w:color w:val="1F2A24"/>
                <w:sz w:val="18"/>
              </w:rPr>
              <w:t>Single RF regressor</w:t>
            </w:r>
          </w:p>
          <w:p>
            <w:pPr>
              <w:spacing w:after="40"/>
              <w:ind w:left="72"/>
            </w:pPr>
            <w:r>
              <w:rPr>
                <w:rFonts w:ascii="Arial" w:hAnsi="Arial"/>
                <w:b w:val="0"/>
                <w:color w:val="6B7280"/>
                <w:sz w:val="18"/>
              </w:rPr>
              <w:t>Exponential decay fitted</w:t>
            </w:r>
          </w:p>
          <w:p>
            <w:pPr>
              <w:spacing w:after="40"/>
              <w:ind w:left="72"/>
            </w:pPr>
            <w:r>
              <w:rPr>
                <w:rFonts w:ascii="Arial" w:hAnsi="Arial"/>
                <w:b w:val="0"/>
                <w:color w:val="6B7280"/>
                <w:sz w:val="18"/>
              </w:rPr>
              <w:t>to CE and repair count</w:t>
            </w:r>
          </w:p>
        </w:tc>
        <w:tc>
          <w:tcPr>
            <w:tcW w:type="dxa" w:w="2268"/>
            <w:shd w:val="clear" w:color="auto" w:fill="FFFFFF"/>
            <w:vAlign w:val="top"/>
          </w:tcPr>
          <w:p>
            <w:pPr>
              <w:spacing w:after="40"/>
              <w:ind w:left="72"/>
            </w:pPr>
            <w:r>
              <w:rPr>
                <w:rFonts w:ascii="Arial" w:hAnsi="Arial"/>
                <w:b w:val="0"/>
                <w:color w:val="1F2A24"/>
                <w:sz w:val="18"/>
              </w:rPr>
              <w:t>R² &gt; 0.84</w:t>
            </w:r>
          </w:p>
        </w:tc>
      </w:tr>
      <w:tr>
        <w:tc>
          <w:tcPr>
            <w:tcW w:type="dxa" w:w="2268"/>
            <w:shd w:val="clear" w:color="auto" w:fill="F8FFFE"/>
            <w:vAlign w:val="top"/>
          </w:tcPr>
          <w:p>
            <w:pPr>
              <w:spacing w:after="40"/>
              <w:ind w:left="72"/>
            </w:pPr>
            <w:r>
              <w:rPr>
                <w:rFonts w:ascii="Arial" w:hAnsi="Arial"/>
                <w:b/>
                <w:color w:val="1F2A24"/>
                <w:sz w:val="18"/>
              </w:rPr>
              <w:t>F — Use suitability</w:t>
            </w:r>
          </w:p>
        </w:tc>
        <w:tc>
          <w:tcPr>
            <w:tcW w:type="dxa" w:w="2268"/>
            <w:shd w:val="clear" w:color="auto" w:fill="F8FFFE"/>
            <w:vAlign w:val="top"/>
          </w:tcPr>
          <w:p>
            <w:pPr>
              <w:spacing w:after="40"/>
              <w:ind w:left="72"/>
            </w:pPr>
            <w:r>
              <w:rPr>
                <w:rFonts w:ascii="Arial" w:hAnsi="Arial"/>
                <w:b w:val="0"/>
                <w:color w:val="1F2A24"/>
                <w:sz w:val="18"/>
              </w:rPr>
              <w:t>Recommended: yes/no</w:t>
            </w:r>
          </w:p>
          <w:p>
            <w:pPr>
              <w:spacing w:after="40"/>
              <w:ind w:left="72"/>
            </w:pPr>
            <w:r>
              <w:rPr>
                <w:rFonts w:ascii="Arial" w:hAnsi="Arial"/>
                <w:b w:val="0"/>
                <w:color w:val="6B7280"/>
                <w:sz w:val="18"/>
              </w:rPr>
              <w:t>Probability score</w:t>
            </w:r>
          </w:p>
          <w:p>
            <w:pPr>
              <w:spacing w:after="40"/>
              <w:ind w:left="72"/>
            </w:pPr>
            <w:r>
              <w:rPr>
                <w:rFonts w:ascii="Arial" w:hAnsi="Arial"/>
                <w:b w:val="0"/>
                <w:color w:val="6B7280"/>
                <w:sz w:val="18"/>
              </w:rPr>
              <w:t>Weldability class</w:t>
            </w:r>
          </w:p>
        </w:tc>
        <w:tc>
          <w:tcPr>
            <w:tcW w:type="dxa" w:w="2268"/>
            <w:shd w:val="clear" w:color="auto" w:fill="F8FFFE"/>
            <w:vAlign w:val="top"/>
          </w:tcPr>
          <w:p>
            <w:pPr>
              <w:spacing w:after="40"/>
              <w:ind w:left="72"/>
            </w:pPr>
            <w:r>
              <w:rPr>
                <w:rFonts w:ascii="Arial" w:hAnsi="Arial"/>
                <w:b w:val="0"/>
                <w:color w:val="1F2A24"/>
                <w:sz w:val="18"/>
              </w:rPr>
              <w:t>RandomForest classifier</w:t>
            </w:r>
          </w:p>
          <w:p>
            <w:pPr>
              <w:spacing w:after="40"/>
              <w:ind w:left="72"/>
            </w:pPr>
            <w:r>
              <w:rPr>
                <w:rFonts w:ascii="Arial" w:hAnsi="Arial"/>
                <w:b w:val="0"/>
                <w:color w:val="6B7280"/>
                <w:sz w:val="18"/>
              </w:rPr>
              <w:t>CE threshold + microstructure</w:t>
            </w:r>
          </w:p>
          <w:p>
            <w:pPr>
              <w:spacing w:after="40"/>
              <w:ind w:left="72"/>
            </w:pPr>
            <w:r>
              <w:rPr>
                <w:rFonts w:ascii="Arial" w:hAnsi="Arial"/>
                <w:b w:val="0"/>
                <w:color w:val="6B7280"/>
                <w:sz w:val="18"/>
              </w:rPr>
              <w:t>features</w:t>
            </w:r>
          </w:p>
        </w:tc>
        <w:tc>
          <w:tcPr>
            <w:tcW w:type="dxa" w:w="2268"/>
            <w:shd w:val="clear" w:color="auto" w:fill="F8FFFE"/>
            <w:vAlign w:val="top"/>
          </w:tcPr>
          <w:p>
            <w:pPr>
              <w:spacing w:after="40"/>
              <w:ind w:left="72"/>
            </w:pPr>
            <w:r>
              <w:rPr>
                <w:rFonts w:ascii="Arial" w:hAnsi="Arial"/>
                <w:b w:val="0"/>
                <w:color w:val="1F2A24"/>
                <w:sz w:val="18"/>
              </w:rPr>
              <w:t>Accuracy &gt; 0.90</w:t>
            </w:r>
          </w:p>
        </w:tc>
      </w:tr>
    </w:tbl>
    <w:p>
      <w:pPr>
        <w:spacing w:after="200"/>
      </w:pPr>
    </w:p>
    <w:p>
      <w:pPr>
        <w:spacing w:before="360" w:after="120"/>
        <w:jc w:val="left"/>
      </w:pPr>
      <w:r>
        <w:rPr>
          <w:rFonts w:ascii="Arial" w:hAnsi="Arial"/>
          <w:b/>
          <w:color w:val="1F2A24"/>
          <w:sz w:val="32"/>
        </w:rPr>
        <w:t>3.  Dataset merge strategy</w:t>
      </w:r>
    </w:p>
    <w:p>
      <w:pPr>
        <w:pBdr>
          <w:bottom w:val="single" w:sz="6" w:space="1" w:color="CCCCCC"/>
        </w:pBdr>
        <w:spacing w:after="160"/>
      </w:pPr>
    </w:p>
    <w:p>
      <w:pPr>
        <w:spacing w:before="240" w:after="80"/>
        <w:jc w:val="left"/>
      </w:pPr>
      <w:r>
        <w:rPr>
          <w:rFonts w:ascii="Arial" w:hAnsi="Arial"/>
          <w:b/>
          <w:color w:val="1F2A24"/>
          <w:sz w:val="24"/>
        </w:rPr>
        <w:t>3.1  Source columns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0D3D2B"/>
          </w:tcPr>
          <w:p>
            <w:pPr>
              <w:jc w:val="center"/>
            </w:pPr>
            <w:r>
              <w:rPr>
                <w:rFonts w:ascii="Arial" w:hAnsi="Arial"/>
                <w:b/>
                <w:i w:val="0"/>
                <w:color w:val="FFFFFF"/>
                <w:sz w:val="19"/>
              </w:rPr>
              <w:t>Dataset</w:t>
            </w:r>
          </w:p>
        </w:tc>
        <w:tc>
          <w:tcPr>
            <w:tcW w:type="dxa" w:w="2268"/>
            <w:shd w:val="clear" w:color="auto" w:fill="0D3D2B"/>
          </w:tcPr>
          <w:p>
            <w:pPr>
              <w:jc w:val="center"/>
            </w:pPr>
            <w:r>
              <w:rPr>
                <w:rFonts w:ascii="Arial" w:hAnsi="Arial"/>
                <w:b/>
                <w:i w:val="0"/>
                <w:color w:val="FFFFFF"/>
                <w:sz w:val="19"/>
              </w:rPr>
              <w:t>Raw columns kept</w:t>
            </w:r>
          </w:p>
        </w:tc>
        <w:tc>
          <w:tcPr>
            <w:tcW w:type="dxa" w:w="2268"/>
            <w:shd w:val="clear" w:color="auto" w:fill="0D3D2B"/>
          </w:tcPr>
          <w:p>
            <w:pPr>
              <w:jc w:val="center"/>
            </w:pPr>
            <w:r>
              <w:rPr>
                <w:rFonts w:ascii="Arial" w:hAnsi="Arial"/>
                <w:b/>
                <w:i w:val="0"/>
                <w:color w:val="FFFFFF"/>
                <w:sz w:val="19"/>
              </w:rPr>
              <w:t>Dropped</w:t>
            </w:r>
          </w:p>
        </w:tc>
        <w:tc>
          <w:tcPr>
            <w:tcW w:type="dxa" w:w="2268"/>
            <w:shd w:val="clear" w:color="auto" w:fill="0D3D2B"/>
          </w:tcPr>
          <w:p>
            <w:pPr>
              <w:jc w:val="center"/>
            </w:pPr>
            <w:r>
              <w:rPr>
                <w:rFonts w:ascii="Arial" w:hAnsi="Arial"/>
                <w:b/>
                <w:i w:val="0"/>
                <w:color w:val="FFFFFF"/>
                <w:sz w:val="19"/>
              </w:rPr>
              <w:t>Role</w:t>
            </w:r>
          </w:p>
        </w:tc>
      </w:tr>
      <w:tr>
        <w:tc>
          <w:tcPr>
            <w:tcW w:type="dxa" w:w="2268"/>
            <w:shd w:val="clear" w:color="auto" w:fill="FFFFFF"/>
          </w:tcPr>
          <w:p>
            <w:pPr>
              <w:spacing w:after="40"/>
              <w:ind w:left="72"/>
            </w:pPr>
            <w:r>
              <w:rPr>
                <w:rFonts w:ascii="Arial" w:hAnsi="Arial"/>
                <w:b/>
                <w:color w:val="1F2A24"/>
                <w:sz w:val="18"/>
              </w:rPr>
              <w:t>steel_strength.csv</w:t>
            </w:r>
          </w:p>
        </w:tc>
        <w:tc>
          <w:tcPr>
            <w:tcW w:type="dxa" w:w="2268"/>
            <w:shd w:val="clear" w:color="auto" w:fill="FFFFFF"/>
          </w:tcPr>
          <w:p>
            <w:pPr>
              <w:spacing w:after="40"/>
              <w:ind w:left="72"/>
            </w:pPr>
            <w:r>
              <w:rPr>
                <w:rFonts w:ascii="Arial" w:hAnsi="Arial"/>
                <w:b w:val="0"/>
                <w:color w:val="1F2A24"/>
                <w:sz w:val="18"/>
              </w:rPr>
              <w:t>c, mn, si, cr, ni, mo, v, n, nb, co, w, al, ti</w:t>
            </w:r>
          </w:p>
          <w:p>
            <w:pPr>
              <w:spacing w:after="40"/>
              <w:ind w:left="72"/>
            </w:pPr>
            <w:r>
              <w:rPr>
                <w:rFonts w:ascii="Arial" w:hAnsi="Arial"/>
                <w:b w:val="0"/>
                <w:color w:val="6B7280"/>
                <w:sz w:val="18"/>
              </w:rPr>
              <w:t>yield strength, tensile strength, elongation</w:t>
            </w:r>
          </w:p>
        </w:tc>
        <w:tc>
          <w:tcPr>
            <w:tcW w:type="dxa" w:w="2268"/>
            <w:shd w:val="clear" w:color="auto" w:fill="FFFFFF"/>
          </w:tcPr>
          <w:p>
            <w:pPr>
              <w:spacing w:after="40"/>
              <w:ind w:left="72"/>
            </w:pPr>
            <w:r>
              <w:rPr>
                <w:rFonts w:ascii="Arial" w:hAnsi="Arial"/>
                <w:b w:val="0"/>
                <w:color w:val="1F2A24"/>
                <w:sz w:val="18"/>
              </w:rPr>
              <w:t>formula (text)</w:t>
            </w:r>
          </w:p>
        </w:tc>
        <w:tc>
          <w:tcPr>
            <w:tcW w:type="dxa" w:w="2268"/>
            <w:shd w:val="clear" w:color="auto" w:fill="FFFFFF"/>
          </w:tcPr>
          <w:p>
            <w:pPr>
              <w:spacing w:after="40"/>
              <w:ind w:left="72"/>
            </w:pPr>
            <w:r>
              <w:rPr>
                <w:rFonts w:ascii="Arial" w:hAnsi="Arial"/>
                <w:b w:val="0"/>
                <w:color w:val="1F2A24"/>
                <w:sz w:val="18"/>
              </w:rPr>
              <w:t>Primary composition + mechanical targets</w:t>
            </w:r>
          </w:p>
        </w:tc>
      </w:tr>
      <w:tr>
        <w:tc>
          <w:tcPr>
            <w:tcW w:type="dxa" w:w="2268"/>
            <w:shd w:val="clear" w:color="auto" w:fill="F8FFFE"/>
          </w:tcPr>
          <w:p>
            <w:pPr>
              <w:spacing w:after="40"/>
              <w:ind w:left="72"/>
            </w:pPr>
            <w:r>
              <w:rPr>
                <w:rFonts w:ascii="Arial" w:hAnsi="Arial"/>
                <w:b/>
                <w:color w:val="1F2A24"/>
                <w:sz w:val="18"/>
              </w:rPr>
              <w:t>material.csv</w:t>
            </w:r>
          </w:p>
        </w:tc>
        <w:tc>
          <w:tcPr>
            <w:tcW w:type="dxa" w:w="2268"/>
            <w:shd w:val="clear" w:color="auto" w:fill="F8FFFE"/>
          </w:tcPr>
          <w:p>
            <w:pPr>
              <w:spacing w:after="40"/>
              <w:ind w:left="72"/>
            </w:pPr>
            <w:r>
              <w:rPr>
                <w:rFonts w:ascii="Arial" w:hAnsi="Arial"/>
                <w:b w:val="0"/>
                <w:color w:val="1F2A24"/>
                <w:sz w:val="18"/>
              </w:rPr>
              <w:t>E, G, mu, Ro, Su, Sy, Use</w:t>
            </w:r>
          </w:p>
        </w:tc>
        <w:tc>
          <w:tcPr>
            <w:tcW w:type="dxa" w:w="2268"/>
            <w:shd w:val="clear" w:color="auto" w:fill="F8FFFE"/>
          </w:tcPr>
          <w:p>
            <w:pPr>
              <w:spacing w:after="40"/>
              <w:ind w:left="72"/>
            </w:pPr>
            <w:r>
              <w:rPr>
                <w:rFonts w:ascii="Arial" w:hAnsi="Arial"/>
                <w:b w:val="0"/>
                <w:color w:val="1F2A24"/>
                <w:sz w:val="18"/>
              </w:rPr>
              <w:t>Material (text)</w:t>
            </w:r>
          </w:p>
        </w:tc>
        <w:tc>
          <w:tcPr>
            <w:tcW w:type="dxa" w:w="2268"/>
            <w:shd w:val="clear" w:color="auto" w:fill="F8FFFE"/>
          </w:tcPr>
          <w:p>
            <w:pPr>
              <w:spacing w:after="40"/>
              <w:ind w:left="72"/>
            </w:pPr>
            <w:r>
              <w:rPr>
                <w:rFonts w:ascii="Arial" w:hAnsi="Arial"/>
                <w:b w:val="0"/>
                <w:color w:val="1F2A24"/>
                <w:sz w:val="18"/>
              </w:rPr>
              <w:t>Mechanical property targets and suitability labels</w:t>
            </w:r>
          </w:p>
        </w:tc>
      </w:tr>
    </w:tbl>
    <w:p>
      <w:pPr>
        <w:spacing w:after="160"/>
      </w:pPr>
    </w:p>
    <w:p>
      <w:pPr>
        <w:spacing w:before="240" w:after="80"/>
        <w:jc w:val="left"/>
      </w:pPr>
      <w:r>
        <w:rPr>
          <w:rFonts w:ascii="Arial" w:hAnsi="Arial"/>
          <w:b/>
          <w:color w:val="1F2A24"/>
          <w:sz w:val="24"/>
        </w:rPr>
        <w:t>3.2  Physics-based augmentation (no data leakage)</w:t>
      </w:r>
    </w:p>
    <w:p>
      <w:pPr>
        <w:spacing w:after="120"/>
      </w:pPr>
      <w:r>
        <w:rPr>
          <w:rFonts w:ascii="Arial" w:hAnsi="Arial"/>
          <w:i w:val="0"/>
          <w:color w:val="0A0A0A"/>
          <w:sz w:val="21"/>
        </w:rPr>
        <w:t>Because the steel dataset lacks direct measurements for E, G, mu, density, and thermal properties, these are derived from composition using validated empirical formulae. This is standard practice in computational materials science and produces physically consistent training labels. Key relationships used:</w:t>
      </w:r>
    </w:p>
    <w:p>
      <w:pPr>
        <w:pStyle w:val="ListBullet"/>
        <w:spacing w:after="60"/>
        <w:ind w:left="432"/>
      </w:pPr>
      <w:r>
        <w:rPr>
          <w:rFonts w:ascii="Arial" w:hAnsi="Arial"/>
          <w:color w:val="0A0A0A"/>
          <w:sz w:val="20"/>
        </w:rPr>
        <w:t>Young's modulus: E ≈ 210,000 MPa − 1500·Ni − 3000·Mn + 2000·Cr (Ledbetter &amp; Naimon 1974)</w:t>
      </w:r>
    </w:p>
    <w:p>
      <w:pPr>
        <w:pStyle w:val="ListBullet"/>
        <w:spacing w:after="60"/>
        <w:ind w:left="432"/>
      </w:pPr>
      <w:r>
        <w:rPr>
          <w:rFonts w:ascii="Arial" w:hAnsi="Arial"/>
          <w:color w:val="0A0A0A"/>
          <w:sz w:val="20"/>
        </w:rPr>
        <w:t>Poisson's ratio: mu ≈ 0.29 + 0.01·Ni − 0.005·Cr, then G = E / 2(1 + mu)</w:t>
      </w:r>
    </w:p>
    <w:p>
      <w:pPr>
        <w:pStyle w:val="ListBullet"/>
        <w:spacing w:after="60"/>
        <w:ind w:left="432"/>
      </w:pPr>
      <w:r>
        <w:rPr>
          <w:rFonts w:ascii="Arial" w:hAnsi="Arial"/>
          <w:color w:val="0A0A0A"/>
          <w:sz w:val="20"/>
        </w:rPr>
        <w:t>Density: rho ≈ 7870 + 8.9·Ni·100 − 2.3·Cr·100 + 1.1·Mn·100 (kg/m³)</w:t>
      </w:r>
    </w:p>
    <w:p>
      <w:pPr>
        <w:pStyle w:val="ListBullet"/>
        <w:spacing w:after="60"/>
        <w:ind w:left="432"/>
      </w:pPr>
      <w:r>
        <w:rPr>
          <w:rFonts w:ascii="Arial" w:hAnsi="Arial"/>
          <w:color w:val="0A0A0A"/>
          <w:sz w:val="20"/>
        </w:rPr>
        <w:t>Thermal conductivity: kappa ≈ 80 − 3.5·Ni − 6·Cr − 12·Mo − 4·Mn (W/m·K), from Wiedemann-Franz relation</w:t>
      </w:r>
    </w:p>
    <w:p>
      <w:pPr>
        <w:pStyle w:val="ListBullet"/>
        <w:spacing w:after="60"/>
        <w:ind w:left="432"/>
      </w:pPr>
      <w:r>
        <w:rPr>
          <w:rFonts w:ascii="Arial" w:hAnsi="Arial"/>
          <w:color w:val="0A0A0A"/>
          <w:sz w:val="20"/>
        </w:rPr>
        <w:t>Repair factor: 1 − 0.08·CE − 0.02·C², where CE = C + Mn/6 + (Cr+Mo+V)/5 + Ni/15</w:t>
      </w:r>
    </w:p>
    <w:p>
      <w:pPr>
        <w:pStyle w:val="ListBullet"/>
        <w:spacing w:after="60"/>
        <w:ind w:left="432"/>
      </w:pPr>
      <w:r>
        <w:rPr>
          <w:rFonts w:ascii="Arial" w:hAnsi="Arial"/>
          <w:color w:val="0A0A0A"/>
          <w:sz w:val="20"/>
        </w:rPr>
        <w:t>Lifespan index: 1 − 0.15·CE − 0.10·C, clipped to [0.1, 1.0]</w:t>
      </w:r>
    </w:p>
    <w:p>
      <w:pPr>
        <w:spacing w:after="160"/>
      </w:pPr>
    </w:p>
    <w:p>
      <w:r>
        <w:br w:type="page"/>
      </w:r>
    </w:p>
    <w:p>
      <w:pPr>
        <w:spacing w:before="360" w:after="120"/>
        <w:jc w:val="left"/>
      </w:pPr>
      <w:r>
        <w:rPr>
          <w:rFonts w:ascii="Arial" w:hAnsi="Arial"/>
          <w:b/>
          <w:color w:val="1F2A24"/>
          <w:sz w:val="32"/>
        </w:rPr>
        <w:t>4.  Backend changes</w:t>
      </w:r>
    </w:p>
    <w:p>
      <w:pPr>
        <w:pBdr>
          <w:bottom w:val="single" w:sz="6" w:space="1" w:color="CCCCCC"/>
        </w:pBdr>
        <w:spacing w:after="160"/>
      </w:pPr>
    </w:p>
    <w:p>
      <w:pPr>
        <w:spacing w:before="240" w:after="80"/>
        <w:jc w:val="left"/>
      </w:pPr>
      <w:r>
        <w:rPr>
          <w:rFonts w:ascii="Arial" w:hAnsi="Arial"/>
          <w:b/>
          <w:color w:val="1F2A24"/>
          <w:sz w:val="24"/>
        </w:rPr>
        <w:t>4.1  New .pkl files required</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D3D2B"/>
          </w:tcPr>
          <w:p>
            <w:pPr>
              <w:jc w:val="center"/>
            </w:pPr>
            <w:r>
              <w:rPr>
                <w:rFonts w:ascii="Arial" w:hAnsi="Arial"/>
                <w:b/>
                <w:i w:val="0"/>
                <w:color w:val="FFFFFF"/>
                <w:sz w:val="19"/>
              </w:rPr>
              <w:t>File</w:t>
            </w:r>
          </w:p>
        </w:tc>
        <w:tc>
          <w:tcPr>
            <w:tcW w:type="dxa" w:w="3024"/>
            <w:shd w:val="clear" w:color="auto" w:fill="0D3D2B"/>
          </w:tcPr>
          <w:p>
            <w:pPr>
              <w:jc w:val="center"/>
            </w:pPr>
            <w:r>
              <w:rPr>
                <w:rFonts w:ascii="Arial" w:hAnsi="Arial"/>
                <w:b/>
                <w:i w:val="0"/>
                <w:color w:val="FFFFFF"/>
                <w:sz w:val="19"/>
              </w:rPr>
              <w:t>Description</w:t>
            </w:r>
          </w:p>
        </w:tc>
        <w:tc>
          <w:tcPr>
            <w:tcW w:type="dxa" w:w="3024"/>
            <w:shd w:val="clear" w:color="auto" w:fill="0D3D2B"/>
          </w:tcPr>
          <w:p>
            <w:pPr>
              <w:jc w:val="center"/>
            </w:pPr>
            <w:r>
              <w:rPr>
                <w:rFonts w:ascii="Arial" w:hAnsi="Arial"/>
                <w:b/>
                <w:i w:val="0"/>
                <w:color w:val="FFFFFF"/>
                <w:sz w:val="19"/>
              </w:rPr>
              <w:t>Size (est.)</w:t>
            </w:r>
          </w:p>
        </w:tc>
      </w:tr>
      <w:tr>
        <w:tc>
          <w:tcPr>
            <w:tcW w:type="dxa" w:w="3024"/>
            <w:shd w:val="clear" w:color="auto" w:fill="FFFFFF"/>
          </w:tcPr>
          <w:p>
            <w:pPr>
              <w:ind w:left="72"/>
            </w:pPr>
            <w:r>
              <w:rPr>
                <w:rFonts w:ascii="Arial" w:hAnsi="Arial"/>
                <w:b/>
                <w:color w:val="1F2A24"/>
                <w:sz w:val="18"/>
              </w:rPr>
              <w:t>enhanced_steel_mech_model.pkl</w:t>
            </w:r>
          </w:p>
        </w:tc>
        <w:tc>
          <w:tcPr>
            <w:tcW w:type="dxa" w:w="3024"/>
            <w:shd w:val="clear" w:color="auto" w:fill="FFFFFF"/>
          </w:tcPr>
          <w:p>
            <w:pPr>
              <w:ind w:left="72"/>
            </w:pPr>
            <w:r>
              <w:rPr>
                <w:rFonts w:ascii="Arial" w:hAnsi="Arial"/>
                <w:b w:val="0"/>
                <w:color w:val="6B7280"/>
                <w:sz w:val="18"/>
              </w:rPr>
              <w:t>Module A — elastic property regressor</w:t>
            </w:r>
          </w:p>
        </w:tc>
        <w:tc>
          <w:tcPr>
            <w:tcW w:type="dxa" w:w="3024"/>
            <w:shd w:val="clear" w:color="auto" w:fill="FFFFFF"/>
          </w:tcPr>
          <w:p>
            <w:pPr>
              <w:ind w:left="72"/>
            </w:pPr>
            <w:r>
              <w:rPr>
                <w:rFonts w:ascii="Arial" w:hAnsi="Arial"/>
                <w:b w:val="0"/>
                <w:color w:val="6B7280"/>
                <w:sz w:val="18"/>
              </w:rPr>
              <w:t>5–15 MB</w:t>
            </w:r>
          </w:p>
        </w:tc>
      </w:tr>
      <w:tr>
        <w:tc>
          <w:tcPr>
            <w:tcW w:type="dxa" w:w="3024"/>
            <w:shd w:val="clear" w:color="auto" w:fill="F8FFFE"/>
          </w:tcPr>
          <w:p>
            <w:pPr>
              <w:ind w:left="72"/>
            </w:pPr>
            <w:r>
              <w:rPr>
                <w:rFonts w:ascii="Arial" w:hAnsi="Arial"/>
                <w:b/>
                <w:color w:val="1F2A24"/>
                <w:sz w:val="18"/>
              </w:rPr>
              <w:t>enhanced_steel_mech_scaler.pkl</w:t>
            </w:r>
          </w:p>
        </w:tc>
        <w:tc>
          <w:tcPr>
            <w:tcW w:type="dxa" w:w="3024"/>
            <w:shd w:val="clear" w:color="auto" w:fill="F8FFFE"/>
          </w:tcPr>
          <w:p>
            <w:pPr>
              <w:ind w:left="72"/>
            </w:pPr>
            <w:r>
              <w:rPr>
                <w:rFonts w:ascii="Arial" w:hAnsi="Arial"/>
                <w:b w:val="0"/>
                <w:color w:val="6B7280"/>
                <w:sz w:val="18"/>
              </w:rPr>
              <w:t>Scaler for Module A inputs</w:t>
            </w:r>
          </w:p>
        </w:tc>
        <w:tc>
          <w:tcPr>
            <w:tcW w:type="dxa" w:w="3024"/>
            <w:shd w:val="clear" w:color="auto" w:fill="F8FFFE"/>
          </w:tcPr>
          <w:p>
            <w:pPr>
              <w:ind w:left="72"/>
            </w:pPr>
            <w:r>
              <w:rPr>
                <w:rFonts w:ascii="Arial" w:hAnsi="Arial"/>
                <w:b w:val="0"/>
                <w:color w:val="6B7280"/>
                <w:sz w:val="18"/>
              </w:rPr>
              <w:t>&lt; 1 MB</w:t>
            </w:r>
          </w:p>
        </w:tc>
      </w:tr>
      <w:tr>
        <w:tc>
          <w:tcPr>
            <w:tcW w:type="dxa" w:w="3024"/>
            <w:shd w:val="clear" w:color="auto" w:fill="FFFFFF"/>
          </w:tcPr>
          <w:p>
            <w:pPr>
              <w:ind w:left="72"/>
            </w:pPr>
            <w:r>
              <w:rPr>
                <w:rFonts w:ascii="Arial" w:hAnsi="Arial"/>
                <w:b/>
                <w:color w:val="1F2A24"/>
                <w:sz w:val="18"/>
              </w:rPr>
              <w:t>enhanced_steel_thermal_model.pkl</w:t>
            </w:r>
          </w:p>
        </w:tc>
        <w:tc>
          <w:tcPr>
            <w:tcW w:type="dxa" w:w="3024"/>
            <w:shd w:val="clear" w:color="auto" w:fill="FFFFFF"/>
          </w:tcPr>
          <w:p>
            <w:pPr>
              <w:ind w:left="72"/>
            </w:pPr>
            <w:r>
              <w:rPr>
                <w:rFonts w:ascii="Arial" w:hAnsi="Arial"/>
                <w:b w:val="0"/>
                <w:color w:val="6B7280"/>
                <w:sz w:val="18"/>
              </w:rPr>
              <w:t>Module B — thermal/EM regressor</w:t>
            </w:r>
          </w:p>
        </w:tc>
        <w:tc>
          <w:tcPr>
            <w:tcW w:type="dxa" w:w="3024"/>
            <w:shd w:val="clear" w:color="auto" w:fill="FFFFFF"/>
          </w:tcPr>
          <w:p>
            <w:pPr>
              <w:ind w:left="72"/>
            </w:pPr>
            <w:r>
              <w:rPr>
                <w:rFonts w:ascii="Arial" w:hAnsi="Arial"/>
                <w:b w:val="0"/>
                <w:color w:val="6B7280"/>
                <w:sz w:val="18"/>
              </w:rPr>
              <w:t>5–15 MB</w:t>
            </w:r>
          </w:p>
        </w:tc>
      </w:tr>
      <w:tr>
        <w:tc>
          <w:tcPr>
            <w:tcW w:type="dxa" w:w="3024"/>
            <w:shd w:val="clear" w:color="auto" w:fill="F8FFFE"/>
          </w:tcPr>
          <w:p>
            <w:pPr>
              <w:ind w:left="72"/>
            </w:pPr>
            <w:r>
              <w:rPr>
                <w:rFonts w:ascii="Arial" w:hAnsi="Arial"/>
                <w:b/>
                <w:color w:val="1F2A24"/>
                <w:sz w:val="18"/>
              </w:rPr>
              <w:t>enhanced_steel_thermal_scaler.pkl</w:t>
            </w:r>
          </w:p>
        </w:tc>
        <w:tc>
          <w:tcPr>
            <w:tcW w:type="dxa" w:w="3024"/>
            <w:shd w:val="clear" w:color="auto" w:fill="F8FFFE"/>
          </w:tcPr>
          <w:p>
            <w:pPr>
              <w:ind w:left="72"/>
            </w:pPr>
            <w:r>
              <w:rPr>
                <w:rFonts w:ascii="Arial" w:hAnsi="Arial"/>
                <w:b w:val="0"/>
                <w:color w:val="6B7280"/>
                <w:sz w:val="18"/>
              </w:rPr>
              <w:t>Scaler for Module B inputs</w:t>
            </w:r>
          </w:p>
        </w:tc>
        <w:tc>
          <w:tcPr>
            <w:tcW w:type="dxa" w:w="3024"/>
            <w:shd w:val="clear" w:color="auto" w:fill="F8FFFE"/>
          </w:tcPr>
          <w:p>
            <w:pPr>
              <w:ind w:left="72"/>
            </w:pPr>
            <w:r>
              <w:rPr>
                <w:rFonts w:ascii="Arial" w:hAnsi="Arial"/>
                <w:b w:val="0"/>
                <w:color w:val="6B7280"/>
                <w:sz w:val="18"/>
              </w:rPr>
              <w:t>&lt; 1 MB</w:t>
            </w:r>
          </w:p>
        </w:tc>
      </w:tr>
      <w:tr>
        <w:tc>
          <w:tcPr>
            <w:tcW w:type="dxa" w:w="3024"/>
            <w:shd w:val="clear" w:color="auto" w:fill="FFFFFF"/>
          </w:tcPr>
          <w:p>
            <w:pPr>
              <w:ind w:left="72"/>
            </w:pPr>
            <w:r>
              <w:rPr>
                <w:rFonts w:ascii="Arial" w:hAnsi="Arial"/>
                <w:b/>
                <w:color w:val="1F2A24"/>
                <w:sz w:val="18"/>
              </w:rPr>
              <w:t>enhanced_steel_strength_model.pkl</w:t>
            </w:r>
          </w:p>
        </w:tc>
        <w:tc>
          <w:tcPr>
            <w:tcW w:type="dxa" w:w="3024"/>
            <w:shd w:val="clear" w:color="auto" w:fill="FFFFFF"/>
          </w:tcPr>
          <w:p>
            <w:pPr>
              <w:ind w:left="72"/>
            </w:pPr>
            <w:r>
              <w:rPr>
                <w:rFonts w:ascii="Arial" w:hAnsi="Arial"/>
                <w:b w:val="0"/>
                <w:color w:val="6B7280"/>
                <w:sz w:val="18"/>
              </w:rPr>
              <w:t>Module C — pre-repair strength regressor</w:t>
            </w:r>
          </w:p>
        </w:tc>
        <w:tc>
          <w:tcPr>
            <w:tcW w:type="dxa" w:w="3024"/>
            <w:shd w:val="clear" w:color="auto" w:fill="FFFFFF"/>
          </w:tcPr>
          <w:p>
            <w:pPr>
              <w:ind w:left="72"/>
            </w:pPr>
            <w:r>
              <w:rPr>
                <w:rFonts w:ascii="Arial" w:hAnsi="Arial"/>
                <w:b w:val="0"/>
                <w:color w:val="6B7280"/>
                <w:sz w:val="18"/>
              </w:rPr>
              <w:t>10–20 MB</w:t>
            </w:r>
          </w:p>
        </w:tc>
      </w:tr>
      <w:tr>
        <w:tc>
          <w:tcPr>
            <w:tcW w:type="dxa" w:w="3024"/>
            <w:shd w:val="clear" w:color="auto" w:fill="F8FFFE"/>
          </w:tcPr>
          <w:p>
            <w:pPr>
              <w:ind w:left="72"/>
            </w:pPr>
            <w:r>
              <w:rPr>
                <w:rFonts w:ascii="Arial" w:hAnsi="Arial"/>
                <w:b/>
                <w:color w:val="1F2A24"/>
                <w:sz w:val="18"/>
              </w:rPr>
              <w:t>enhanced_steel_strength_scaler.pkl</w:t>
            </w:r>
          </w:p>
        </w:tc>
        <w:tc>
          <w:tcPr>
            <w:tcW w:type="dxa" w:w="3024"/>
            <w:shd w:val="clear" w:color="auto" w:fill="F8FFFE"/>
          </w:tcPr>
          <w:p>
            <w:pPr>
              <w:ind w:left="72"/>
            </w:pPr>
            <w:r>
              <w:rPr>
                <w:rFonts w:ascii="Arial" w:hAnsi="Arial"/>
                <w:b w:val="0"/>
                <w:color w:val="6B7280"/>
                <w:sz w:val="18"/>
              </w:rPr>
              <w:t>Scaler for Module C inputs</w:t>
            </w:r>
          </w:p>
        </w:tc>
        <w:tc>
          <w:tcPr>
            <w:tcW w:type="dxa" w:w="3024"/>
            <w:shd w:val="clear" w:color="auto" w:fill="F8FFFE"/>
          </w:tcPr>
          <w:p>
            <w:pPr>
              <w:ind w:left="72"/>
            </w:pPr>
            <w:r>
              <w:rPr>
                <w:rFonts w:ascii="Arial" w:hAnsi="Arial"/>
                <w:b w:val="0"/>
                <w:color w:val="6B7280"/>
                <w:sz w:val="18"/>
              </w:rPr>
              <w:t>&lt; 1 MB</w:t>
            </w:r>
          </w:p>
        </w:tc>
      </w:tr>
      <w:tr>
        <w:tc>
          <w:tcPr>
            <w:tcW w:type="dxa" w:w="3024"/>
            <w:shd w:val="clear" w:color="auto" w:fill="FFFFFF"/>
          </w:tcPr>
          <w:p>
            <w:pPr>
              <w:ind w:left="72"/>
            </w:pPr>
            <w:r>
              <w:rPr>
                <w:rFonts w:ascii="Arial" w:hAnsi="Arial"/>
                <w:b/>
                <w:color w:val="1F2A24"/>
                <w:sz w:val="18"/>
              </w:rPr>
              <w:t>enhanced_steel_repair_model.pkl</w:t>
            </w:r>
          </w:p>
        </w:tc>
        <w:tc>
          <w:tcPr>
            <w:tcW w:type="dxa" w:w="3024"/>
            <w:shd w:val="clear" w:color="auto" w:fill="FFFFFF"/>
          </w:tcPr>
          <w:p>
            <w:pPr>
              <w:ind w:left="72"/>
            </w:pPr>
            <w:r>
              <w:rPr>
                <w:rFonts w:ascii="Arial" w:hAnsi="Arial"/>
                <w:b w:val="0"/>
                <w:color w:val="6B7280"/>
                <w:sz w:val="18"/>
              </w:rPr>
              <w:t>Module D — post-repair strength regressor</w:t>
            </w:r>
          </w:p>
        </w:tc>
        <w:tc>
          <w:tcPr>
            <w:tcW w:type="dxa" w:w="3024"/>
            <w:shd w:val="clear" w:color="auto" w:fill="FFFFFF"/>
          </w:tcPr>
          <w:p>
            <w:pPr>
              <w:ind w:left="72"/>
            </w:pPr>
            <w:r>
              <w:rPr>
                <w:rFonts w:ascii="Arial" w:hAnsi="Arial"/>
                <w:b w:val="0"/>
                <w:color w:val="6B7280"/>
                <w:sz w:val="18"/>
              </w:rPr>
              <w:t>5–10 MB</w:t>
            </w:r>
          </w:p>
        </w:tc>
      </w:tr>
      <w:tr>
        <w:tc>
          <w:tcPr>
            <w:tcW w:type="dxa" w:w="3024"/>
            <w:shd w:val="clear" w:color="auto" w:fill="F8FFFE"/>
          </w:tcPr>
          <w:p>
            <w:pPr>
              <w:ind w:left="72"/>
            </w:pPr>
            <w:r>
              <w:rPr>
                <w:rFonts w:ascii="Arial" w:hAnsi="Arial"/>
                <w:b/>
                <w:color w:val="1F2A24"/>
                <w:sz w:val="18"/>
              </w:rPr>
              <w:t>enhanced_steel_degrade_model.pkl</w:t>
            </w:r>
          </w:p>
        </w:tc>
        <w:tc>
          <w:tcPr>
            <w:tcW w:type="dxa" w:w="3024"/>
            <w:shd w:val="clear" w:color="auto" w:fill="F8FFFE"/>
          </w:tcPr>
          <w:p>
            <w:pPr>
              <w:ind w:left="72"/>
            </w:pPr>
            <w:r>
              <w:rPr>
                <w:rFonts w:ascii="Arial" w:hAnsi="Arial"/>
                <w:b w:val="0"/>
                <w:color w:val="6B7280"/>
                <w:sz w:val="18"/>
              </w:rPr>
              <w:t>Module E — lifespan index regressor</w:t>
            </w:r>
          </w:p>
        </w:tc>
        <w:tc>
          <w:tcPr>
            <w:tcW w:type="dxa" w:w="3024"/>
            <w:shd w:val="clear" w:color="auto" w:fill="F8FFFE"/>
          </w:tcPr>
          <w:p>
            <w:pPr>
              <w:ind w:left="72"/>
            </w:pPr>
            <w:r>
              <w:rPr>
                <w:rFonts w:ascii="Arial" w:hAnsi="Arial"/>
                <w:b w:val="0"/>
                <w:color w:val="6B7280"/>
                <w:sz w:val="18"/>
              </w:rPr>
              <w:t>3–8 MB</w:t>
            </w:r>
          </w:p>
        </w:tc>
      </w:tr>
      <w:tr>
        <w:tc>
          <w:tcPr>
            <w:tcW w:type="dxa" w:w="3024"/>
            <w:shd w:val="clear" w:color="auto" w:fill="FFFFFF"/>
          </w:tcPr>
          <w:p>
            <w:pPr>
              <w:ind w:left="72"/>
            </w:pPr>
            <w:r>
              <w:rPr>
                <w:rFonts w:ascii="Arial" w:hAnsi="Arial"/>
                <w:b/>
                <w:color w:val="1F2A24"/>
                <w:sz w:val="18"/>
              </w:rPr>
              <w:t>enhanced_steel_use_model.pkl</w:t>
            </w:r>
          </w:p>
        </w:tc>
        <w:tc>
          <w:tcPr>
            <w:tcW w:type="dxa" w:w="3024"/>
            <w:shd w:val="clear" w:color="auto" w:fill="FFFFFF"/>
          </w:tcPr>
          <w:p>
            <w:pPr>
              <w:ind w:left="72"/>
            </w:pPr>
            <w:r>
              <w:rPr>
                <w:rFonts w:ascii="Arial" w:hAnsi="Arial"/>
                <w:b w:val="0"/>
                <w:color w:val="6B7280"/>
                <w:sz w:val="18"/>
              </w:rPr>
              <w:t>Module F — use suitability classifier</w:t>
            </w:r>
          </w:p>
        </w:tc>
        <w:tc>
          <w:tcPr>
            <w:tcW w:type="dxa" w:w="3024"/>
            <w:shd w:val="clear" w:color="auto" w:fill="FFFFFF"/>
          </w:tcPr>
          <w:p>
            <w:pPr>
              <w:ind w:left="72"/>
            </w:pPr>
            <w:r>
              <w:rPr>
                <w:rFonts w:ascii="Arial" w:hAnsi="Arial"/>
                <w:b w:val="0"/>
                <w:color w:val="6B7280"/>
                <w:sz w:val="18"/>
              </w:rPr>
              <w:t>5–10 MB</w:t>
            </w:r>
          </w:p>
        </w:tc>
      </w:tr>
      <w:tr>
        <w:tc>
          <w:tcPr>
            <w:tcW w:type="dxa" w:w="3024"/>
            <w:shd w:val="clear" w:color="auto" w:fill="F8FFFE"/>
          </w:tcPr>
          <w:p>
            <w:pPr>
              <w:ind w:left="72"/>
            </w:pPr>
            <w:r>
              <w:rPr>
                <w:rFonts w:ascii="Arial" w:hAnsi="Arial"/>
                <w:b/>
                <w:color w:val="1F2A24"/>
                <w:sz w:val="18"/>
              </w:rPr>
              <w:t>enhanced_steel_feature_meta.json</w:t>
            </w:r>
          </w:p>
        </w:tc>
        <w:tc>
          <w:tcPr>
            <w:tcW w:type="dxa" w:w="3024"/>
            <w:shd w:val="clear" w:color="auto" w:fill="F8FFFE"/>
          </w:tcPr>
          <w:p>
            <w:pPr>
              <w:ind w:left="72"/>
            </w:pPr>
            <w:r>
              <w:rPr>
                <w:rFonts w:ascii="Arial" w:hAnsi="Arial"/>
                <w:b w:val="0"/>
                <w:color w:val="6B7280"/>
                <w:sz w:val="18"/>
              </w:rPr>
              <w:t>Feature names, units, model metrics metadata</w:t>
            </w:r>
          </w:p>
        </w:tc>
        <w:tc>
          <w:tcPr>
            <w:tcW w:type="dxa" w:w="3024"/>
            <w:shd w:val="clear" w:color="auto" w:fill="F8FFFE"/>
          </w:tcPr>
          <w:p>
            <w:pPr>
              <w:ind w:left="72"/>
            </w:pPr>
            <w:r>
              <w:rPr>
                <w:rFonts w:ascii="Arial" w:hAnsi="Arial"/>
                <w:b w:val="0"/>
                <w:color w:val="6B7280"/>
                <w:sz w:val="18"/>
              </w:rPr>
              <w:t>&lt; 1 KB</w:t>
            </w:r>
          </w:p>
        </w:tc>
      </w:tr>
    </w:tbl>
    <w:p>
      <w:pPr>
        <w:spacing w:after="160"/>
      </w:pPr>
    </w:p>
    <w:p>
      <w:pPr>
        <w:spacing w:before="240" w:after="80"/>
        <w:jc w:val="left"/>
      </w:pPr>
      <w:r>
        <w:rPr>
          <w:rFonts w:ascii="Arial" w:hAnsi="Arial"/>
          <w:b/>
          <w:color w:val="1F2A24"/>
          <w:sz w:val="24"/>
        </w:rPr>
        <w:t>4.2  New API endpoint</w:t>
      </w:r>
    </w:p>
    <w:p>
      <w:pPr>
        <w:spacing w:after="120"/>
      </w:pPr>
      <w:r>
        <w:rPr>
          <w:rFonts w:ascii="Arial" w:hAnsi="Arial"/>
          <w:i w:val="0"/>
          <w:color w:val="0A0A0A"/>
          <w:sz w:val="21"/>
        </w:rPr>
        <w:t>Add one new router: backend/app/routers/enhanced_steel.py</w:t>
      </w:r>
    </w:p>
    <w:p>
      <w:pPr>
        <w:spacing w:after="120"/>
      </w:pPr>
      <w:r>
        <w:rPr>
          <w:rFonts w:ascii="Arial" w:hAnsi="Arial"/>
          <w:i/>
          <w:color w:val="0A0A0A"/>
          <w:sz w:val="20"/>
        </w:rPr>
        <w:t>POST /api/predict/enhanced-steel</w:t>
      </w:r>
    </w:p>
    <w:p>
      <w:pPr>
        <w:spacing w:after="120"/>
      </w:pPr>
      <w:r>
        <w:rPr>
          <w:rFonts w:ascii="Arial" w:hAnsi="Arial"/>
          <w:i w:val="0"/>
          <w:color w:val="0A0A0A"/>
          <w:sz w:val="21"/>
        </w:rPr>
        <w:t>Accepts the same 13-element composition JSON as the existing steel endpoint, plus two optional fields:</w:t>
      </w:r>
    </w:p>
    <w:p>
      <w:pPr>
        <w:pStyle w:val="ListBullet"/>
        <w:spacing w:after="60"/>
        <w:ind w:left="432"/>
      </w:pPr>
      <w:r>
        <w:rPr>
          <w:rFonts w:ascii="Arial" w:hAnsi="Arial"/>
          <w:color w:val="0A0A0A"/>
          <w:sz w:val="20"/>
        </w:rPr>
        <w:t>"repair_cycles": integer 0–10  (default 0 = pre-repair baseline)</w:t>
      </w:r>
    </w:p>
    <w:p>
      <w:pPr>
        <w:pStyle w:val="ListBullet"/>
        <w:spacing w:after="60"/>
        <w:ind w:left="432"/>
      </w:pPr>
      <w:r>
        <w:rPr>
          <w:rFonts w:ascii="Arial" w:hAnsi="Arial"/>
          <w:color w:val="0A0A0A"/>
          <w:sz w:val="20"/>
        </w:rPr>
        <w:t>"application": string  e.g. "structural", "pressure vessel", "pipeline", "offshore"</w:t>
      </w:r>
    </w:p>
    <w:p>
      <w:pPr>
        <w:spacing w:after="80"/>
      </w:pPr>
    </w:p>
    <w:p>
      <w:pPr>
        <w:spacing w:after="120"/>
      </w:pPr>
      <w:r>
        <w:rPr>
          <w:rFonts w:ascii="Arial" w:hAnsi="Arial"/>
          <w:i/>
          <w:color w:val="0A0A0A"/>
          <w:sz w:val="20"/>
        </w:rPr>
        <w:t>Response schema:</w:t>
      </w:r>
    </w:p>
    <w:p>
      <w:pPr>
        <w:spacing w:after="120"/>
        <w:ind w:left="432"/>
      </w:pPr>
      <w:r>
        <w:rPr>
          <w:rFonts w:ascii="Courier New" w:hAnsi="Courier New"/>
          <w:color w:val="0D3D2B"/>
          <w:sz w:val="16"/>
        </w:rPr>
        <w:t>{</w:t>
        <w:br/>
        <w:t xml:space="preserve">  "status": "success",</w:t>
        <w:br/>
        <w:t xml:space="preserve">  "mechanical": { "E": 207000, "G": 79000, "mu": 0.29 },</w:t>
        <w:br/>
        <w:t xml:space="preserve">  "thermal": { "conductivity": 16.5, "critical_temperature": 850, "density": 7920 },</w:t>
        <w:br/>
        <w:t xml:space="preserve">  "strength": { "Su": 980, "Sy": 850, "elongation": 12.0 },</w:t>
        <w:br/>
        <w:t xml:space="preserve">  "post_repair": { "Su_post": 912, "Sy_post": 790 },</w:t>
        <w:br/>
        <w:t xml:space="preserve">  "degradation": { "lifespan_index": 0.74, "residual_strength_pct": [100,94,89,84,79,...] },</w:t>
        <w:br/>
        <w:t xml:space="preserve">  "suitability": { "recommended": true, "probability": 0.92, "weldability_class": "B" },</w:t>
        <w:br/>
        <w:t xml:space="preserve">  "recommendation": {</w:t>
        <w:br/>
        <w:t xml:space="preserve">    "grade_name": "AISI 4140",</w:t>
        <w:br/>
        <w:t xml:space="preserve">    "lifespan_years": { "structural": 35, "pressure_vessel": 25 },</w:t>
        <w:br/>
        <w:t xml:space="preserve">    "max_repairs": 6,</w:t>
        <w:br/>
        <w:t xml:space="preserve">    "verdict": "Suitable for structural use. High Cr+Mo gives good hardenability.</w:t>
        <w:br/>
        <w:t xml:space="preserve">                Lifespan estimated 35 years in structural application.</w:t>
        <w:br/>
        <w:t xml:space="preserve">                Weld with preheat &gt;200°C. Max 6 repair cycles before replacement."</w:t>
        <w:br/>
        <w:t xml:space="preserve">  },</w:t>
        <w:br/>
        <w:t xml:space="preserve">  "shap_values": { "cr": 0.31, "ni": 0.22, "c": -0.18, ... },</w:t>
        <w:br/>
        <w:t xml:space="preserve">  "model_used": "MultiOutput RandomForestRegressor + RandomForestClassifier"</w:t>
        <w:br/>
        <w:t>}</w:t>
      </w:r>
    </w:p>
    <w:p>
      <w:pPr>
        <w:spacing w:after="80"/>
      </w:pPr>
    </w:p>
    <w:p>
      <w:pPr>
        <w:spacing w:before="240" w:after="80"/>
        <w:jc w:val="left"/>
      </w:pPr>
      <w:r>
        <w:rPr>
          <w:rFonts w:ascii="Arial" w:hAnsi="Arial"/>
          <w:b/>
          <w:color w:val="1F2A24"/>
          <w:sz w:val="24"/>
        </w:rPr>
        <w:t>4.3  loader.py additions</w:t>
      </w:r>
    </w:p>
    <w:p>
      <w:pPr>
        <w:spacing w:after="120"/>
      </w:pPr>
      <w:r>
        <w:rPr>
          <w:rFonts w:ascii="Arial" w:hAnsi="Arial"/>
          <w:i w:val="0"/>
          <w:color w:val="0A0A0A"/>
          <w:sz w:val="21"/>
        </w:rPr>
        <w:t>Add to the required_files dict in backend/app/ml/loader.py:</w:t>
      </w:r>
    </w:p>
    <w:p>
      <w:pPr>
        <w:ind w:left="432"/>
      </w:pPr>
      <w:r>
        <w:rPr>
          <w:rFonts w:ascii="Courier New" w:hAnsi="Courier New"/>
          <w:color w:val="0D3D2B"/>
          <w:sz w:val="17"/>
        </w:rPr>
        <w:t>"enhanced_steel_mech_model":    "enhanced_steel_mech_model.pkl",</w:t>
        <w:br/>
        <w:t>"enhanced_steel_mech_scaler":   "enhanced_steel_mech_scaler.pkl",</w:t>
        <w:br/>
        <w:t>"enhanced_steel_thermal_model": "enhanced_steel_thermal_model.pkl",</w:t>
        <w:br/>
        <w:t>"enhanced_steel_thermal_scaler":"enhanced_steel_thermal_scaler.pkl",</w:t>
        <w:br/>
        <w:t>"enhanced_steel_str_model":     "enhanced_steel_strength_model.pkl",</w:t>
        <w:br/>
        <w:t>"enhanced_steel_str_scaler":    "enhanced_steel_strength_scaler.pkl",</w:t>
        <w:br/>
        <w:t>"enhanced_steel_repair_model":  "enhanced_steel_repair_model.pkl",</w:t>
        <w:br/>
        <w:t>"enhanced_steel_degrade_model": "enhanced_steel_degrade_model.pkl",</w:t>
        <w:br/>
        <w:t>"enhanced_steel_use_model":     "enhanced_steel_use_model.pkl",</w:t>
      </w:r>
    </w:p>
    <w:p>
      <w:pPr>
        <w:spacing w:after="200"/>
      </w:pPr>
    </w:p>
    <w:p>
      <w:pPr>
        <w:spacing w:before="360" w:after="120"/>
        <w:jc w:val="left"/>
      </w:pPr>
      <w:r>
        <w:rPr>
          <w:rFonts w:ascii="Arial" w:hAnsi="Arial"/>
          <w:b/>
          <w:color w:val="1F2A24"/>
          <w:sz w:val="32"/>
        </w:rPr>
        <w:t>5.  Recommendation engine</w:t>
      </w:r>
    </w:p>
    <w:p>
      <w:pPr>
        <w:pBdr>
          <w:bottom w:val="single" w:sz="6" w:space="1" w:color="CCCCCC"/>
        </w:pBdr>
        <w:spacing w:after="160"/>
      </w:pPr>
    </w:p>
    <w:p>
      <w:pPr>
        <w:spacing w:after="120"/>
      </w:pPr>
      <w:r>
        <w:rPr>
          <w:rFonts w:ascii="Arial" w:hAnsi="Arial"/>
          <w:i w:val="0"/>
          <w:color w:val="0A0A0A"/>
          <w:sz w:val="21"/>
        </w:rPr>
        <w:t>The recommendation engine maps model outputs to practical engineering guidance. It lives in backend/app/services/recommendation.py and requires no additional ML model. It uses a rule-based lookup table keyed on carbon equivalent (CE) and principal alloy elements to name the closest standard steel grade, then derives lifespan and repair tolerance from the degradation model output.</w:t>
      </w:r>
    </w:p>
    <w:p>
      <w:pPr>
        <w:spacing w:before="240" w:after="80"/>
        <w:jc w:val="left"/>
      </w:pPr>
      <w:r>
        <w:rPr>
          <w:rFonts w:ascii="Arial" w:hAnsi="Arial"/>
          <w:b/>
          <w:color w:val="1F2A24"/>
          <w:sz w:val="24"/>
        </w:rPr>
        <w:t>5.1  Grade lookup logic</w:t>
      </w:r>
    </w:p>
    <w:p>
      <w:pPr>
        <w:spacing w:after="120"/>
      </w:pPr>
      <w:r>
        <w:rPr>
          <w:rFonts w:ascii="Arial" w:hAnsi="Arial"/>
          <w:i w:val="0"/>
          <w:color w:val="0A0A0A"/>
          <w:sz w:val="21"/>
        </w:rPr>
        <w:t>The grade lookup table covers the 40 most common structural and engineering steels:</w:t>
      </w:r>
    </w:p>
    <w:p>
      <w:pPr>
        <w:pStyle w:val="ListBullet"/>
        <w:spacing w:after="60"/>
        <w:ind w:left="432"/>
      </w:pPr>
      <w:r>
        <w:rPr>
          <w:rFonts w:ascii="Arial" w:hAnsi="Arial"/>
          <w:color w:val="0A0A0A"/>
          <w:sz w:val="20"/>
        </w:rPr>
        <w:t>CE &lt; 0.25, Cr &lt; 1%: Mild steel — S235, S275, S355 (EN 10025)</w:t>
      </w:r>
    </w:p>
    <w:p>
      <w:pPr>
        <w:pStyle w:val="ListBullet"/>
        <w:spacing w:after="60"/>
        <w:ind w:left="432"/>
      </w:pPr>
      <w:r>
        <w:rPr>
          <w:rFonts w:ascii="Arial" w:hAnsi="Arial"/>
          <w:color w:val="0A0A0A"/>
          <w:sz w:val="20"/>
        </w:rPr>
        <w:t>CE 0.25–0.45, Cr 0.8–1.2%, Mo 0.15–0.3%: Low-alloy — AISI 4140, 4340</w:t>
      </w:r>
    </w:p>
    <w:p>
      <w:pPr>
        <w:pStyle w:val="ListBullet"/>
        <w:spacing w:after="60"/>
        <w:ind w:left="432"/>
      </w:pPr>
      <w:r>
        <w:rPr>
          <w:rFonts w:ascii="Arial" w:hAnsi="Arial"/>
          <w:color w:val="0A0A0A"/>
          <w:sz w:val="20"/>
        </w:rPr>
        <w:t>Cr &gt; 10.5%, Ni &lt; 1%: Martensitic stainless — AISI 420, 440</w:t>
      </w:r>
    </w:p>
    <w:p>
      <w:pPr>
        <w:pStyle w:val="ListBullet"/>
        <w:spacing w:after="60"/>
        <w:ind w:left="432"/>
      </w:pPr>
      <w:r>
        <w:rPr>
          <w:rFonts w:ascii="Arial" w:hAnsi="Arial"/>
          <w:color w:val="0A0A0A"/>
          <w:sz w:val="20"/>
        </w:rPr>
        <w:t>Cr &gt; 10.5%, Ni 4–6%: Duplex stainless — 2205, 2507</w:t>
      </w:r>
    </w:p>
    <w:p>
      <w:pPr>
        <w:pStyle w:val="ListBullet"/>
        <w:spacing w:after="60"/>
        <w:ind w:left="432"/>
      </w:pPr>
      <w:r>
        <w:rPr>
          <w:rFonts w:ascii="Arial" w:hAnsi="Arial"/>
          <w:color w:val="0A0A0A"/>
          <w:sz w:val="20"/>
        </w:rPr>
        <w:t>Cr &gt; 16%, Ni &gt; 8%: Austenitic stainless — AISI 304, 316, 316L</w:t>
      </w:r>
    </w:p>
    <w:p>
      <w:pPr>
        <w:pStyle w:val="ListBullet"/>
        <w:spacing w:after="60"/>
        <w:ind w:left="432"/>
      </w:pPr>
      <w:r>
        <w:rPr>
          <w:rFonts w:ascii="Arial" w:hAnsi="Arial"/>
          <w:color w:val="0A0A0A"/>
          <w:sz w:val="20"/>
        </w:rPr>
        <w:t>Ni &gt; 15%, Co &gt; 5%: Maraging steel — 18Ni300, 18Ni350</w:t>
      </w:r>
    </w:p>
    <w:p>
      <w:pPr>
        <w:pStyle w:val="ListBullet"/>
        <w:spacing w:after="60"/>
        <w:ind w:left="432"/>
      </w:pPr>
      <w:r>
        <w:rPr>
          <w:rFonts w:ascii="Arial" w:hAnsi="Arial"/>
          <w:color w:val="0A0A0A"/>
          <w:sz w:val="20"/>
        </w:rPr>
        <w:t>Cr &gt; 20%, Mo &gt; 3%: Super-duplex / super-austenitic — 904L, 254 SMO</w:t>
      </w:r>
    </w:p>
    <w:p>
      <w:pPr>
        <w:spacing w:before="240" w:after="80"/>
        <w:jc w:val="left"/>
      </w:pPr>
      <w:r>
        <w:rPr>
          <w:rFonts w:ascii="Arial" w:hAnsi="Arial"/>
          <w:b/>
          <w:color w:val="1F2A24"/>
          <w:sz w:val="24"/>
        </w:rPr>
        <w:t>5.2  Lifespan estimation</w:t>
      </w:r>
    </w:p>
    <w:p>
      <w:pPr>
        <w:spacing w:after="120"/>
      </w:pPr>
      <w:r>
        <w:rPr>
          <w:rFonts w:ascii="Arial" w:hAnsi="Arial"/>
          <w:i w:val="0"/>
          <w:color w:val="0A0A0A"/>
          <w:sz w:val="21"/>
        </w:rPr>
        <w:t>Lifespan is estimated from the degradation model's lifespan_index combined with application-specific safety factors from ASME/BS standards: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D3D2B"/>
          </w:tcPr>
          <w:p>
            <w:pPr>
              <w:jc w:val="left"/>
            </w:pPr>
            <w:r>
              <w:rPr>
                <w:rFonts w:ascii="Arial" w:hAnsi="Arial"/>
                <w:b/>
                <w:i w:val="0"/>
                <w:color w:val="FFFFFF"/>
                <w:sz w:val="19"/>
              </w:rPr>
              <w:t>Application</w:t>
            </w:r>
          </w:p>
        </w:tc>
        <w:tc>
          <w:tcPr>
            <w:tcW w:type="dxa" w:w="2268"/>
            <w:shd w:val="clear" w:color="auto" w:fill="0D3D2B"/>
          </w:tcPr>
          <w:p>
            <w:pPr>
              <w:jc w:val="left"/>
            </w:pPr>
            <w:r>
              <w:rPr>
                <w:rFonts w:ascii="Arial" w:hAnsi="Arial"/>
                <w:b/>
                <w:i w:val="0"/>
                <w:color w:val="FFFFFF"/>
                <w:sz w:val="19"/>
              </w:rPr>
              <w:t>Base life multiplier</w:t>
            </w:r>
          </w:p>
        </w:tc>
        <w:tc>
          <w:tcPr>
            <w:tcW w:type="dxa" w:w="2268"/>
            <w:shd w:val="clear" w:color="auto" w:fill="0D3D2B"/>
          </w:tcPr>
          <w:p>
            <w:pPr>
              <w:jc w:val="left"/>
            </w:pPr>
            <w:r>
              <w:rPr>
                <w:rFonts w:ascii="Arial" w:hAnsi="Arial"/>
                <w:b/>
                <w:i w:val="0"/>
                <w:color w:val="FFFFFF"/>
                <w:sz w:val="19"/>
              </w:rPr>
              <w:t>Repair cycle limit</w:t>
            </w:r>
          </w:p>
        </w:tc>
        <w:tc>
          <w:tcPr>
            <w:tcW w:type="dxa" w:w="2268"/>
            <w:shd w:val="clear" w:color="auto" w:fill="0D3D2B"/>
          </w:tcPr>
          <w:p>
            <w:pPr>
              <w:jc w:val="left"/>
            </w:pPr>
            <w:r>
              <w:rPr>
                <w:rFonts w:ascii="Arial" w:hAnsi="Arial"/>
                <w:b/>
                <w:i w:val="0"/>
                <w:color w:val="FFFFFF"/>
                <w:sz w:val="19"/>
              </w:rPr>
              <w:t>Standard ref.</w:t>
            </w:r>
          </w:p>
        </w:tc>
      </w:tr>
      <w:tr>
        <w:tc>
          <w:tcPr>
            <w:tcW w:type="dxa" w:w="2268"/>
            <w:shd w:val="clear" w:color="auto" w:fill="FFFFFF"/>
          </w:tcPr>
          <w:p>
            <w:pPr>
              <w:ind w:left="72"/>
            </w:pPr>
            <w:r>
              <w:rPr>
                <w:rFonts w:ascii="Arial" w:hAnsi="Arial"/>
                <w:color w:val="1F2A24"/>
                <w:sz w:val="18"/>
              </w:rPr>
              <w:t>Structural (buildings)</w:t>
            </w:r>
          </w:p>
        </w:tc>
        <w:tc>
          <w:tcPr>
            <w:tcW w:type="dxa" w:w="2268"/>
            <w:shd w:val="clear" w:color="auto" w:fill="FFFFFF"/>
          </w:tcPr>
          <w:p>
            <w:pPr>
              <w:ind w:left="72"/>
            </w:pPr>
            <w:r>
              <w:rPr>
                <w:rFonts w:ascii="Arial" w:hAnsi="Arial"/>
                <w:color w:val="6B7280"/>
                <w:sz w:val="18"/>
              </w:rPr>
              <w:t>× 50 years</w:t>
            </w:r>
          </w:p>
        </w:tc>
        <w:tc>
          <w:tcPr>
            <w:tcW w:type="dxa" w:w="2268"/>
            <w:shd w:val="clear" w:color="auto" w:fill="FFFFFF"/>
          </w:tcPr>
          <w:p>
            <w:pPr>
              <w:ind w:left="72"/>
            </w:pPr>
            <w:r>
              <w:rPr>
                <w:rFonts w:ascii="Arial" w:hAnsi="Arial"/>
                <w:color w:val="6B7280"/>
                <w:sz w:val="18"/>
              </w:rPr>
              <w:t>8 repairs</w:t>
            </w:r>
          </w:p>
        </w:tc>
        <w:tc>
          <w:tcPr>
            <w:tcW w:type="dxa" w:w="2268"/>
            <w:shd w:val="clear" w:color="auto" w:fill="FFFFFF"/>
          </w:tcPr>
          <w:p>
            <w:pPr>
              <w:ind w:left="72"/>
            </w:pPr>
            <w:r>
              <w:rPr>
                <w:rFonts w:ascii="Arial" w:hAnsi="Arial"/>
                <w:color w:val="6B7280"/>
                <w:sz w:val="18"/>
              </w:rPr>
              <w:t>BS EN 1993</w:t>
            </w:r>
          </w:p>
        </w:tc>
      </w:tr>
      <w:tr>
        <w:tc>
          <w:tcPr>
            <w:tcW w:type="dxa" w:w="2268"/>
            <w:shd w:val="clear" w:color="auto" w:fill="F8FFFE"/>
          </w:tcPr>
          <w:p>
            <w:pPr>
              <w:ind w:left="72"/>
            </w:pPr>
            <w:r>
              <w:rPr>
                <w:rFonts w:ascii="Arial" w:hAnsi="Arial"/>
                <w:color w:val="1F2A24"/>
                <w:sz w:val="18"/>
              </w:rPr>
              <w:t>Bridge / civil infra</w:t>
            </w:r>
          </w:p>
        </w:tc>
        <w:tc>
          <w:tcPr>
            <w:tcW w:type="dxa" w:w="2268"/>
            <w:shd w:val="clear" w:color="auto" w:fill="F8FFFE"/>
          </w:tcPr>
          <w:p>
            <w:pPr>
              <w:ind w:left="72"/>
            </w:pPr>
            <w:r>
              <w:rPr>
                <w:rFonts w:ascii="Arial" w:hAnsi="Arial"/>
                <w:color w:val="6B7280"/>
                <w:sz w:val="18"/>
              </w:rPr>
              <w:t>× 40 years</w:t>
            </w:r>
          </w:p>
        </w:tc>
        <w:tc>
          <w:tcPr>
            <w:tcW w:type="dxa" w:w="2268"/>
            <w:shd w:val="clear" w:color="auto" w:fill="F8FFFE"/>
          </w:tcPr>
          <w:p>
            <w:pPr>
              <w:ind w:left="72"/>
            </w:pPr>
            <w:r>
              <w:rPr>
                <w:rFonts w:ascii="Arial" w:hAnsi="Arial"/>
                <w:color w:val="6B7280"/>
                <w:sz w:val="18"/>
              </w:rPr>
              <w:t>6 repairs</w:t>
            </w:r>
          </w:p>
        </w:tc>
        <w:tc>
          <w:tcPr>
            <w:tcW w:type="dxa" w:w="2268"/>
            <w:shd w:val="clear" w:color="auto" w:fill="F8FFFE"/>
          </w:tcPr>
          <w:p>
            <w:pPr>
              <w:ind w:left="72"/>
            </w:pPr>
            <w:r>
              <w:rPr>
                <w:rFonts w:ascii="Arial" w:hAnsi="Arial"/>
                <w:color w:val="6B7280"/>
                <w:sz w:val="18"/>
              </w:rPr>
              <w:t>BS 5400</w:t>
            </w:r>
          </w:p>
        </w:tc>
      </w:tr>
      <w:tr>
        <w:tc>
          <w:tcPr>
            <w:tcW w:type="dxa" w:w="2268"/>
            <w:shd w:val="clear" w:color="auto" w:fill="FFFFFF"/>
          </w:tcPr>
          <w:p>
            <w:pPr>
              <w:ind w:left="72"/>
            </w:pPr>
            <w:r>
              <w:rPr>
                <w:rFonts w:ascii="Arial" w:hAnsi="Arial"/>
                <w:color w:val="1F2A24"/>
                <w:sz w:val="18"/>
              </w:rPr>
              <w:t>Pressure vessel</w:t>
            </w:r>
          </w:p>
        </w:tc>
        <w:tc>
          <w:tcPr>
            <w:tcW w:type="dxa" w:w="2268"/>
            <w:shd w:val="clear" w:color="auto" w:fill="FFFFFF"/>
          </w:tcPr>
          <w:p>
            <w:pPr>
              <w:ind w:left="72"/>
            </w:pPr>
            <w:r>
              <w:rPr>
                <w:rFonts w:ascii="Arial" w:hAnsi="Arial"/>
                <w:color w:val="6B7280"/>
                <w:sz w:val="18"/>
              </w:rPr>
              <w:t>× 30 years</w:t>
            </w:r>
          </w:p>
        </w:tc>
        <w:tc>
          <w:tcPr>
            <w:tcW w:type="dxa" w:w="2268"/>
            <w:shd w:val="clear" w:color="auto" w:fill="FFFFFF"/>
          </w:tcPr>
          <w:p>
            <w:pPr>
              <w:ind w:left="72"/>
            </w:pPr>
            <w:r>
              <w:rPr>
                <w:rFonts w:ascii="Arial" w:hAnsi="Arial"/>
                <w:color w:val="6B7280"/>
                <w:sz w:val="18"/>
              </w:rPr>
              <w:t>4 repairs</w:t>
            </w:r>
          </w:p>
        </w:tc>
        <w:tc>
          <w:tcPr>
            <w:tcW w:type="dxa" w:w="2268"/>
            <w:shd w:val="clear" w:color="auto" w:fill="FFFFFF"/>
          </w:tcPr>
          <w:p>
            <w:pPr>
              <w:ind w:left="72"/>
            </w:pPr>
            <w:r>
              <w:rPr>
                <w:rFonts w:ascii="Arial" w:hAnsi="Arial"/>
                <w:color w:val="6B7280"/>
                <w:sz w:val="18"/>
              </w:rPr>
              <w:t>ASME VIII</w:t>
            </w:r>
          </w:p>
        </w:tc>
      </w:tr>
      <w:tr>
        <w:tc>
          <w:tcPr>
            <w:tcW w:type="dxa" w:w="2268"/>
            <w:shd w:val="clear" w:color="auto" w:fill="F8FFFE"/>
          </w:tcPr>
          <w:p>
            <w:pPr>
              <w:ind w:left="72"/>
            </w:pPr>
            <w:r>
              <w:rPr>
                <w:rFonts w:ascii="Arial" w:hAnsi="Arial"/>
                <w:color w:val="1F2A24"/>
                <w:sz w:val="18"/>
              </w:rPr>
              <w:t>Pipeline (onshore)</w:t>
            </w:r>
          </w:p>
        </w:tc>
        <w:tc>
          <w:tcPr>
            <w:tcW w:type="dxa" w:w="2268"/>
            <w:shd w:val="clear" w:color="auto" w:fill="F8FFFE"/>
          </w:tcPr>
          <w:p>
            <w:pPr>
              <w:ind w:left="72"/>
            </w:pPr>
            <w:r>
              <w:rPr>
                <w:rFonts w:ascii="Arial" w:hAnsi="Arial"/>
                <w:color w:val="6B7280"/>
                <w:sz w:val="18"/>
              </w:rPr>
              <w:t>× 35 years</w:t>
            </w:r>
          </w:p>
        </w:tc>
        <w:tc>
          <w:tcPr>
            <w:tcW w:type="dxa" w:w="2268"/>
            <w:shd w:val="clear" w:color="auto" w:fill="F8FFFE"/>
          </w:tcPr>
          <w:p>
            <w:pPr>
              <w:ind w:left="72"/>
            </w:pPr>
            <w:r>
              <w:rPr>
                <w:rFonts w:ascii="Arial" w:hAnsi="Arial"/>
                <w:color w:val="6B7280"/>
                <w:sz w:val="18"/>
              </w:rPr>
              <w:t>5 repairs</w:t>
            </w:r>
          </w:p>
        </w:tc>
        <w:tc>
          <w:tcPr>
            <w:tcW w:type="dxa" w:w="2268"/>
            <w:shd w:val="clear" w:color="auto" w:fill="F8FFFE"/>
          </w:tcPr>
          <w:p>
            <w:pPr>
              <w:ind w:left="72"/>
            </w:pPr>
            <w:r>
              <w:rPr>
                <w:rFonts w:ascii="Arial" w:hAnsi="Arial"/>
                <w:color w:val="6B7280"/>
                <w:sz w:val="18"/>
              </w:rPr>
              <w:t>ASME B31.3</w:t>
            </w:r>
          </w:p>
        </w:tc>
      </w:tr>
      <w:tr>
        <w:tc>
          <w:tcPr>
            <w:tcW w:type="dxa" w:w="2268"/>
            <w:shd w:val="clear" w:color="auto" w:fill="FFFFFF"/>
          </w:tcPr>
          <w:p>
            <w:pPr>
              <w:ind w:left="72"/>
            </w:pPr>
            <w:r>
              <w:rPr>
                <w:rFonts w:ascii="Arial" w:hAnsi="Arial"/>
                <w:color w:val="1F2A24"/>
                <w:sz w:val="18"/>
              </w:rPr>
              <w:t>Offshore platform</w:t>
            </w:r>
          </w:p>
        </w:tc>
        <w:tc>
          <w:tcPr>
            <w:tcW w:type="dxa" w:w="2268"/>
            <w:shd w:val="clear" w:color="auto" w:fill="FFFFFF"/>
          </w:tcPr>
          <w:p>
            <w:pPr>
              <w:ind w:left="72"/>
            </w:pPr>
            <w:r>
              <w:rPr>
                <w:rFonts w:ascii="Arial" w:hAnsi="Arial"/>
                <w:color w:val="6B7280"/>
                <w:sz w:val="18"/>
              </w:rPr>
              <w:t>× 25 years</w:t>
            </w:r>
          </w:p>
        </w:tc>
        <w:tc>
          <w:tcPr>
            <w:tcW w:type="dxa" w:w="2268"/>
            <w:shd w:val="clear" w:color="auto" w:fill="FFFFFF"/>
          </w:tcPr>
          <w:p>
            <w:pPr>
              <w:ind w:left="72"/>
            </w:pPr>
            <w:r>
              <w:rPr>
                <w:rFonts w:ascii="Arial" w:hAnsi="Arial"/>
                <w:color w:val="6B7280"/>
                <w:sz w:val="18"/>
              </w:rPr>
              <w:t>4 repairs</w:t>
            </w:r>
          </w:p>
        </w:tc>
        <w:tc>
          <w:tcPr>
            <w:tcW w:type="dxa" w:w="2268"/>
            <w:shd w:val="clear" w:color="auto" w:fill="FFFFFF"/>
          </w:tcPr>
          <w:p>
            <w:pPr>
              <w:ind w:left="72"/>
            </w:pPr>
            <w:r>
              <w:rPr>
                <w:rFonts w:ascii="Arial" w:hAnsi="Arial"/>
                <w:color w:val="6B7280"/>
                <w:sz w:val="18"/>
              </w:rPr>
              <w:t>DNV-OS-C101</w:t>
            </w:r>
          </w:p>
        </w:tc>
      </w:tr>
      <w:tr>
        <w:tc>
          <w:tcPr>
            <w:tcW w:type="dxa" w:w="2268"/>
            <w:shd w:val="clear" w:color="auto" w:fill="F8FFFE"/>
          </w:tcPr>
          <w:p>
            <w:pPr>
              <w:ind w:left="72"/>
            </w:pPr>
            <w:r>
              <w:rPr>
                <w:rFonts w:ascii="Arial" w:hAnsi="Arial"/>
                <w:color w:val="1F2A24"/>
                <w:sz w:val="18"/>
              </w:rPr>
              <w:t>Rotating machinery</w:t>
            </w:r>
          </w:p>
        </w:tc>
        <w:tc>
          <w:tcPr>
            <w:tcW w:type="dxa" w:w="2268"/>
            <w:shd w:val="clear" w:color="auto" w:fill="F8FFFE"/>
          </w:tcPr>
          <w:p>
            <w:pPr>
              <w:ind w:left="72"/>
            </w:pPr>
            <w:r>
              <w:rPr>
                <w:rFonts w:ascii="Arial" w:hAnsi="Arial"/>
                <w:color w:val="6B7280"/>
                <w:sz w:val="18"/>
              </w:rPr>
              <w:t>× 20 years</w:t>
            </w:r>
          </w:p>
        </w:tc>
        <w:tc>
          <w:tcPr>
            <w:tcW w:type="dxa" w:w="2268"/>
            <w:shd w:val="clear" w:color="auto" w:fill="F8FFFE"/>
          </w:tcPr>
          <w:p>
            <w:pPr>
              <w:ind w:left="72"/>
            </w:pPr>
            <w:r>
              <w:rPr>
                <w:rFonts w:ascii="Arial" w:hAnsi="Arial"/>
                <w:color w:val="6B7280"/>
                <w:sz w:val="18"/>
              </w:rPr>
              <w:t>3 repairs</w:t>
            </w:r>
          </w:p>
        </w:tc>
        <w:tc>
          <w:tcPr>
            <w:tcW w:type="dxa" w:w="2268"/>
            <w:shd w:val="clear" w:color="auto" w:fill="F8FFFE"/>
          </w:tcPr>
          <w:p>
            <w:pPr>
              <w:ind w:left="72"/>
            </w:pPr>
            <w:r>
              <w:rPr>
                <w:rFonts w:ascii="Arial" w:hAnsi="Arial"/>
                <w:color w:val="6B7280"/>
                <w:sz w:val="18"/>
              </w:rPr>
              <w:t>ISO 9283</w:t>
            </w:r>
          </w:p>
        </w:tc>
      </w:tr>
    </w:tbl>
    <w:p>
      <w:pPr>
        <w:spacing w:after="160"/>
      </w:pPr>
    </w:p>
    <w:p>
      <w:pPr>
        <w:spacing w:after="120"/>
      </w:pPr>
      <w:r>
        <w:rPr>
          <w:rFonts w:ascii="Arial" w:hAnsi="Arial"/>
          <w:i w:val="0"/>
          <w:color w:val="0A0A0A"/>
          <w:sz w:val="21"/>
        </w:rPr>
        <w:t>Lifespan in years = lifespan_index × base_multiplier. Maximum repair cycles = repair_cycle_limit × lifespan_index (rounded down). Post-repair residual strength is simulated iteratively: Sy_n = Sy × (repair_factor)^n until Sy_n &lt; 0.70 × Sy₀ (replacement threshold).</w:t>
      </w:r>
    </w:p>
    <w:p>
      <w:pPr>
        <w:spacing w:after="160"/>
      </w:pPr>
    </w:p>
    <w:p>
      <w:r>
        <w:br w:type="page"/>
      </w:r>
    </w:p>
    <w:p>
      <w:pPr>
        <w:spacing w:before="360" w:after="120"/>
        <w:jc w:val="left"/>
      </w:pPr>
      <w:r>
        <w:rPr>
          <w:rFonts w:ascii="Arial" w:hAnsi="Arial"/>
          <w:b/>
          <w:color w:val="1F2A24"/>
          <w:sz w:val="32"/>
        </w:rPr>
        <w:t>6.  Frontend changes</w:t>
      </w:r>
    </w:p>
    <w:p>
      <w:pPr>
        <w:pBdr>
          <w:bottom w:val="single" w:sz="6" w:space="1" w:color="CCCCCC"/>
        </w:pBdr>
        <w:spacing w:after="160"/>
      </w:pPr>
    </w:p>
    <w:p>
      <w:pPr>
        <w:spacing w:before="240" w:after="80"/>
        <w:jc w:val="left"/>
      </w:pPr>
      <w:r>
        <w:rPr>
          <w:rFonts w:ascii="Arial" w:hAnsi="Arial"/>
          <w:b/>
          <w:color w:val="1F2A24"/>
          <w:sz w:val="24"/>
        </w:rPr>
        <w:t>6.1  New tab in PredictPage.jsx</w:t>
      </w:r>
    </w:p>
    <w:p>
      <w:pPr>
        <w:spacing w:after="120"/>
      </w:pPr>
      <w:r>
        <w:rPr>
          <w:rFonts w:ascii="Arial" w:hAnsi="Arial"/>
          <w:i w:val="0"/>
          <w:color w:val="0A0A0A"/>
          <w:sz w:val="21"/>
        </w:rPr>
        <w:t>Add a fourth tab to the existing TabSwitcher:</w:t>
      </w:r>
    </w:p>
    <w:p>
      <w:pPr>
        <w:pStyle w:val="ListBullet"/>
        <w:spacing w:after="60"/>
        <w:ind w:left="432"/>
      </w:pPr>
      <w:r>
        <w:rPr>
          <w:rFonts w:ascii="Arial" w:hAnsi="Arial"/>
          <w:color w:val="0A0A0A"/>
          <w:sz w:val="20"/>
        </w:rPr>
        <w:t>"⚗ Enhanced Steel" — mounts the EnhancedSteelForm component</w:t>
      </w:r>
    </w:p>
    <w:p>
      <w:pPr>
        <w:spacing w:after="120"/>
      </w:pPr>
      <w:r>
        <w:rPr>
          <w:rFonts w:ascii="Arial" w:hAnsi="Arial"/>
          <w:i w:val="0"/>
          <w:color w:val="0A0A0A"/>
          <w:sz w:val="21"/>
        </w:rPr>
        <w:t>Keep the existing Concrete, Steel, and Materials tabs unchanged. The new tab does not replace the existing steel tab — it supplements it.</w:t>
      </w:r>
    </w:p>
    <w:p>
      <w:pPr>
        <w:spacing w:before="240" w:after="80"/>
        <w:jc w:val="left"/>
      </w:pPr>
      <w:r>
        <w:rPr>
          <w:rFonts w:ascii="Arial" w:hAnsi="Arial"/>
          <w:b/>
          <w:color w:val="1F2A24"/>
          <w:sz w:val="24"/>
        </w:rPr>
        <w:t>6.2  New components to create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3D2B"/>
          </w:tcPr>
          <w:p>
            <w:pPr>
              <w:jc w:val="left"/>
            </w:pPr>
            <w:r>
              <w:rPr>
                <w:rFonts w:ascii="Arial" w:hAnsi="Arial"/>
                <w:b/>
                <w:i w:val="0"/>
                <w:color w:val="FFFFFF"/>
                <w:sz w:val="19"/>
              </w:rPr>
              <w:t>Component</w:t>
            </w:r>
          </w:p>
        </w:tc>
        <w:tc>
          <w:tcPr>
            <w:tcW w:type="dxa" w:w="3024"/>
            <w:shd w:val="clear" w:color="auto" w:fill="0D3D2B"/>
          </w:tcPr>
          <w:p>
            <w:pPr>
              <w:jc w:val="left"/>
            </w:pPr>
            <w:r>
              <w:rPr>
                <w:rFonts w:ascii="Arial" w:hAnsi="Arial"/>
                <w:b/>
                <w:i w:val="0"/>
                <w:color w:val="FFFFFF"/>
                <w:sz w:val="19"/>
              </w:rPr>
              <w:t>File</w:t>
            </w:r>
          </w:p>
        </w:tc>
        <w:tc>
          <w:tcPr>
            <w:tcW w:type="dxa" w:w="3024"/>
            <w:shd w:val="clear" w:color="auto" w:fill="0D3D2B"/>
          </w:tcPr>
          <w:p>
            <w:pPr>
              <w:jc w:val="left"/>
            </w:pPr>
            <w:r>
              <w:rPr>
                <w:rFonts w:ascii="Arial" w:hAnsi="Arial"/>
                <w:b/>
                <w:i w:val="0"/>
                <w:color w:val="FFFFFF"/>
                <w:sz w:val="19"/>
              </w:rPr>
              <w:t>Purpose</w:t>
            </w:r>
          </w:p>
        </w:tc>
      </w:tr>
      <w:tr>
        <w:tc>
          <w:tcPr>
            <w:tcW w:type="dxa" w:w="3024"/>
            <w:shd w:val="clear" w:color="auto" w:fill="FFFFFF"/>
          </w:tcPr>
          <w:p>
            <w:pPr>
              <w:ind w:left="72"/>
            </w:pPr>
            <w:r>
              <w:rPr>
                <w:rFonts w:ascii="Arial" w:hAnsi="Arial"/>
                <w:b/>
                <w:color w:val="1F2A24"/>
                <w:sz w:val="18"/>
              </w:rPr>
              <w:t>EnhancedSteelForm</w:t>
            </w:r>
          </w:p>
        </w:tc>
        <w:tc>
          <w:tcPr>
            <w:tcW w:type="dxa" w:w="3024"/>
            <w:shd w:val="clear" w:color="auto" w:fill="FFFFFF"/>
          </w:tcPr>
          <w:p>
            <w:pPr>
              <w:ind w:left="72"/>
            </w:pPr>
            <w:r>
              <w:rPr>
                <w:rFonts w:ascii="Arial" w:hAnsi="Arial"/>
                <w:b w:val="0"/>
                <w:color w:val="1F2A24"/>
                <w:sz w:val="17"/>
              </w:rPr>
              <w:t>frontend/src/components/predict/EnhancedSteelForm.jsx</w:t>
            </w:r>
          </w:p>
        </w:tc>
        <w:tc>
          <w:tcPr>
            <w:tcW w:type="dxa" w:w="3024"/>
            <w:shd w:val="clear" w:color="auto" w:fill="FFFFFF"/>
          </w:tcPr>
          <w:p>
            <w:pPr>
              <w:ind w:left="72"/>
            </w:pPr>
            <w:r>
              <w:rPr>
                <w:rFonts w:ascii="Arial" w:hAnsi="Arial"/>
                <w:b w:val="0"/>
                <w:color w:val="6B7280"/>
                <w:sz w:val="18"/>
              </w:rPr>
              <w:t>13 composition inputs + repair_cycles slider + application selector</w:t>
            </w:r>
          </w:p>
        </w:tc>
      </w:tr>
      <w:tr>
        <w:tc>
          <w:tcPr>
            <w:tcW w:type="dxa" w:w="3024"/>
            <w:shd w:val="clear" w:color="auto" w:fill="F8FFFE"/>
          </w:tcPr>
          <w:p>
            <w:pPr>
              <w:ind w:left="72"/>
            </w:pPr>
            <w:r>
              <w:rPr>
                <w:rFonts w:ascii="Arial" w:hAnsi="Arial"/>
                <w:b/>
                <w:color w:val="1F2A24"/>
                <w:sz w:val="18"/>
              </w:rPr>
              <w:t>EnhancedSteelResult</w:t>
            </w:r>
          </w:p>
        </w:tc>
        <w:tc>
          <w:tcPr>
            <w:tcW w:type="dxa" w:w="3024"/>
            <w:shd w:val="clear" w:color="auto" w:fill="F8FFFE"/>
          </w:tcPr>
          <w:p>
            <w:pPr>
              <w:ind w:left="72"/>
            </w:pPr>
            <w:r>
              <w:rPr>
                <w:rFonts w:ascii="Arial" w:hAnsi="Arial"/>
                <w:b w:val="0"/>
                <w:color w:val="1F2A24"/>
                <w:sz w:val="17"/>
              </w:rPr>
              <w:t>frontend/src/components/predict/EnhancedSteelResult.jsx</w:t>
            </w:r>
          </w:p>
        </w:tc>
        <w:tc>
          <w:tcPr>
            <w:tcW w:type="dxa" w:w="3024"/>
            <w:shd w:val="clear" w:color="auto" w:fill="F8FFFE"/>
          </w:tcPr>
          <w:p>
            <w:pPr>
              <w:ind w:left="72"/>
            </w:pPr>
            <w:r>
              <w:rPr>
                <w:rFonts w:ascii="Arial" w:hAnsi="Arial"/>
                <w:b w:val="0"/>
                <w:color w:val="6B7280"/>
                <w:sz w:val="18"/>
              </w:rPr>
              <w:t>Tabbed result panel: Properties | Strength | Repair | Recommendation</w:t>
            </w:r>
          </w:p>
        </w:tc>
      </w:tr>
      <w:tr>
        <w:tc>
          <w:tcPr>
            <w:tcW w:type="dxa" w:w="3024"/>
            <w:shd w:val="clear" w:color="auto" w:fill="FFFFFF"/>
          </w:tcPr>
          <w:p>
            <w:pPr>
              <w:ind w:left="72"/>
            </w:pPr>
            <w:r>
              <w:rPr>
                <w:rFonts w:ascii="Arial" w:hAnsi="Arial"/>
                <w:b/>
                <w:color w:val="1F2A24"/>
                <w:sz w:val="18"/>
              </w:rPr>
              <w:t>RepairCurveChart</w:t>
            </w:r>
          </w:p>
        </w:tc>
        <w:tc>
          <w:tcPr>
            <w:tcW w:type="dxa" w:w="3024"/>
            <w:shd w:val="clear" w:color="auto" w:fill="FFFFFF"/>
          </w:tcPr>
          <w:p>
            <w:pPr>
              <w:ind w:left="72"/>
            </w:pPr>
            <w:r>
              <w:rPr>
                <w:rFonts w:ascii="Arial" w:hAnsi="Arial"/>
                <w:b w:val="0"/>
                <w:color w:val="1F2A24"/>
                <w:sz w:val="17"/>
              </w:rPr>
              <w:t>frontend/src/components/predict/RepairCurveChart.jsx</w:t>
            </w:r>
          </w:p>
        </w:tc>
        <w:tc>
          <w:tcPr>
            <w:tcW w:type="dxa" w:w="3024"/>
            <w:shd w:val="clear" w:color="auto" w:fill="FFFFFF"/>
          </w:tcPr>
          <w:p>
            <w:pPr>
              <w:ind w:left="72"/>
            </w:pPr>
            <w:r>
              <w:rPr>
                <w:rFonts w:ascii="Arial" w:hAnsi="Arial"/>
                <w:b w:val="0"/>
                <w:color w:val="6B7280"/>
                <w:sz w:val="18"/>
              </w:rPr>
              <w:t>Line chart (Recharts) — residual strength vs repair cycle count</w:t>
            </w:r>
          </w:p>
        </w:tc>
      </w:tr>
      <w:tr>
        <w:tc>
          <w:tcPr>
            <w:tcW w:type="dxa" w:w="3024"/>
            <w:shd w:val="clear" w:color="auto" w:fill="F8FFFE"/>
          </w:tcPr>
          <w:p>
            <w:pPr>
              <w:ind w:left="72"/>
            </w:pPr>
            <w:r>
              <w:rPr>
                <w:rFonts w:ascii="Arial" w:hAnsi="Arial"/>
                <w:b/>
                <w:color w:val="1F2A24"/>
                <w:sz w:val="18"/>
              </w:rPr>
              <w:t>GradeRecommendCard</w:t>
            </w:r>
          </w:p>
        </w:tc>
        <w:tc>
          <w:tcPr>
            <w:tcW w:type="dxa" w:w="3024"/>
            <w:shd w:val="clear" w:color="auto" w:fill="F8FFFE"/>
          </w:tcPr>
          <w:p>
            <w:pPr>
              <w:ind w:left="72"/>
            </w:pPr>
            <w:r>
              <w:rPr>
                <w:rFonts w:ascii="Arial" w:hAnsi="Arial"/>
                <w:b w:val="0"/>
                <w:color w:val="1F2A24"/>
                <w:sz w:val="17"/>
              </w:rPr>
              <w:t>frontend/src/components/predict/GradeRecommendCard.jsx</w:t>
            </w:r>
          </w:p>
        </w:tc>
        <w:tc>
          <w:tcPr>
            <w:tcW w:type="dxa" w:w="3024"/>
            <w:shd w:val="clear" w:color="auto" w:fill="F8FFFE"/>
          </w:tcPr>
          <w:p>
            <w:pPr>
              <w:ind w:left="72"/>
            </w:pPr>
            <w:r>
              <w:rPr>
                <w:rFonts w:ascii="Arial" w:hAnsi="Arial"/>
                <w:b w:val="0"/>
                <w:color w:val="6B7280"/>
                <w:sz w:val="18"/>
              </w:rPr>
              <w:t>Glass card — grade name, lifespan, max repairs, verdict paragraph</w:t>
            </w:r>
          </w:p>
        </w:tc>
      </w:tr>
      <w:tr>
        <w:tc>
          <w:tcPr>
            <w:tcW w:type="dxa" w:w="3024"/>
            <w:shd w:val="clear" w:color="auto" w:fill="FFFFFF"/>
          </w:tcPr>
          <w:p>
            <w:pPr>
              <w:ind w:left="72"/>
            </w:pPr>
            <w:r>
              <w:rPr>
                <w:rFonts w:ascii="Arial" w:hAnsi="Arial"/>
                <w:b/>
                <w:color w:val="1F2A24"/>
                <w:sz w:val="18"/>
              </w:rPr>
              <w:t>PropertyGrid</w:t>
            </w:r>
          </w:p>
        </w:tc>
        <w:tc>
          <w:tcPr>
            <w:tcW w:type="dxa" w:w="3024"/>
            <w:shd w:val="clear" w:color="auto" w:fill="FFFFFF"/>
          </w:tcPr>
          <w:p>
            <w:pPr>
              <w:ind w:left="72"/>
            </w:pPr>
            <w:r>
              <w:rPr>
                <w:rFonts w:ascii="Arial" w:hAnsi="Arial"/>
                <w:b w:val="0"/>
                <w:color w:val="1F2A24"/>
                <w:sz w:val="17"/>
              </w:rPr>
              <w:t>frontend/src/components/predict/PropertyGrid.jsx</w:t>
            </w:r>
          </w:p>
        </w:tc>
        <w:tc>
          <w:tcPr>
            <w:tcW w:type="dxa" w:w="3024"/>
            <w:shd w:val="clear" w:color="auto" w:fill="FFFFFF"/>
          </w:tcPr>
          <w:p>
            <w:pPr>
              <w:ind w:left="72"/>
            </w:pPr>
            <w:r>
              <w:rPr>
                <w:rFonts w:ascii="Arial" w:hAnsi="Arial"/>
                <w:b w:val="0"/>
                <w:color w:val="6B7280"/>
                <w:sz w:val="18"/>
              </w:rPr>
              <w:t>Reusable 2×3 grid of ResultCards for the six module outputs</w:t>
            </w:r>
          </w:p>
        </w:tc>
      </w:tr>
    </w:tbl>
    <w:p>
      <w:pPr>
        <w:spacing w:after="160"/>
      </w:pPr>
    </w:p>
    <w:p>
      <w:pPr>
        <w:spacing w:before="240" w:after="80"/>
        <w:jc w:val="left"/>
      </w:pPr>
      <w:r>
        <w:rPr>
          <w:rFonts w:ascii="Arial" w:hAnsi="Arial"/>
          <w:b/>
          <w:color w:val="1F2A24"/>
          <w:sz w:val="24"/>
        </w:rPr>
        <w:t>6.3  Result panel layout (EnhancedSteelResult)</w:t>
      </w:r>
    </w:p>
    <w:p>
      <w:pPr>
        <w:spacing w:after="120"/>
      </w:pPr>
      <w:r>
        <w:rPr>
          <w:rFonts w:ascii="Arial" w:hAnsi="Arial"/>
          <w:i w:val="0"/>
          <w:color w:val="0A0A0A"/>
          <w:sz w:val="21"/>
        </w:rPr>
        <w:t>The result panel renders four internal tabs after a successful prediction:</w:t>
      </w:r>
    </w:p>
    <w:p>
      <w:pPr>
        <w:pStyle w:val="ListBullet"/>
        <w:spacing w:after="60"/>
        <w:ind w:left="432"/>
      </w:pPr>
      <w:r>
        <w:rPr>
          <w:rFonts w:ascii="Arial" w:hAnsi="Arial"/>
          <w:color w:val="0A0A0A"/>
          <w:sz w:val="20"/>
        </w:rPr>
        <w:t>Tab 1 — Properties: two PropertyGrid cards side by side — Mechanical (E, G, mu) and Thermal (conductivity, Tc, density)</w:t>
      </w:r>
    </w:p>
    <w:p>
      <w:pPr>
        <w:pStyle w:val="ListBullet"/>
        <w:spacing w:after="60"/>
        <w:ind w:left="432"/>
      </w:pPr>
      <w:r>
        <w:rPr>
          <w:rFonts w:ascii="Arial" w:hAnsi="Arial"/>
          <w:color w:val="0A0A0A"/>
          <w:sz w:val="20"/>
        </w:rPr>
        <w:t>Tab 2 — Strength: three ResultCards (Su, Sy, elongation pre-repair) + three ResultCards (Su_post, Sy_post, strength loss %) side by side with a divider labelled "Before / After one repair"</w:t>
      </w:r>
    </w:p>
    <w:p>
      <w:pPr>
        <w:pStyle w:val="ListBullet"/>
        <w:spacing w:after="60"/>
        <w:ind w:left="432"/>
      </w:pPr>
      <w:r>
        <w:rPr>
          <w:rFonts w:ascii="Arial" w:hAnsi="Arial"/>
          <w:color w:val="0A0A0A"/>
          <w:sz w:val="20"/>
        </w:rPr>
        <w:t>Tab 3 — Repair cycle: RepairCurveChart showing residual Su and Sy across 0–10 repair cycles with the replacement threshold (70% of original) as a dashed red line. Below the chart: a plain-language statement e.g. "Strength falls below safe threshold after 6 repairs."</w:t>
      </w:r>
    </w:p>
    <w:p>
      <w:pPr>
        <w:pStyle w:val="ListBullet"/>
        <w:spacing w:after="60"/>
        <w:ind w:left="432"/>
      </w:pPr>
      <w:r>
        <w:rPr>
          <w:rFonts w:ascii="Arial" w:hAnsi="Arial"/>
          <w:color w:val="0A0A0A"/>
          <w:sz w:val="20"/>
        </w:rPr>
        <w:t>Tab 4 — Recommendation: GradeRecommendCard with grade name in large Syne font, lifespan bar (per application), max repairs badge, weldability class badge, and a full verdict paragraph in DM Sans.</w:t>
      </w:r>
    </w:p>
    <w:p>
      <w:pPr>
        <w:spacing w:before="240" w:after="80"/>
        <w:jc w:val="left"/>
      </w:pPr>
      <w:r>
        <w:rPr>
          <w:rFonts w:ascii="Arial" w:hAnsi="Arial"/>
          <w:b/>
          <w:color w:val="1F2A24"/>
          <w:sz w:val="24"/>
        </w:rPr>
        <w:t>6.4  API wiring — predictions.js addition</w:t>
      </w:r>
    </w:p>
    <w:p>
      <w:pPr>
        <w:ind w:left="432"/>
      </w:pPr>
      <w:r>
        <w:rPr>
          <w:rFonts w:ascii="Courier New" w:hAnsi="Courier New"/>
          <w:color w:val="0D3D2B"/>
          <w:sz w:val="17"/>
        </w:rPr>
        <w:t>export async function predictEnhancedSteel(formData) {</w:t>
        <w:br/>
        <w:t xml:space="preserve">  return apiCall('/api/predict/enhanced-steel', {</w:t>
        <w:br/>
        <w:t xml:space="preserve">    ...formData,</w:t>
        <w:br/>
        <w:t xml:space="preserve">    repair_cycles: formData.repair_cycles ?? 0,</w:t>
        <w:br/>
        <w:t xml:space="preserve">    application:   formData.application   ?? "structural",</w:t>
        <w:br/>
        <w:t xml:space="preserve">  });</w:t>
        <w:br/>
        <w:t>}</w:t>
      </w:r>
    </w:p>
    <w:p>
      <w:pPr>
        <w:spacing w:after="200"/>
      </w:pPr>
    </w:p>
    <w:p>
      <w:pPr>
        <w:spacing w:before="360" w:after="120"/>
        <w:jc w:val="left"/>
      </w:pPr>
      <w:r>
        <w:rPr>
          <w:rFonts w:ascii="Arial" w:hAnsi="Arial"/>
          <w:b/>
          <w:color w:val="1F2A24"/>
          <w:sz w:val="32"/>
        </w:rPr>
        <w:t>7.  Training script</w:t>
      </w:r>
    </w:p>
    <w:p>
      <w:pPr>
        <w:pBdr>
          <w:bottom w:val="single" w:sz="6" w:space="1" w:color="CCCCCC"/>
        </w:pBdr>
        <w:spacing w:after="160"/>
      </w:pPr>
    </w:p>
    <w:p>
      <w:pPr>
        <w:spacing w:after="120"/>
      </w:pPr>
      <w:r>
        <w:rPr>
          <w:rFonts w:ascii="Arial" w:hAnsi="Arial"/>
          <w:i w:val="0"/>
          <w:color w:val="0A0A0A"/>
          <w:sz w:val="21"/>
        </w:rPr>
        <w:t>File: training/train_enhanced_steel.py  (provided separately in this package)</w:t>
      </w:r>
    </w:p>
    <w:p>
      <w:pPr>
        <w:spacing w:after="120"/>
      </w:pPr>
      <w:r>
        <w:rPr>
          <w:rFonts w:ascii="Arial" w:hAnsi="Arial"/>
          <w:i w:val="0"/>
          <w:color w:val="0A0A0A"/>
          <w:sz w:val="21"/>
        </w:rPr>
        <w:t>Run from training/ directory with the existing Anaconda environment (matml-training):</w:t>
      </w:r>
    </w:p>
    <w:p>
      <w:pPr>
        <w:ind w:left="432"/>
      </w:pPr>
      <w:r>
        <w:rPr>
          <w:rFonts w:ascii="Courier New" w:hAnsi="Courier New"/>
          <w:color w:val="0D3D2B"/>
          <w:sz w:val="18"/>
        </w:rPr>
        <w:t>conda activate matml-training</w:t>
        <w:br/>
        <w:t>cd training</w:t>
        <w:br/>
        <w:t>python train_enhanced_steel.py</w:t>
        <w:br/>
        <w:t># → writes 10 files to ../backend/trained_models/</w:t>
      </w:r>
    </w:p>
    <w:p>
      <w:pPr>
        <w:spacing w:after="120"/>
      </w:pPr>
    </w:p>
    <w:p>
      <w:pPr>
        <w:spacing w:after="120"/>
      </w:pPr>
      <w:r>
        <w:rPr>
          <w:rFonts w:ascii="Arial" w:hAnsi="Arial"/>
          <w:i w:val="0"/>
          <w:color w:val="0A0A0A"/>
          <w:sz w:val="21"/>
        </w:rPr>
        <w:t>The script is self-contained. It loads both CSVs, augments the steel dataset with physics-derived columns, merges the two datasets, and trains all six models in sequence with printed comparison tables before saving. No external datasets or API keys required.</w:t>
      </w:r>
    </w:p>
    <w:p>
      <w:pPr>
        <w:spacing w:after="160"/>
      </w:pPr>
    </w:p>
    <w:p>
      <w:pPr>
        <w:spacing w:before="360" w:after="120"/>
        <w:jc w:val="left"/>
      </w:pPr>
      <w:r>
        <w:rPr>
          <w:rFonts w:ascii="Arial" w:hAnsi="Arial"/>
          <w:b/>
          <w:color w:val="1F2A24"/>
          <w:sz w:val="32"/>
        </w:rPr>
        <w:t>8.  Cost service extension</w:t>
      </w:r>
    </w:p>
    <w:p>
      <w:pPr>
        <w:pBdr>
          <w:bottom w:val="single" w:sz="6" w:space="1" w:color="CCCCCC"/>
        </w:pBdr>
        <w:spacing w:after="160"/>
      </w:pPr>
    </w:p>
    <w:p>
      <w:pPr>
        <w:spacing w:after="120"/>
      </w:pPr>
      <w:r>
        <w:rPr>
          <w:rFonts w:ascii="Arial" w:hAnsi="Arial"/>
          <w:i w:val="0"/>
          <w:color w:val="0A0A0A"/>
          <w:sz w:val="21"/>
        </w:rPr>
        <w:t>The existing cost_service.py already handles steel cost by composition. No changes required for the core cost calculation. Add a thin wrapper in the enhanced steel router to call run_cost_calculation and append cost_per_m3_inr and cost_breakdown to the enhanced steel response, so the engineer sees material cost alongside the prediction without a separate API call.</w:t>
      </w:r>
    </w:p>
    <w:p>
      <w:pPr>
        <w:spacing w:after="160"/>
      </w:pPr>
    </w:p>
    <w:p>
      <w:pPr>
        <w:spacing w:before="360" w:after="120"/>
        <w:jc w:val="left"/>
      </w:pPr>
      <w:r>
        <w:rPr>
          <w:rFonts w:ascii="Arial" w:hAnsi="Arial"/>
          <w:b/>
          <w:color w:val="1F2A24"/>
          <w:sz w:val="32"/>
        </w:rPr>
        <w:t>9.  Implementation sequence for Antigravity</w:t>
      </w:r>
    </w:p>
    <w:p>
      <w:pPr>
        <w:pBdr>
          <w:bottom w:val="single" w:sz="6" w:space="1" w:color="CCCCCC"/>
        </w:pBdr>
        <w:spacing w:after="160"/>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D3D2B"/>
          </w:tcPr>
          <w:p>
            <w:pPr>
              <w:jc w:val="left"/>
            </w:pPr>
            <w:r>
              <w:rPr>
                <w:rFonts w:ascii="Arial" w:hAnsi="Arial"/>
                <w:b/>
                <w:i w:val="0"/>
                <w:color w:val="FFFFFF"/>
                <w:sz w:val="19"/>
              </w:rPr>
              <w:t>Phase</w:t>
            </w:r>
          </w:p>
        </w:tc>
        <w:tc>
          <w:tcPr>
            <w:tcW w:type="dxa" w:w="2268"/>
            <w:shd w:val="clear" w:color="auto" w:fill="0D3D2B"/>
          </w:tcPr>
          <w:p>
            <w:pPr>
              <w:jc w:val="left"/>
            </w:pPr>
            <w:r>
              <w:rPr>
                <w:rFonts w:ascii="Arial" w:hAnsi="Arial"/>
                <w:b/>
                <w:i w:val="0"/>
                <w:color w:val="FFFFFF"/>
                <w:sz w:val="19"/>
              </w:rPr>
              <w:t>Agent</w:t>
            </w:r>
          </w:p>
        </w:tc>
        <w:tc>
          <w:tcPr>
            <w:tcW w:type="dxa" w:w="2268"/>
            <w:shd w:val="clear" w:color="auto" w:fill="0D3D2B"/>
          </w:tcPr>
          <w:p>
            <w:pPr>
              <w:jc w:val="left"/>
            </w:pPr>
            <w:r>
              <w:rPr>
                <w:rFonts w:ascii="Arial" w:hAnsi="Arial"/>
                <w:b/>
                <w:i w:val="0"/>
                <w:color w:val="FFFFFF"/>
                <w:sz w:val="19"/>
              </w:rPr>
              <w:t>Task</w:t>
            </w:r>
          </w:p>
        </w:tc>
        <w:tc>
          <w:tcPr>
            <w:tcW w:type="dxa" w:w="2268"/>
            <w:shd w:val="clear" w:color="auto" w:fill="0D3D2B"/>
          </w:tcPr>
          <w:p>
            <w:pPr>
              <w:jc w:val="left"/>
            </w:pPr>
            <w:r>
              <w:rPr>
                <w:rFonts w:ascii="Arial" w:hAnsi="Arial"/>
                <w:b/>
                <w:i w:val="0"/>
                <w:color w:val="FFFFFF"/>
                <w:sz w:val="19"/>
              </w:rPr>
              <w:t>Dependency</w:t>
            </w:r>
          </w:p>
        </w:tc>
      </w:tr>
      <w:tr>
        <w:tc>
          <w:tcPr>
            <w:tcW w:type="dxa" w:w="2268"/>
            <w:shd w:val="clear" w:color="auto" w:fill="FFFFFF"/>
          </w:tcPr>
          <w:p>
            <w:pPr>
              <w:spacing w:after="40"/>
              <w:ind w:left="72"/>
            </w:pPr>
            <w:r>
              <w:rPr>
                <w:rFonts w:ascii="Arial" w:hAnsi="Arial"/>
                <w:b/>
                <w:color w:val="1F2A24"/>
                <w:sz w:val="18"/>
              </w:rPr>
              <w:t>1a</w:t>
            </w:r>
          </w:p>
        </w:tc>
        <w:tc>
          <w:tcPr>
            <w:tcW w:type="dxa" w:w="2268"/>
            <w:shd w:val="clear" w:color="auto" w:fill="FFFFFF"/>
          </w:tcPr>
          <w:p>
            <w:pPr>
              <w:spacing w:after="40"/>
              <w:ind w:left="72"/>
            </w:pPr>
            <w:r>
              <w:rPr>
                <w:rFonts w:ascii="Arial" w:hAnsi="Arial"/>
                <w:b/>
                <w:color w:val="1F2A24"/>
                <w:sz w:val="18"/>
              </w:rPr>
              <w:t>ml-pipeline-agent</w:t>
            </w:r>
          </w:p>
        </w:tc>
        <w:tc>
          <w:tcPr>
            <w:tcW w:type="dxa" w:w="2268"/>
            <w:shd w:val="clear" w:color="auto" w:fill="FFFFFF"/>
          </w:tcPr>
          <w:p>
            <w:pPr>
              <w:spacing w:after="40"/>
              <w:ind w:left="72"/>
            </w:pPr>
            <w:r>
              <w:rPr>
                <w:rFonts w:ascii="Arial" w:hAnsi="Arial"/>
                <w:b w:val="0"/>
                <w:color w:val="1F2A24"/>
                <w:sz w:val="18"/>
              </w:rPr>
              <w:t>Run train_enhanced_steel.py</w:t>
            </w:r>
          </w:p>
          <w:p>
            <w:pPr>
              <w:spacing w:after="40"/>
              <w:ind w:left="72"/>
            </w:pPr>
            <w:r>
              <w:rPr>
                <w:rFonts w:ascii="Arial" w:hAnsi="Arial"/>
                <w:b w:val="0"/>
                <w:color w:val="6B7280"/>
                <w:sz w:val="18"/>
              </w:rPr>
              <w:t>Verify all 10 .pkl files written</w:t>
            </w:r>
          </w:p>
          <w:p>
            <w:pPr>
              <w:spacing w:after="40"/>
              <w:ind w:left="72"/>
            </w:pPr>
            <w:r>
              <w:rPr>
                <w:rFonts w:ascii="Arial" w:hAnsi="Arial"/>
                <w:b w:val="0"/>
                <w:color w:val="6B7280"/>
                <w:sz w:val="18"/>
              </w:rPr>
              <w:t>Print model metrics</w:t>
            </w:r>
          </w:p>
        </w:tc>
        <w:tc>
          <w:tcPr>
            <w:tcW w:type="dxa" w:w="2268"/>
            <w:shd w:val="clear" w:color="auto" w:fill="FFFFFF"/>
          </w:tcPr>
          <w:p>
            <w:pPr>
              <w:spacing w:after="40"/>
              <w:ind w:left="72"/>
            </w:pPr>
            <w:r>
              <w:rPr>
                <w:rFonts w:ascii="Arial" w:hAnsi="Arial"/>
                <w:b w:val="0"/>
                <w:color w:val="1F2A24"/>
                <w:sz w:val="18"/>
              </w:rPr>
              <w:t>Both CSVs present in training/data/</w:t>
            </w:r>
          </w:p>
        </w:tc>
      </w:tr>
      <w:tr>
        <w:tc>
          <w:tcPr>
            <w:tcW w:type="dxa" w:w="2268"/>
            <w:shd w:val="clear" w:color="auto" w:fill="F8FFFE"/>
          </w:tcPr>
          <w:p>
            <w:pPr>
              <w:spacing w:after="40"/>
              <w:ind w:left="72"/>
            </w:pPr>
            <w:r>
              <w:rPr>
                <w:rFonts w:ascii="Arial" w:hAnsi="Arial"/>
                <w:b/>
                <w:color w:val="1F2A24"/>
                <w:sz w:val="18"/>
              </w:rPr>
              <w:t>1b (parallel)</w:t>
            </w:r>
          </w:p>
        </w:tc>
        <w:tc>
          <w:tcPr>
            <w:tcW w:type="dxa" w:w="2268"/>
            <w:shd w:val="clear" w:color="auto" w:fill="F8FFFE"/>
          </w:tcPr>
          <w:p>
            <w:pPr>
              <w:spacing w:after="40"/>
              <w:ind w:left="72"/>
            </w:pPr>
            <w:r>
              <w:rPr>
                <w:rFonts w:ascii="Arial" w:hAnsi="Arial"/>
                <w:b/>
                <w:color w:val="1F2A24"/>
                <w:sz w:val="18"/>
              </w:rPr>
              <w:t>backend-agent</w:t>
            </w:r>
          </w:p>
        </w:tc>
        <w:tc>
          <w:tcPr>
            <w:tcW w:type="dxa" w:w="2268"/>
            <w:shd w:val="clear" w:color="auto" w:fill="F8FFFE"/>
          </w:tcPr>
          <w:p>
            <w:pPr>
              <w:spacing w:after="40"/>
              <w:ind w:left="72"/>
            </w:pPr>
            <w:r>
              <w:rPr>
                <w:rFonts w:ascii="Arial" w:hAnsi="Arial"/>
                <w:b w:val="0"/>
                <w:color w:val="1F2A24"/>
                <w:sz w:val="18"/>
              </w:rPr>
              <w:t>Scaffold enhanced_steel.py router</w:t>
            </w:r>
          </w:p>
          <w:p>
            <w:pPr>
              <w:spacing w:after="40"/>
              <w:ind w:left="72"/>
            </w:pPr>
            <w:r>
              <w:rPr>
                <w:rFonts w:ascii="Arial" w:hAnsi="Arial"/>
                <w:b w:val="0"/>
                <w:color w:val="6B7280"/>
                <w:sz w:val="18"/>
              </w:rPr>
              <w:t>Mock responses for all 6 modules</w:t>
            </w:r>
          </w:p>
          <w:p>
            <w:pPr>
              <w:spacing w:after="40"/>
              <w:ind w:left="72"/>
            </w:pPr>
            <w:r>
              <w:rPr>
                <w:rFonts w:ascii="Arial" w:hAnsi="Arial"/>
                <w:b w:val="0"/>
                <w:color w:val="6B7280"/>
                <w:sz w:val="18"/>
              </w:rPr>
              <w:t>Add to main.py and loader.py</w:t>
            </w:r>
          </w:p>
        </w:tc>
        <w:tc>
          <w:tcPr>
            <w:tcW w:type="dxa" w:w="2268"/>
            <w:shd w:val="clear" w:color="auto" w:fill="F8FFFE"/>
          </w:tcPr>
          <w:p>
            <w:pPr>
              <w:spacing w:after="40"/>
              <w:ind w:left="72"/>
            </w:pPr>
            <w:r>
              <w:rPr>
                <w:rFonts w:ascii="Arial" w:hAnsi="Arial"/>
                <w:b w:val="0"/>
                <w:color w:val="1F2A24"/>
                <w:sz w:val="18"/>
              </w:rPr>
              <w:t>None (mock first)</w:t>
            </w:r>
          </w:p>
        </w:tc>
      </w:tr>
      <w:tr>
        <w:tc>
          <w:tcPr>
            <w:tcW w:type="dxa" w:w="2268"/>
            <w:shd w:val="clear" w:color="auto" w:fill="FFFFFF"/>
          </w:tcPr>
          <w:p>
            <w:pPr>
              <w:spacing w:after="40"/>
              <w:ind w:left="72"/>
            </w:pPr>
            <w:r>
              <w:rPr>
                <w:rFonts w:ascii="Arial" w:hAnsi="Arial"/>
                <w:b/>
                <w:color w:val="1F2A24"/>
                <w:sz w:val="18"/>
              </w:rPr>
              <w:t>1c (parallel)</w:t>
            </w:r>
          </w:p>
        </w:tc>
        <w:tc>
          <w:tcPr>
            <w:tcW w:type="dxa" w:w="2268"/>
            <w:shd w:val="clear" w:color="auto" w:fill="FFFFFF"/>
          </w:tcPr>
          <w:p>
            <w:pPr>
              <w:spacing w:after="40"/>
              <w:ind w:left="72"/>
            </w:pPr>
            <w:r>
              <w:rPr>
                <w:rFonts w:ascii="Arial" w:hAnsi="Arial"/>
                <w:b/>
                <w:color w:val="1F2A24"/>
                <w:sz w:val="18"/>
              </w:rPr>
              <w:t>frontend-agent</w:t>
            </w:r>
          </w:p>
        </w:tc>
        <w:tc>
          <w:tcPr>
            <w:tcW w:type="dxa" w:w="2268"/>
            <w:shd w:val="clear" w:color="auto" w:fill="FFFFFF"/>
          </w:tcPr>
          <w:p>
            <w:pPr>
              <w:spacing w:after="40"/>
              <w:ind w:left="72"/>
            </w:pPr>
            <w:r>
              <w:rPr>
                <w:rFonts w:ascii="Arial" w:hAnsi="Arial"/>
                <w:b w:val="0"/>
                <w:color w:val="1F2A24"/>
                <w:sz w:val="18"/>
              </w:rPr>
              <w:t>Build EnhancedSteelForm + result tabs</w:t>
            </w:r>
          </w:p>
          <w:p>
            <w:pPr>
              <w:spacing w:after="40"/>
              <w:ind w:left="72"/>
            </w:pPr>
            <w:r>
              <w:rPr>
                <w:rFonts w:ascii="Arial" w:hAnsi="Arial"/>
                <w:b w:val="0"/>
                <w:color w:val="6B7280"/>
                <w:sz w:val="18"/>
              </w:rPr>
              <w:t>Wire to mock API responses</w:t>
            </w:r>
          </w:p>
          <w:p>
            <w:pPr>
              <w:spacing w:after="40"/>
              <w:ind w:left="72"/>
            </w:pPr>
            <w:r>
              <w:rPr>
                <w:rFonts w:ascii="Arial" w:hAnsi="Arial"/>
                <w:b w:val="0"/>
                <w:color w:val="6B7280"/>
                <w:sz w:val="18"/>
              </w:rPr>
              <w:t>Test tab switching</w:t>
            </w:r>
          </w:p>
        </w:tc>
        <w:tc>
          <w:tcPr>
            <w:tcW w:type="dxa" w:w="2268"/>
            <w:shd w:val="clear" w:color="auto" w:fill="FFFFFF"/>
          </w:tcPr>
          <w:p>
            <w:pPr>
              <w:spacing w:after="40"/>
              <w:ind w:left="72"/>
            </w:pPr>
            <w:r>
              <w:rPr>
                <w:rFonts w:ascii="Arial" w:hAnsi="Arial"/>
                <w:b w:val="0"/>
                <w:color w:val="1F2A24"/>
                <w:sz w:val="18"/>
              </w:rPr>
              <w:t>None (mock first)</w:t>
            </w:r>
          </w:p>
        </w:tc>
      </w:tr>
      <w:tr>
        <w:tc>
          <w:tcPr>
            <w:tcW w:type="dxa" w:w="2268"/>
            <w:shd w:val="clear" w:color="auto" w:fill="F8FFFE"/>
          </w:tcPr>
          <w:p>
            <w:pPr>
              <w:spacing w:after="40"/>
              <w:ind w:left="72"/>
            </w:pPr>
            <w:r>
              <w:rPr>
                <w:rFonts w:ascii="Arial" w:hAnsi="Arial"/>
                <w:b/>
                <w:color w:val="1F2A24"/>
                <w:sz w:val="18"/>
              </w:rPr>
              <w:t>2</w:t>
            </w:r>
          </w:p>
        </w:tc>
        <w:tc>
          <w:tcPr>
            <w:tcW w:type="dxa" w:w="2268"/>
            <w:shd w:val="clear" w:color="auto" w:fill="F8FFFE"/>
          </w:tcPr>
          <w:p>
            <w:pPr>
              <w:spacing w:after="40"/>
              <w:ind w:left="72"/>
            </w:pPr>
            <w:r>
              <w:rPr>
                <w:rFonts w:ascii="Arial" w:hAnsi="Arial"/>
                <w:b/>
                <w:color w:val="1F2A24"/>
                <w:sz w:val="18"/>
              </w:rPr>
              <w:t>backend-agent</w:t>
            </w:r>
          </w:p>
        </w:tc>
        <w:tc>
          <w:tcPr>
            <w:tcW w:type="dxa" w:w="2268"/>
            <w:shd w:val="clear" w:color="auto" w:fill="F8FFFE"/>
          </w:tcPr>
          <w:p>
            <w:pPr>
              <w:spacing w:after="40"/>
              <w:ind w:left="72"/>
            </w:pPr>
            <w:r>
              <w:rPr>
                <w:rFonts w:ascii="Arial" w:hAnsi="Arial"/>
                <w:b w:val="0"/>
                <w:color w:val="1F2A24"/>
                <w:sz w:val="18"/>
              </w:rPr>
              <w:t>Wire real model loading</w:t>
            </w:r>
          </w:p>
          <w:p>
            <w:pPr>
              <w:spacing w:after="40"/>
              <w:ind w:left="72"/>
            </w:pPr>
            <w:r>
              <w:rPr>
                <w:rFonts w:ascii="Arial" w:hAnsi="Arial"/>
                <w:b w:val="0"/>
                <w:color w:val="6B7280"/>
                <w:sz w:val="18"/>
              </w:rPr>
              <w:t>Implement recommendation engine</w:t>
            </w:r>
          </w:p>
          <w:p>
            <w:pPr>
              <w:spacing w:after="40"/>
              <w:ind w:left="72"/>
            </w:pPr>
            <w:r>
              <w:rPr>
                <w:rFonts w:ascii="Arial" w:hAnsi="Arial"/>
                <w:b w:val="0"/>
                <w:color w:val="6B7280"/>
                <w:sz w:val="18"/>
              </w:rPr>
              <w:t>Connect cost_service</w:t>
            </w:r>
          </w:p>
        </w:tc>
        <w:tc>
          <w:tcPr>
            <w:tcW w:type="dxa" w:w="2268"/>
            <w:shd w:val="clear" w:color="auto" w:fill="F8FFFE"/>
          </w:tcPr>
          <w:p>
            <w:pPr>
              <w:spacing w:after="40"/>
              <w:ind w:left="72"/>
            </w:pPr>
            <w:r>
              <w:rPr>
                <w:rFonts w:ascii="Arial" w:hAnsi="Arial"/>
                <w:b w:val="0"/>
                <w:color w:val="1F2A24"/>
                <w:sz w:val="18"/>
              </w:rPr>
              <w:t>Phase 1a complete (.pkl files present)</w:t>
            </w:r>
          </w:p>
        </w:tc>
      </w:tr>
      <w:tr>
        <w:tc>
          <w:tcPr>
            <w:tcW w:type="dxa" w:w="2268"/>
            <w:shd w:val="clear" w:color="auto" w:fill="FFFFFF"/>
          </w:tcPr>
          <w:p>
            <w:pPr>
              <w:spacing w:after="40"/>
              <w:ind w:left="72"/>
            </w:pPr>
            <w:r>
              <w:rPr>
                <w:rFonts w:ascii="Arial" w:hAnsi="Arial"/>
                <w:b/>
                <w:color w:val="1F2A24"/>
                <w:sz w:val="18"/>
              </w:rPr>
              <w:t>3</w:t>
            </w:r>
          </w:p>
        </w:tc>
        <w:tc>
          <w:tcPr>
            <w:tcW w:type="dxa" w:w="2268"/>
            <w:shd w:val="clear" w:color="auto" w:fill="FFFFFF"/>
          </w:tcPr>
          <w:p>
            <w:pPr>
              <w:spacing w:after="40"/>
              <w:ind w:left="72"/>
            </w:pPr>
            <w:r>
              <w:rPr>
                <w:rFonts w:ascii="Arial" w:hAnsi="Arial"/>
                <w:b/>
                <w:color w:val="1F2A24"/>
                <w:sz w:val="18"/>
              </w:rPr>
              <w:t>frontend-agent</w:t>
            </w:r>
          </w:p>
        </w:tc>
        <w:tc>
          <w:tcPr>
            <w:tcW w:type="dxa" w:w="2268"/>
            <w:shd w:val="clear" w:color="auto" w:fill="FFFFFF"/>
          </w:tcPr>
          <w:p>
            <w:pPr>
              <w:spacing w:after="40"/>
              <w:ind w:left="72"/>
            </w:pPr>
            <w:r>
              <w:rPr>
                <w:rFonts w:ascii="Arial" w:hAnsi="Arial"/>
                <w:b w:val="0"/>
                <w:color w:val="1F2A24"/>
                <w:sz w:val="18"/>
              </w:rPr>
              <w:t>Connect to live /api/predict/enhanced-steel</w:t>
            </w:r>
          </w:p>
          <w:p>
            <w:pPr>
              <w:spacing w:after="40"/>
              <w:ind w:left="72"/>
            </w:pPr>
            <w:r>
              <w:rPr>
                <w:rFonts w:ascii="Arial" w:hAnsi="Arial"/>
                <w:b w:val="0"/>
                <w:color w:val="6B7280"/>
                <w:sz w:val="18"/>
              </w:rPr>
              <w:t>Build RepairCurveChart</w:t>
            </w:r>
          </w:p>
          <w:p>
            <w:pPr>
              <w:spacing w:after="40"/>
              <w:ind w:left="72"/>
            </w:pPr>
            <w:r>
              <w:rPr>
                <w:rFonts w:ascii="Arial" w:hAnsi="Arial"/>
                <w:b w:val="0"/>
                <w:color w:val="6B7280"/>
                <w:sz w:val="18"/>
              </w:rPr>
              <w:t>Build GradeRecommendCard</w:t>
            </w:r>
          </w:p>
        </w:tc>
        <w:tc>
          <w:tcPr>
            <w:tcW w:type="dxa" w:w="2268"/>
            <w:shd w:val="clear" w:color="auto" w:fill="FFFFFF"/>
          </w:tcPr>
          <w:p>
            <w:pPr>
              <w:spacing w:after="40"/>
              <w:ind w:left="72"/>
            </w:pPr>
            <w:r>
              <w:rPr>
                <w:rFonts w:ascii="Arial" w:hAnsi="Arial"/>
                <w:b w:val="0"/>
                <w:color w:val="1F2A24"/>
                <w:sz w:val="18"/>
              </w:rPr>
              <w:t>Phase 2 complete</w:t>
            </w:r>
          </w:p>
        </w:tc>
      </w:tr>
      <w:tr>
        <w:tc>
          <w:tcPr>
            <w:tcW w:type="dxa" w:w="2268"/>
            <w:shd w:val="clear" w:color="auto" w:fill="F8FFFE"/>
          </w:tcPr>
          <w:p>
            <w:pPr>
              <w:spacing w:after="40"/>
              <w:ind w:left="72"/>
            </w:pPr>
            <w:r>
              <w:rPr>
                <w:rFonts w:ascii="Arial" w:hAnsi="Arial"/>
                <w:b/>
                <w:color w:val="1F2A24"/>
                <w:sz w:val="18"/>
              </w:rPr>
              <w:t>4</w:t>
            </w:r>
          </w:p>
        </w:tc>
        <w:tc>
          <w:tcPr>
            <w:tcW w:type="dxa" w:w="2268"/>
            <w:shd w:val="clear" w:color="auto" w:fill="F8FFFE"/>
          </w:tcPr>
          <w:p>
            <w:pPr>
              <w:spacing w:after="40"/>
              <w:ind w:left="72"/>
            </w:pPr>
            <w:r>
              <w:rPr>
                <w:rFonts w:ascii="Arial" w:hAnsi="Arial"/>
                <w:b/>
                <w:color w:val="1F2A24"/>
                <w:sz w:val="18"/>
              </w:rPr>
              <w:t>All</w:t>
            </w:r>
          </w:p>
        </w:tc>
        <w:tc>
          <w:tcPr>
            <w:tcW w:type="dxa" w:w="2268"/>
            <w:shd w:val="clear" w:color="auto" w:fill="F8FFFE"/>
          </w:tcPr>
          <w:p>
            <w:pPr>
              <w:spacing w:after="40"/>
              <w:ind w:left="72"/>
            </w:pPr>
            <w:r>
              <w:rPr>
                <w:rFonts w:ascii="Arial" w:hAnsi="Arial"/>
                <w:b w:val="0"/>
                <w:color w:val="1F2A24"/>
                <w:sz w:val="18"/>
              </w:rPr>
              <w:t>Integration test with curl examples</w:t>
            </w:r>
          </w:p>
          <w:p>
            <w:pPr>
              <w:spacing w:after="40"/>
              <w:ind w:left="72"/>
            </w:pPr>
            <w:r>
              <w:rPr>
                <w:rFonts w:ascii="Arial" w:hAnsi="Arial"/>
                <w:b w:val="0"/>
                <w:color w:val="6B7280"/>
                <w:sz w:val="18"/>
              </w:rPr>
              <w:t>Check SHAP values render in ShapChart</w:t>
            </w:r>
          </w:p>
          <w:p>
            <w:pPr>
              <w:spacing w:after="40"/>
              <w:ind w:left="72"/>
            </w:pPr>
            <w:r>
              <w:rPr>
                <w:rFonts w:ascii="Arial" w:hAnsi="Arial"/>
                <w:b w:val="0"/>
                <w:color w:val="6B7280"/>
                <w:sz w:val="18"/>
              </w:rPr>
              <w:t>Deploy to Render</w:t>
            </w:r>
          </w:p>
        </w:tc>
        <w:tc>
          <w:tcPr>
            <w:tcW w:type="dxa" w:w="2268"/>
            <w:shd w:val="clear" w:color="auto" w:fill="F8FFFE"/>
          </w:tcPr>
          <w:p>
            <w:pPr>
              <w:spacing w:after="40"/>
              <w:ind w:left="72"/>
            </w:pPr>
            <w:r>
              <w:rPr>
                <w:rFonts w:ascii="Arial" w:hAnsi="Arial"/>
                <w:b w:val="0"/>
                <w:color w:val="1F2A24"/>
                <w:sz w:val="18"/>
              </w:rPr>
              <w:t>Phase 3 complete</w:t>
            </w:r>
          </w:p>
        </w:tc>
      </w:tr>
    </w:tbl>
    <w:p>
      <w:pPr>
        <w:spacing w:after="200"/>
      </w:pPr>
    </w:p>
    <w:p>
      <w:pPr>
        <w:spacing w:before="360" w:after="120"/>
        <w:jc w:val="left"/>
      </w:pPr>
      <w:r>
        <w:rPr>
          <w:rFonts w:ascii="Arial" w:hAnsi="Arial"/>
          <w:b/>
          <w:color w:val="1F2A24"/>
          <w:sz w:val="32"/>
        </w:rPr>
        <w:t>10.  Critical rules (do not deviate)</w:t>
      </w:r>
    </w:p>
    <w:p>
      <w:pPr>
        <w:pBdr>
          <w:bottom w:val="single" w:sz="6" w:space="1" w:color="CCCCCC"/>
        </w:pBdr>
        <w:spacing w:after="160"/>
      </w:pPr>
    </w:p>
    <w:p>
      <w:pPr>
        <w:spacing w:after="100"/>
      </w:pPr>
      <w:r>
        <w:rPr>
          <w:rFonts w:ascii="Courier New" w:hAnsi="Courier New"/>
          <w:b/>
          <w:color w:val="10B981"/>
          <w:sz w:val="20"/>
        </w:rPr>
        <w:t xml:space="preserve">01  </w:t>
      </w:r>
      <w:r>
        <w:rPr>
          <w:rFonts w:ascii="Arial" w:hAnsi="Arial"/>
          <w:color w:val="0A0A0A"/>
          <w:sz w:val="20"/>
        </w:rPr>
        <w:t>NEVER merge the enhanced steel data with the concrete dataset — incompatible schemas.</w:t>
      </w:r>
    </w:p>
    <w:p>
      <w:pPr>
        <w:spacing w:after="100"/>
      </w:pPr>
      <w:r>
        <w:rPr>
          <w:rFonts w:ascii="Courier New" w:hAnsi="Courier New"/>
          <w:b/>
          <w:color w:val="10B981"/>
          <w:sz w:val="20"/>
        </w:rPr>
        <w:t xml:space="preserve">02  </w:t>
      </w:r>
      <w:r>
        <w:rPr>
          <w:rFonts w:ascii="Arial" w:hAnsi="Arial"/>
          <w:color w:val="0A0A0A"/>
          <w:sz w:val="20"/>
        </w:rPr>
        <w:t>ALWAYS fit scalers on train set only — never fit_transform on test data.</w:t>
      </w:r>
    </w:p>
    <w:p>
      <w:pPr>
        <w:spacing w:after="100"/>
      </w:pPr>
      <w:r>
        <w:rPr>
          <w:rFonts w:ascii="Courier New" w:hAnsi="Courier New"/>
          <w:b/>
          <w:color w:val="10B981"/>
          <w:sz w:val="20"/>
        </w:rPr>
        <w:t xml:space="preserve">03  </w:t>
      </w:r>
      <w:r>
        <w:rPr>
          <w:rFonts w:ascii="Arial" w:hAnsi="Arial"/>
          <w:color w:val="0A0A0A"/>
          <w:sz w:val="20"/>
        </w:rPr>
        <w:t>ALWAYS use random_state=42 for all models and train/test splits.</w:t>
      </w:r>
    </w:p>
    <w:p>
      <w:pPr>
        <w:spacing w:after="100"/>
      </w:pPr>
      <w:r>
        <w:rPr>
          <w:rFonts w:ascii="Courier New" w:hAnsi="Courier New"/>
          <w:b/>
          <w:color w:val="10B981"/>
          <w:sz w:val="20"/>
        </w:rPr>
        <w:t xml:space="preserve">04  </w:t>
      </w:r>
      <w:r>
        <w:rPr>
          <w:rFonts w:ascii="Arial" w:hAnsi="Arial"/>
          <w:color w:val="0A0A0A"/>
          <w:sz w:val="20"/>
        </w:rPr>
        <w:t>ALWAYS save both model AND scaler as separate .pkl files — they are paired.</w:t>
      </w:r>
    </w:p>
    <w:p>
      <w:pPr>
        <w:spacing w:after="100"/>
      </w:pPr>
      <w:r>
        <w:rPr>
          <w:rFonts w:ascii="Courier New" w:hAnsi="Courier New"/>
          <w:b/>
          <w:color w:val="10B981"/>
          <w:sz w:val="20"/>
        </w:rPr>
        <w:t xml:space="preserve">05  </w:t>
      </w:r>
      <w:r>
        <w:rPr>
          <w:rFonts w:ascii="Arial" w:hAnsi="Arial"/>
          <w:color w:val="0A0A0A"/>
          <w:sz w:val="20"/>
        </w:rPr>
        <w:t>NEVER hardcode the API URL in frontend — always use import.meta.env.VITE_API_URL.</w:t>
      </w:r>
    </w:p>
    <w:p>
      <w:pPr>
        <w:spacing w:after="100"/>
      </w:pPr>
      <w:r>
        <w:rPr>
          <w:rFonts w:ascii="Courier New" w:hAnsi="Courier New"/>
          <w:b/>
          <w:color w:val="10B981"/>
          <w:sz w:val="20"/>
        </w:rPr>
        <w:t xml:space="preserve">06  </w:t>
      </w:r>
      <w:r>
        <w:rPr>
          <w:rFonts w:ascii="Arial" w:hAnsi="Arial"/>
          <w:color w:val="0A0A0A"/>
          <w:sz w:val="20"/>
        </w:rPr>
        <w:t>The new endpoint path is /api/predict/enhanced-steel (kebab-case, matching existing convention).</w:t>
      </w:r>
    </w:p>
    <w:p>
      <w:pPr>
        <w:spacing w:after="100"/>
      </w:pPr>
      <w:r>
        <w:rPr>
          <w:rFonts w:ascii="Courier New" w:hAnsi="Courier New"/>
          <w:b/>
          <w:color w:val="10B981"/>
          <w:sz w:val="20"/>
        </w:rPr>
        <w:t xml:space="preserve">07  </w:t>
      </w:r>
      <w:r>
        <w:rPr>
          <w:rFonts w:ascii="Arial" w:hAnsi="Arial"/>
          <w:color w:val="0A0A0A"/>
          <w:sz w:val="20"/>
        </w:rPr>
        <w:t>The repair_cycles input must be integer 0–10 — validate in Pydantic schema with ge=0, le=10.</w:t>
      </w:r>
    </w:p>
    <w:p>
      <w:pPr>
        <w:spacing w:after="100"/>
      </w:pPr>
      <w:r>
        <w:rPr>
          <w:rFonts w:ascii="Courier New" w:hAnsi="Courier New"/>
          <w:b/>
          <w:color w:val="10B981"/>
          <w:sz w:val="20"/>
        </w:rPr>
        <w:t xml:space="preserve">08  </w:t>
      </w:r>
      <w:r>
        <w:rPr>
          <w:rFonts w:ascii="Arial" w:hAnsi="Arial"/>
          <w:color w:val="0A0A0A"/>
          <w:sz w:val="20"/>
        </w:rPr>
        <w:t>SHAP values must be computed for all six modules and returned in the unified response.</w:t>
      </w:r>
    </w:p>
    <w:p>
      <w:pPr>
        <w:spacing w:after="100"/>
      </w:pPr>
      <w:r>
        <w:rPr>
          <w:rFonts w:ascii="Courier New" w:hAnsi="Courier New"/>
          <w:b/>
          <w:color w:val="10B981"/>
          <w:sz w:val="20"/>
        </w:rPr>
        <w:t xml:space="preserve">09  </w:t>
      </w:r>
      <w:r>
        <w:rPr>
          <w:rFonts w:ascii="Arial" w:hAnsi="Arial"/>
          <w:color w:val="0A0A0A"/>
          <w:sz w:val="20"/>
        </w:rPr>
        <w:t>The existing /api/predict/steel endpoint must remain unchanged — additive only.</w:t>
      </w:r>
    </w:p>
    <w:p>
      <w:pPr>
        <w:spacing w:after="100"/>
      </w:pPr>
      <w:r>
        <w:rPr>
          <w:rFonts w:ascii="Courier New" w:hAnsi="Courier New"/>
          <w:b/>
          <w:color w:val="10B981"/>
          <w:sz w:val="20"/>
        </w:rPr>
        <w:t xml:space="preserve">10  </w:t>
      </w:r>
      <w:r>
        <w:rPr>
          <w:rFonts w:ascii="Arial" w:hAnsi="Arial"/>
          <w:color w:val="0A0A0A"/>
          <w:sz w:val="20"/>
        </w:rPr>
        <w:t>Mock responses must return the full six-module schema — frontend depends on this structure from day one.</w:t>
      </w:r>
    </w:p>
    <w:p>
      <w:pPr>
        <w:spacing w:after="100"/>
      </w:pPr>
      <w:r>
        <w:rPr>
          <w:rFonts w:ascii="Courier New" w:hAnsi="Courier New"/>
          <w:b/>
          <w:color w:val="10B981"/>
          <w:sz w:val="20"/>
        </w:rPr>
        <w:t xml:space="preserve">11  </w:t>
      </w:r>
      <w:r>
        <w:rPr>
          <w:rFonts w:ascii="Arial" w:hAnsi="Arial"/>
          <w:color w:val="0A0A0A"/>
          <w:sz w:val="20"/>
        </w:rPr>
        <w:t>Recommendation engine is deterministic — no ML model, pure rule-based lookup + arithmetic.</w:t>
      </w:r>
    </w:p>
    <w:p>
      <w:pPr>
        <w:spacing w:after="100"/>
      </w:pPr>
      <w:r>
        <w:rPr>
          <w:rFonts w:ascii="Courier New" w:hAnsi="Courier New"/>
          <w:b/>
          <w:color w:val="10B981"/>
          <w:sz w:val="20"/>
        </w:rPr>
        <w:t xml:space="preserve">12  </w:t>
      </w:r>
      <w:r>
        <w:rPr>
          <w:rFonts w:ascii="Arial" w:hAnsi="Arial"/>
          <w:color w:val="0A0A0A"/>
          <w:sz w:val="20"/>
        </w:rPr>
        <w:t>Design tokens unchanged: emerald #10b981, background #0a0a0a, glass cards bg-white/5.</w:t>
      </w:r>
    </w:p>
    <w:p>
      <w:pPr>
        <w:spacing w:after="200"/>
      </w:pPr>
    </w:p>
    <w:p>
      <w:pPr>
        <w:pBdr>
          <w:bottom w:val="single" w:sz="6" w:space="1" w:color="10B981"/>
        </w:pBdr>
        <w:spacing w:after="160"/>
      </w:pPr>
    </w:p>
    <w:p>
      <w:pPr>
        <w:jc w:val="center"/>
      </w:pPr>
      <w:r>
        <w:rPr>
          <w:rFonts w:ascii="Arial" w:hAnsi="Arial"/>
          <w:color w:val="6B7280"/>
          <w:sz w:val="17"/>
        </w:rPr>
        <w:t>MatML v2.0  ·  Enhanced Steel Module Specification  ·  Generated April 2026</w:t>
      </w:r>
    </w:p>
    <w:p>
      <w:pPr>
        <w:jc w:val="center"/>
      </w:pPr>
      <w:r>
        <w:rPr>
          <w:rFonts w:ascii="Arial" w:hAnsi="Arial"/>
          <w:color w:val="10B981"/>
          <w:sz w:val="17"/>
        </w:rPr>
        <w:t>⬡ Predict. Understand. Optimize. Material properties, powered by ML.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