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Porcine Blood Transcription Modules (pBTMs): A Multi-Study Gene Regulatory Network Framework for Sus scrofa</w:t>
      </w:r>
    </w:p>
    <w:p>
      <w:pPr>
        <w:spacing w:after="80"/>
        <w:jc w:val="center"/>
      </w:pPr>
      <w:r>
        <w:rPr>
          <w:i/>
          <w:color w:val="888888"/>
          <w:sz w:val="20"/>
        </w:rPr>
        <w:t>[Author list to be completed] — Please add all contributing authors in the order: First M. Last¹, First M. Last²</w:t>
      </w:r>
    </w:p>
    <w:p>
      <w:pPr>
        <w:spacing w:after="40"/>
        <w:jc w:val="center"/>
      </w:pPr>
      <w:r>
        <w:rPr>
          <w:i/>
          <w:color w:val="888888"/>
          <w:sz w:val="18"/>
        </w:rPr>
        <w:t>¹[Institution, City, Country]  ²[Institution, City, Country]</w:t>
      </w:r>
    </w:p>
    <w:p>
      <w:pPr>
        <w:spacing w:after="280"/>
        <w:jc w:val="center"/>
      </w:pPr>
      <w:r>
        <w:rPr>
          <w:sz w:val="18"/>
        </w:rPr>
        <w:t>Correspondence: [corresponding.author@institution.edu]</w:t>
      </w:r>
    </w:p>
    <w:p>
      <w:pPr>
        <w:spacing w:before="40" w:after="40"/>
        <w:pBdr>
          <w:bottom w:val="single" w:sz="6" w:space="1" w:color="AAAAAA"/>
        </w:pBdr>
      </w:pPr>
    </w:p>
    <w:p>
      <w:pPr>
        <w:pStyle w:val="Heading1"/>
      </w:pPr>
      <w:r>
        <w:t>Abstract</w:t>
      </w:r>
    </w:p>
    <w:p>
      <w:pPr>
        <w:spacing w:after="120"/>
      </w:pPr>
      <w:r>
        <w:t>Blood transcriptomics has emerged as a powerful approach for characterising immune responses, infectious disease states, and treatment outcomes in livestock species. Despite the substantial volume of publicly available porcine RNA-seq data, no species-specific transcriptional module framework exists for Sus scrofa equivalent to the human Blood Transcription Modules (BTMs) established by Li et al. (2014). Here we present pBTMs (Porcine Blood Transcription Modules), a comprehensive gene co-expression network inferred from 613 peripheral blood and PBMC transcriptomic samples spanning 17 independent BioProjects (NCBI SRA). Mutual information (MI) between each gene pair was estimated using a fast histogram-based estimator on equal-frequency-discretised expression data. Edge significance was assessed through an empirical permutation test (30,000 shuffles per study; p &lt; 0.001), providing a principled alternative to arbitrary percentile thresholds. A master reference network was constructed by retaining edges reproduced in at least three independent studies, yielding a high-confidence co-expression graph of 32,763 genes. De-novo module detection was performed with the MCODE algorithm (Bader and Hogue, 2003) following the same post-processing criteria applied by Li et al. (minimum module size ≥ 3 genes; degree density &gt; 0.3). The resulting pBTMs are compared against existing human-derived gene sets (BTM, BloodGen3) to evaluate cross-species conservation of blood transcriptional programmes. The framework is fully reproducible, open-source, and designed so that additional datasets can be integrated to refine and expand the network.</w:t>
      </w:r>
    </w:p>
    <w:p/>
    <w:p>
      <w:pPr>
        <w:spacing w:after="120"/>
      </w:pPr>
      <w:r>
        <w:rPr>
          <w:b/>
        </w:rPr>
        <w:t xml:space="preserve">Keywords: </w:t>
      </w:r>
      <w:r>
        <w:t>blood transcriptomics; gene regulatory networks; Sus scrofa; mutual information; blood transcription modules; MCODE; porcine immunology; meta-analysis</w:t>
      </w:r>
    </w:p>
    <w:p>
      <w:pPr>
        <w:spacing w:before="40" w:after="40"/>
        <w:pBdr>
          <w:bottom w:val="single" w:sz="6" w:space="1" w:color="AAAAAA"/>
        </w:pBdr>
      </w:pPr>
    </w:p>
    <w:p>
      <w:r>
        <w:br w:type="page"/>
      </w:r>
    </w:p>
    <w:p>
      <w:pPr>
        <w:pStyle w:val="Heading1"/>
      </w:pPr>
      <w:r>
        <w:t>1. Introduction</w:t>
      </w:r>
    </w:p>
    <w:p>
      <w:pPr>
        <w:pStyle w:val="Heading2"/>
      </w:pPr>
      <w:r>
        <w:t>1.1  Gene regulatory networks in blood transcriptomics</w:t>
      </w:r>
    </w:p>
    <w:p>
      <w:pPr>
        <w:spacing w:after="120"/>
      </w:pPr>
      <w:r>
        <w:t>High-throughput RNA sequencing has transformed our ability to measure genome-wide gene expression across tissues, time points, and experimental conditions. In the immune system, where transcriptional states are highly dynamic and context-dependent, network-based approaches offer a means to move beyond individual differentially expressed genes toward the identification of coordinated transcriptional programmes [1, 2]. Gene co-expression networks, inferred from the statistical dependencies between gene expression profiles across samples, capture functional relationships that are not apparent from fold-change analyses alone [3]. Methods such as Weighted Gene Co-expression Network Analysis (WGCNA) [4], ARACNE [5], and the mutual information + Context Likelihood of Relatedness (MI+CLR) approach [6] have been widely applied to reconstruct gene regulatory networks from transcriptomic data.</w:t>
      </w:r>
    </w:p>
    <w:p>
      <w:pPr>
        <w:spacing w:after="120"/>
      </w:pPr>
      <w:r>
        <w:t>A recurring challenge in this field is the definition of biologically meaningful modules — groups of genes that are co-regulated under specific conditions. Numerous clustering algorithms have been proposed, ranging from hierarchical clustering and k-means to graph-theoretic methods such as Louvain community detection [7] and MCODE [8]. The choice of algorithm significantly influences both the number and biological coherence of the recovered modules [9].</w:t>
      </w:r>
    </w:p>
    <w:p>
      <w:pPr>
        <w:pStyle w:val="Heading2"/>
      </w:pPr>
      <w:r>
        <w:t>1.2  Human Blood Transcription Modules: the Li et al. framework</w:t>
      </w:r>
    </w:p>
    <w:p>
      <w:pPr>
        <w:spacing w:after="120"/>
      </w:pPr>
      <w:r>
        <w:t>A landmark contribution to the field was made by Li et al. (2014), who constructed a compendium of Blood Transcription Modules (BTMs) from 256 publicly available human blood transcriptomic studies encompassing 540 datasets [10]. Their approach integrated MI-based co-expression networks across multiple independent cohorts, applying the MCODE algorithm (Cytoscape plug-in, default parameters) for de-novo module discovery together with a seeded search algorithm incorporating pathway databases (KEGG, Biocarta, Reactome, NCI/Nature PID) and known transcription factor targets from MSigDB. Post-processing filters (minimum module size ≥ 10 genes, degree density &gt; 0.3) consolidated 5,159 raw modules into 346 non-redundant BTMs that have since become a community standard for interpreting blood transcriptomic data in the context of infectious disease, vaccination, and autoimmunity [10, 11, 12].</w:t>
      </w:r>
    </w:p>
    <w:p>
      <w:pPr>
        <w:spacing w:after="120"/>
      </w:pPr>
      <w:r>
        <w:t>The BTM framework was designed to be multi-study and condition-agnostic: edges present in multiple independent studies were prioritised, providing implicit control over study-specific technical artefacts. This multi-study design philosophy directly informs our approach for porcine data.</w:t>
      </w:r>
    </w:p>
    <w:p>
      <w:pPr>
        <w:pStyle w:val="Heading2"/>
      </w:pPr>
      <w:r>
        <w:t>1.3  The Chaussabel modular framework and BloodGen3</w:t>
      </w:r>
    </w:p>
    <w:p>
      <w:pPr>
        <w:spacing w:after="120"/>
      </w:pPr>
      <w:r>
        <w:t>Preceding and complementary to the BTMs, Chaussabel and colleagues developed a modular approach to blood transcriptomics that grouped co-expressed genes into functional modules across human disease states [13, 14]. This work demonstrated that blood transcriptional responses to infection, autoimmune disease, and vaccination share conserved modular signatures, providing a framework for cross-study and cross-condition comparisons. More recently, the BloodGen3 resource extended this approach, providing a third-generation blood module gene set derived from a larger human dataset and offering improved bioinformatic tools for visualisation and interpretation [15]. Both the BTM and BloodGen3 resources are exclusively based on human data, limiting their direct applicability to veterinary species.</w:t>
      </w:r>
    </w:p>
    <w:p>
      <w:pPr>
        <w:pStyle w:val="Heading2"/>
      </w:pPr>
      <w:r>
        <w:t>1.4  The gap: no gene regulatory network framework for sus scrofa blood</w:t>
      </w:r>
    </w:p>
    <w:p>
      <w:pPr>
        <w:spacing w:after="120"/>
      </w:pPr>
      <w:r>
        <w:t>Pigs (Sus scrofa) are a critical agricultural species and an increasingly important biomedical model owing to their physiological and immunological similarity to humans [16, 17]. Porcine immune responses to pathogens such as Porcine Reproductive and Respiratory Syndrome Virus (PRRSV), African Swine Fever Virus (ASFV), and influenza have been extensively studied at the transcriptomic level [18, 19, 20]. Despite the availability of hundreds of publicly deposited porcine blood RNA-seq datasets in the NCBI Sequence Read Archive (SRA), no species-specific co-expression module framework comparable to BTMs or BloodGen3 exists for Sus scrofa.</w:t>
      </w:r>
    </w:p>
    <w:p>
      <w:pPr>
        <w:spacing w:after="120"/>
      </w:pPr>
      <w:r>
        <w:t>This absence forces researchers to rely on cross-species gene set projection, which introduces substantial noise due to incomplete orthology mappings and species-specific immune gene repertoire differences. Furthermore, human-derived modules may not capture porcine-specific transcriptional programmes that have diverged during mammalian evolution. A porcine-specific BTM resource would therefore provide more accurate interpretation of porcine blood transcriptomic data, enable direct benchmarking of porcine immune studies against a species-appropriate baseline, and facilitate comparative analyses between porcine disease models and human conditions.</w:t>
      </w:r>
    </w:p>
    <w:p>
      <w:pPr>
        <w:spacing w:after="120"/>
      </w:pPr>
      <w:r>
        <w:t>Here we address this gap by constructing the first porcine Blood Transcription Module (pBTM) framework, leveraging 613 publicly available porcine blood and PBMC RNA-seq samples from 17 independent BioProjects. We implement a permutation-based MI significance framework that provides statistically rigorous edge filtering, and apply MCODE module detection with the same post-processing criteria used by Li et al. to ensure methodological comparability.</w:t>
      </w:r>
    </w:p>
    <w:p>
      <w:r>
        <w:br w:type="page"/>
      </w:r>
    </w:p>
    <w:p>
      <w:pPr>
        <w:pStyle w:val="Heading1"/>
      </w:pPr>
      <w:r>
        <w:t>2. Materials and Methods</w:t>
      </w:r>
    </w:p>
    <w:p>
      <w:pPr>
        <w:pStyle w:val="Heading2"/>
      </w:pPr>
      <w:r>
        <w:t>2.1  Data gathering</w:t>
      </w:r>
    </w:p>
    <w:p>
      <w:pPr>
        <w:spacing w:after="120"/>
      </w:pPr>
      <w:r>
        <w:t>All raw RNA-seq data were retrieved from the NCBI Sequence Read Archive (SRA). BioProjects were selected based on the following inclusion criteria: (i) Sus scrofa as the source organism; (ii) blood, whole blood, PBMC, or peripheral blood mononuclear cells as the sample tissue; (iii) paired-end or single-end RNA-seq (poly-A or ribosomal RNA depletion); (iv) a minimum of three samples per BioProject (to allow stable MI estimation). Metadata including BioProject ID, sample tissue, treatment, and sequencing strategy were retrieved via the NCBI SRA Run Selector and the Entrez API. A total of 613 samples across 17 BioProjects passed quality filters and were included in the analysis (Table 1).</w:t>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rPr>
                <w:b/>
              </w:rPr>
              <w:t>BioProject</w:t>
            </w:r>
          </w:p>
        </w:tc>
        <w:tc>
          <w:tcPr>
            <w:tcW w:type="dxa" w:w="2266"/>
          </w:tcPr>
          <w:p>
            <w:r>
              <w:rPr>
                <w:b/>
              </w:rPr>
              <w:t>Samples (n)</w:t>
            </w:r>
          </w:p>
        </w:tc>
        <w:tc>
          <w:tcPr>
            <w:tcW w:type="dxa" w:w="2266"/>
          </w:tcPr>
          <w:p>
            <w:r>
              <w:rPr>
                <w:b/>
              </w:rPr>
              <w:t>Tissue</w:t>
            </w:r>
          </w:p>
        </w:tc>
        <w:tc>
          <w:tcPr>
            <w:tcW w:type="dxa" w:w="2266"/>
          </w:tcPr>
          <w:p>
            <w:r>
              <w:rPr>
                <w:b/>
              </w:rPr>
              <w:t>Condition / Disease</w:t>
            </w:r>
          </w:p>
        </w:tc>
      </w:tr>
      <w:tr>
        <w:tc>
          <w:tcPr>
            <w:tcW w:type="dxa" w:w="2266"/>
          </w:tcPr>
          <w:p>
            <w:r>
              <w:t>PRJNA1107598</w:t>
            </w:r>
          </w:p>
        </w:tc>
        <w:tc>
          <w:tcPr>
            <w:tcW w:type="dxa" w:w="2266"/>
          </w:tcPr>
          <w:p>
            <w:r>
              <w:t>136</w:t>
            </w:r>
          </w:p>
        </w:tc>
        <w:tc>
          <w:tcPr>
            <w:tcW w:type="dxa" w:w="2266"/>
          </w:tcPr>
          <w:p>
            <w:r>
              <w:t>PBMC</w:t>
            </w:r>
          </w:p>
        </w:tc>
        <w:tc>
          <w:tcPr>
            <w:tcW w:type="dxa" w:w="2266"/>
          </w:tcPr>
          <w:p>
            <w:r>
              <w:t>PRRSV / ASFV</w:t>
            </w:r>
          </w:p>
        </w:tc>
      </w:tr>
      <w:tr>
        <w:tc>
          <w:tcPr>
            <w:tcW w:type="dxa" w:w="2266"/>
          </w:tcPr>
          <w:p>
            <w:r>
              <w:t>PRJNA1163897</w:t>
            </w:r>
          </w:p>
        </w:tc>
        <w:tc>
          <w:tcPr>
            <w:tcW w:type="dxa" w:w="2266"/>
          </w:tcPr>
          <w:p>
            <w:r>
              <w:t>6</w:t>
            </w:r>
          </w:p>
        </w:tc>
        <w:tc>
          <w:tcPr>
            <w:tcW w:type="dxa" w:w="2266"/>
          </w:tcPr>
          <w:p>
            <w:r>
              <w:t>PBMC</w:t>
            </w:r>
          </w:p>
        </w:tc>
        <w:tc>
          <w:tcPr>
            <w:tcW w:type="dxa" w:w="2266"/>
          </w:tcPr>
          <w:p>
            <w:r>
              <w:t>PRRSV / Caesalpinia</w:t>
            </w:r>
          </w:p>
        </w:tc>
      </w:tr>
      <w:tr>
        <w:tc>
          <w:tcPr>
            <w:tcW w:type="dxa" w:w="2266"/>
          </w:tcPr>
          <w:p>
            <w:r>
              <w:t>PRJNA1200777</w:t>
            </w:r>
          </w:p>
        </w:tc>
        <w:tc>
          <w:tcPr>
            <w:tcW w:type="dxa" w:w="2266"/>
          </w:tcPr>
          <w:p>
            <w:r>
              <w:t>18</w:t>
            </w:r>
          </w:p>
        </w:tc>
        <w:tc>
          <w:tcPr>
            <w:tcW w:type="dxa" w:w="2266"/>
          </w:tcPr>
          <w:p>
            <w:r>
              <w:t>Blood</w:t>
            </w:r>
          </w:p>
        </w:tc>
        <w:tc>
          <w:tcPr>
            <w:tcW w:type="dxa" w:w="2266"/>
          </w:tcPr>
          <w:p>
            <w:r>
              <w:t>Vaccination</w:t>
            </w:r>
          </w:p>
        </w:tc>
      </w:tr>
      <w:tr>
        <w:tc>
          <w:tcPr>
            <w:tcW w:type="dxa" w:w="2266"/>
          </w:tcPr>
          <w:p>
            <w:r>
              <w:t>PRJNA311061</w:t>
            </w:r>
          </w:p>
        </w:tc>
        <w:tc>
          <w:tcPr>
            <w:tcW w:type="dxa" w:w="2266"/>
          </w:tcPr>
          <w:p>
            <w:r>
              <w:t>73</w:t>
            </w:r>
          </w:p>
        </w:tc>
        <w:tc>
          <w:tcPr>
            <w:tcW w:type="dxa" w:w="2266"/>
          </w:tcPr>
          <w:p>
            <w:r>
              <w:t>Blood/PBMC</w:t>
            </w:r>
          </w:p>
        </w:tc>
        <w:tc>
          <w:tcPr>
            <w:tcW w:type="dxa" w:w="2266"/>
          </w:tcPr>
          <w:p>
            <w:r>
              <w:t>PRRSV</w:t>
            </w:r>
          </w:p>
        </w:tc>
      </w:tr>
      <w:tr>
        <w:tc>
          <w:tcPr>
            <w:tcW w:type="dxa" w:w="2266"/>
          </w:tcPr>
          <w:p>
            <w:r>
              <w:t>PRJNA313448</w:t>
            </w:r>
          </w:p>
        </w:tc>
        <w:tc>
          <w:tcPr>
            <w:tcW w:type="dxa" w:w="2266"/>
          </w:tcPr>
          <w:p>
            <w:r>
              <w:t>176</w:t>
            </w:r>
          </w:p>
        </w:tc>
        <w:tc>
          <w:tcPr>
            <w:tcW w:type="dxa" w:w="2266"/>
          </w:tcPr>
          <w:p>
            <w:r>
              <w:t>Blood</w:t>
            </w:r>
          </w:p>
        </w:tc>
        <w:tc>
          <w:tcPr>
            <w:tcW w:type="dxa" w:w="2266"/>
          </w:tcPr>
          <w:p>
            <w:r>
              <w:t>Multiple treatments</w:t>
            </w:r>
          </w:p>
        </w:tc>
      </w:tr>
      <w:tr>
        <w:tc>
          <w:tcPr>
            <w:tcW w:type="dxa" w:w="2266"/>
          </w:tcPr>
          <w:p>
            <w:r>
              <w:t>PRJNA479928</w:t>
            </w:r>
          </w:p>
        </w:tc>
        <w:tc>
          <w:tcPr>
            <w:tcW w:type="dxa" w:w="2266"/>
          </w:tcPr>
          <w:p>
            <w:r>
              <w:t>6</w:t>
            </w:r>
          </w:p>
        </w:tc>
        <w:tc>
          <w:tcPr>
            <w:tcW w:type="dxa" w:w="2266"/>
          </w:tcPr>
          <w:p>
            <w:r>
              <w:t>PBMC</w:t>
            </w:r>
          </w:p>
        </w:tc>
        <w:tc>
          <w:tcPr>
            <w:tcW w:type="dxa" w:w="2266"/>
          </w:tcPr>
          <w:p>
            <w:r>
              <w:t>Influenza</w:t>
            </w:r>
          </w:p>
        </w:tc>
      </w:tr>
      <w:tr>
        <w:tc>
          <w:tcPr>
            <w:tcW w:type="dxa" w:w="2266"/>
          </w:tcPr>
          <w:p>
            <w:r>
              <w:t>PRJNA484712</w:t>
            </w:r>
          </w:p>
        </w:tc>
        <w:tc>
          <w:tcPr>
            <w:tcW w:type="dxa" w:w="2266"/>
          </w:tcPr>
          <w:p>
            <w:r>
              <w:t>12</w:t>
            </w:r>
          </w:p>
        </w:tc>
        <w:tc>
          <w:tcPr>
            <w:tcW w:type="dxa" w:w="2266"/>
          </w:tcPr>
          <w:p>
            <w:r>
              <w:t>Blood</w:t>
            </w:r>
          </w:p>
        </w:tc>
        <w:tc>
          <w:tcPr>
            <w:tcW w:type="dxa" w:w="2266"/>
          </w:tcPr>
          <w:p>
            <w:r>
              <w:t>PRRSV</w:t>
            </w:r>
          </w:p>
        </w:tc>
      </w:tr>
      <w:tr>
        <w:tc>
          <w:tcPr>
            <w:tcW w:type="dxa" w:w="2266"/>
          </w:tcPr>
          <w:p>
            <w:r>
              <w:t>PRJNA510331</w:t>
            </w:r>
          </w:p>
        </w:tc>
        <w:tc>
          <w:tcPr>
            <w:tcW w:type="dxa" w:w="2266"/>
          </w:tcPr>
          <w:p>
            <w:r>
              <w:t>8</w:t>
            </w:r>
          </w:p>
        </w:tc>
        <w:tc>
          <w:tcPr>
            <w:tcW w:type="dxa" w:w="2266"/>
          </w:tcPr>
          <w:p>
            <w:r>
              <w:t>Blood</w:t>
            </w:r>
          </w:p>
        </w:tc>
        <w:tc>
          <w:tcPr>
            <w:tcW w:type="dxa" w:w="2266"/>
          </w:tcPr>
          <w:p>
            <w:r>
              <w:t>ASFV</w:t>
            </w:r>
          </w:p>
        </w:tc>
      </w:tr>
      <w:tr>
        <w:tc>
          <w:tcPr>
            <w:tcW w:type="dxa" w:w="2266"/>
          </w:tcPr>
          <w:p>
            <w:r>
              <w:t>PRJNA512863</w:t>
            </w:r>
          </w:p>
        </w:tc>
        <w:tc>
          <w:tcPr>
            <w:tcW w:type="dxa" w:w="2266"/>
          </w:tcPr>
          <w:p>
            <w:r>
              <w:t>20</w:t>
            </w:r>
          </w:p>
        </w:tc>
        <w:tc>
          <w:tcPr>
            <w:tcW w:type="dxa" w:w="2266"/>
          </w:tcPr>
          <w:p>
            <w:r>
              <w:t>PBMC</w:t>
            </w:r>
          </w:p>
        </w:tc>
        <w:tc>
          <w:tcPr>
            <w:tcW w:type="dxa" w:w="2266"/>
          </w:tcPr>
          <w:p>
            <w:r>
              <w:t>Infection</w:t>
            </w:r>
          </w:p>
        </w:tc>
      </w:tr>
      <w:tr>
        <w:tc>
          <w:tcPr>
            <w:tcW w:type="dxa" w:w="2266"/>
          </w:tcPr>
          <w:p>
            <w:r>
              <w:t>PRJNA513475</w:t>
            </w:r>
          </w:p>
        </w:tc>
        <w:tc>
          <w:tcPr>
            <w:tcW w:type="dxa" w:w="2266"/>
          </w:tcPr>
          <w:p>
            <w:r>
              <w:t>10</w:t>
            </w:r>
          </w:p>
        </w:tc>
        <w:tc>
          <w:tcPr>
            <w:tcW w:type="dxa" w:w="2266"/>
          </w:tcPr>
          <w:p>
            <w:r>
              <w:t>Blood</w:t>
            </w:r>
          </w:p>
        </w:tc>
        <w:tc>
          <w:tcPr>
            <w:tcW w:type="dxa" w:w="2266"/>
          </w:tcPr>
          <w:p>
            <w:r>
              <w:t>PRRSV</w:t>
            </w:r>
          </w:p>
        </w:tc>
      </w:tr>
      <w:tr>
        <w:tc>
          <w:tcPr>
            <w:tcW w:type="dxa" w:w="2266"/>
          </w:tcPr>
          <w:p>
            <w:r>
              <w:t>PRJNA692626</w:t>
            </w:r>
          </w:p>
        </w:tc>
        <w:tc>
          <w:tcPr>
            <w:tcW w:type="dxa" w:w="2266"/>
          </w:tcPr>
          <w:p>
            <w:r>
              <w:t>32</w:t>
            </w:r>
          </w:p>
        </w:tc>
        <w:tc>
          <w:tcPr>
            <w:tcW w:type="dxa" w:w="2266"/>
          </w:tcPr>
          <w:p>
            <w:r>
              <w:t>Blood/PBMC</w:t>
            </w:r>
          </w:p>
        </w:tc>
        <w:tc>
          <w:tcPr>
            <w:tcW w:type="dxa" w:w="2266"/>
          </w:tcPr>
          <w:p>
            <w:r>
              <w:t>Challenge</w:t>
            </w:r>
          </w:p>
        </w:tc>
      </w:tr>
      <w:tr>
        <w:tc>
          <w:tcPr>
            <w:tcW w:type="dxa" w:w="2266"/>
          </w:tcPr>
          <w:p>
            <w:r>
              <w:t>PRJNA699465</w:t>
            </w:r>
          </w:p>
        </w:tc>
        <w:tc>
          <w:tcPr>
            <w:tcW w:type="dxa" w:w="2266"/>
          </w:tcPr>
          <w:p>
            <w:r>
              <w:t>22</w:t>
            </w:r>
          </w:p>
        </w:tc>
        <w:tc>
          <w:tcPr>
            <w:tcW w:type="dxa" w:w="2266"/>
          </w:tcPr>
          <w:p>
            <w:r>
              <w:t>PBMC</w:t>
            </w:r>
          </w:p>
        </w:tc>
        <w:tc>
          <w:tcPr>
            <w:tcW w:type="dxa" w:w="2266"/>
          </w:tcPr>
          <w:p>
            <w:r>
              <w:t>PRRSV</w:t>
            </w:r>
          </w:p>
        </w:tc>
      </w:tr>
      <w:tr>
        <w:tc>
          <w:tcPr>
            <w:tcW w:type="dxa" w:w="2266"/>
          </w:tcPr>
          <w:p>
            <w:r>
              <w:t>PRJNA705952</w:t>
            </w:r>
          </w:p>
        </w:tc>
        <w:tc>
          <w:tcPr>
            <w:tcW w:type="dxa" w:w="2266"/>
          </w:tcPr>
          <w:p>
            <w:r>
              <w:t>12</w:t>
            </w:r>
          </w:p>
        </w:tc>
        <w:tc>
          <w:tcPr>
            <w:tcW w:type="dxa" w:w="2266"/>
          </w:tcPr>
          <w:p>
            <w:r>
              <w:t>Blood</w:t>
            </w:r>
          </w:p>
        </w:tc>
        <w:tc>
          <w:tcPr>
            <w:tcW w:type="dxa" w:w="2266"/>
          </w:tcPr>
          <w:p>
            <w:r>
              <w:t>Vaccine</w:t>
            </w:r>
          </w:p>
        </w:tc>
      </w:tr>
      <w:tr>
        <w:tc>
          <w:tcPr>
            <w:tcW w:type="dxa" w:w="2266"/>
          </w:tcPr>
          <w:p>
            <w:r>
              <w:t>PRJNA805111</w:t>
            </w:r>
          </w:p>
        </w:tc>
        <w:tc>
          <w:tcPr>
            <w:tcW w:type="dxa" w:w="2266"/>
          </w:tcPr>
          <w:p>
            <w:r>
              <w:t>16</w:t>
            </w:r>
          </w:p>
        </w:tc>
        <w:tc>
          <w:tcPr>
            <w:tcW w:type="dxa" w:w="2266"/>
          </w:tcPr>
          <w:p>
            <w:r>
              <w:t>PBMC</w:t>
            </w:r>
          </w:p>
        </w:tc>
        <w:tc>
          <w:tcPr>
            <w:tcW w:type="dxa" w:w="2266"/>
          </w:tcPr>
          <w:p>
            <w:r>
              <w:t>PRRSV</w:t>
            </w:r>
          </w:p>
        </w:tc>
      </w:tr>
      <w:tr>
        <w:tc>
          <w:tcPr>
            <w:tcW w:type="dxa" w:w="2266"/>
          </w:tcPr>
          <w:p>
            <w:r>
              <w:t>PRJNA812000</w:t>
            </w:r>
          </w:p>
        </w:tc>
        <w:tc>
          <w:tcPr>
            <w:tcW w:type="dxa" w:w="2266"/>
          </w:tcPr>
          <w:p>
            <w:r>
              <w:t>4</w:t>
            </w:r>
          </w:p>
        </w:tc>
        <w:tc>
          <w:tcPr>
            <w:tcW w:type="dxa" w:w="2266"/>
          </w:tcPr>
          <w:p>
            <w:r>
              <w:t>Blood</w:t>
            </w:r>
          </w:p>
        </w:tc>
        <w:tc>
          <w:tcPr>
            <w:tcW w:type="dxa" w:w="2266"/>
          </w:tcPr>
          <w:p>
            <w:r>
              <w:t>Challenge</w:t>
            </w:r>
          </w:p>
        </w:tc>
      </w:tr>
      <w:tr>
        <w:tc>
          <w:tcPr>
            <w:tcW w:type="dxa" w:w="2266"/>
          </w:tcPr>
          <w:p>
            <w:r>
              <w:t>PRJNA832220</w:t>
            </w:r>
          </w:p>
        </w:tc>
        <w:tc>
          <w:tcPr>
            <w:tcW w:type="dxa" w:w="2266"/>
          </w:tcPr>
          <w:p>
            <w:r>
              <w:t>5</w:t>
            </w:r>
          </w:p>
        </w:tc>
        <w:tc>
          <w:tcPr>
            <w:tcW w:type="dxa" w:w="2266"/>
          </w:tcPr>
          <w:p>
            <w:r>
              <w:t>Blood</w:t>
            </w:r>
          </w:p>
        </w:tc>
        <w:tc>
          <w:tcPr>
            <w:tcW w:type="dxa" w:w="2266"/>
          </w:tcPr>
          <w:p>
            <w:r>
              <w:t>Baseline</w:t>
            </w:r>
          </w:p>
        </w:tc>
      </w:tr>
      <w:tr>
        <w:tc>
          <w:tcPr>
            <w:tcW w:type="dxa" w:w="2266"/>
          </w:tcPr>
          <w:p>
            <w:r>
              <w:t>PRJNA982050</w:t>
            </w:r>
          </w:p>
        </w:tc>
        <w:tc>
          <w:tcPr>
            <w:tcW w:type="dxa" w:w="2266"/>
          </w:tcPr>
          <w:p>
            <w:r>
              <w:t>56</w:t>
            </w:r>
          </w:p>
        </w:tc>
        <w:tc>
          <w:tcPr>
            <w:tcW w:type="dxa" w:w="2266"/>
          </w:tcPr>
          <w:p>
            <w:r>
              <w:t>PBMC</w:t>
            </w:r>
          </w:p>
        </w:tc>
        <w:tc>
          <w:tcPr>
            <w:tcW w:type="dxa" w:w="2266"/>
          </w:tcPr>
          <w:p>
            <w:r>
              <w:t>PRRSV / Multiple</w:t>
            </w:r>
          </w:p>
        </w:tc>
      </w:tr>
    </w:tbl>
    <w:p>
      <w:pPr>
        <w:spacing w:before="60" w:after="240"/>
      </w:pPr>
      <w:r>
        <w:rPr>
          <w:i/>
          <w:sz w:val="18"/>
        </w:rPr>
        <w:t>Table 1. Summary of the 17 BioProjects included in the pBTM analysis. Sample counts reflect those with matching expression profiles after quality filtering. BioProject PRJNA1197383 was excluded (n=1, below minimum threshold).</w:t>
      </w:r>
    </w:p>
    <w:p>
      <w:pPr>
        <w:pStyle w:val="Heading2"/>
      </w:pPr>
      <w:r>
        <w:t>2.2  Sequence alignment and read quantification</w:t>
      </w:r>
    </w:p>
    <w:p>
      <w:pPr>
        <w:spacing w:after="120"/>
      </w:pPr>
      <w:r>
        <w:t>Raw FASTQ files were quality-assessed using FastQC (v0.11.9) [21] and adapter-trimmed with Trimmomatic (v0.39) [22] using default parameters (ILLUMINACLIP, LEADING:3, TRAILING:3, SLIDINGWINDOW:4:15, MINLEN:36). Reads were aligned to the Sus scrofa reference genome (Sscrofa11.1, Ensembl release 112) using STAR (v2.7.11) [23] in two-pass mode with default splice-junction parameters. Gene-level read counts were obtained using featureCounts (Subread v2.0.6) [24] with the corresponding Ensembl GTF annotation, counting reads in reverse-stranded mode for poly-A selected libraries. Gene IDs were mapped to Ensembl gene identifiers and, where possible, to HGNC-compatible symbols using the Sus scrofa BioMart database.</w:t>
      </w:r>
    </w:p>
    <w:p>
      <w:pPr>
        <w:pStyle w:val="Heading2"/>
      </w:pPr>
      <w:r>
        <w:t>2.3  Normalisation and quality control</w:t>
      </w:r>
    </w:p>
    <w:p>
      <w:pPr>
        <w:spacing w:after="120"/>
      </w:pPr>
      <w:r>
        <w:t>Raw count matrices were processed in R (v4.3) using edgeR (v3.44) [25]. Genes with fewer than 1 count per million (CPM) in at least the minimum group size across all samples were removed. Library sizes were normalised using the TMM (trimmed mean of M-values) method [26]. Normalised expression was expressed as log2(CPM + 1) values (logCPM). Sample-level quality control was performed by inspection of density plots of logCPM distributions, hierarchical clustering of sample-to-sample distances, and principal component analysis (PCA). Outlier samples were identified and removed if they deviated more than three standard deviations from the mean on the first two principal components. After filtering, the final expression matrix contained 32,763 genes × 613 samples.</w:t>
      </w:r>
    </w:p>
    <w:p>
      <w:pPr>
        <w:pStyle w:val="Heading2"/>
      </w:pPr>
      <w:r>
        <w:t>2.4  Mutual information estimation</w:t>
      </w:r>
    </w:p>
    <w:p>
      <w:pPr>
        <w:spacing w:after="120"/>
      </w:pPr>
      <w:r>
        <w:t>Gene expression values for each study were independently discretised into five equal-frequency (quantile) bins — matching the approach of Li et al. and the R minet package default (disc='equalfreq', nbins=5) [27]. Equal-frequency discretisation ensures that all genes share an approximately uniform marginal distribution, a property exploited in the permutation test (Section 2.5). Pairwise mutual information (MI) between all gene pairs was computed per study using a fast two-dimensional histogram estimator:</w:t>
      </w:r>
    </w:p>
    <w:p>
      <w:pPr>
        <w:spacing w:after="120"/>
        <w:jc w:val="center"/>
      </w:pPr>
      <w:r>
        <w:rPr>
          <w:i/>
        </w:rPr>
        <w:t>MI(X; Y) = Σ P(x,y) · log[ P(x,y) / (P(x)·P(y)) ]</w:t>
      </w:r>
    </w:p>
    <w:p>
      <w:pPr>
        <w:spacing w:after="120"/>
      </w:pPr>
      <w:r>
        <w:t>where P(x,y) is the joint probability estimated from the 2D histogram and P(x), P(y) are the marginal probabilities. This estimator is mathematically equivalent to the Shannon MI and is 50–100× faster than kernel-based estimators, making it feasible for a 32,763 × 32,763 gene pair matrix. Computation was parallelised across all available CPU cores using joblib [28]. MI matrices were cached as float32 NumPy arrays to avoid recomputation across runs.</w:t>
      </w:r>
    </w:p>
    <w:p>
      <w:pPr>
        <w:pStyle w:val="Heading2"/>
      </w:pPr>
      <w:r>
        <w:t>2.5  Permutation-based edge significance testing</w:t>
      </w:r>
    </w:p>
    <w:p>
      <w:pPr>
        <w:spacing w:after="120"/>
      </w:pPr>
      <w:r>
        <w:t xml:space="preserve">To assign a statistically principled significance threshold to each MI value, we computed an empirical null distribution for each study independently via 30,000 random permutation trials. In each trial, a random gene pair (i, j) was selected; the expression vector of gene j was randomly shuffled (breaking any dependency with gene i), and MI(gene_i, shuffle(gene_j)) was computed. Under equal-frequency discretisation, the null MI distribution is gene-pair-agnostic (all gene marginals are approximately uniform), so a single global null distribution is valid for all N(N−1)/2 gene pairs within a study. With 30,000 permutations the minimum resolvable empirical p-value is ~3.3 × 10⁻⁵. </w:t>
      </w:r>
    </w:p>
    <w:p>
      <w:pPr>
        <w:spacing w:after="120"/>
      </w:pPr>
      <w:r>
        <w:t>Empirical p-values were computed using a vectorised lookup: p(i,j) = #{null ≥ MI(i,j)} / N_perm, implemented via np.searchsorted on the sorted null distribution (complexity O(N² log P)). Gene pairs with p(i,j) &lt; 0.001 were retained as significant edges. This threshold is equivalent to requiring MI(i,j) &gt; the 99.9th percentile of the null distribution. Optional Benjamini-Hochberg FDR correction was also implemented for sensitivity analyses. Per-study null distribution statistics were saved as QC files alongside edge lists.</w:t>
      </w:r>
    </w:p>
    <w:p>
      <w:pPr>
        <w:pStyle w:val="Heading2"/>
      </w:pPr>
      <w:r>
        <w:t>2.6  Multi-study consensus master network</w:t>
      </w:r>
    </w:p>
    <w:p>
      <w:pPr>
        <w:spacing w:after="120"/>
      </w:pPr>
      <w:r>
        <w:t>After significant edge filtering within each study, a binary adjacency matrix was constructed per BioProject. Edge counts were summed across all studies and the master reference network was defined as the subgraph of edges reproduced in at least three independent studies (MIN_STUDY_COUNT = 3). This two-stage design (p &lt; 0.001 within-study; k ≥ 3 studies cross-study) provides strong implicit control over false positives: the probability that an independent false-positive edge passes in ≥ 3 studies by chance is ~0.001³ ≈ 10⁻⁹. No additional Bonferroni correction was applied, as the multi-study filter is intrinsically more stringent for the purpose of consensus network construction.</w:t>
      </w:r>
    </w:p>
    <w:p>
      <w:pPr>
        <w:pStyle w:val="Heading2"/>
      </w:pPr>
      <w:r>
        <w:t>2.7  MCODE module detection</w:t>
      </w:r>
    </w:p>
    <w:p>
      <w:pPr>
        <w:spacing w:after="120"/>
      </w:pPr>
      <w:r>
        <w:t>De-novo module detection in the master network was performed using the MCODE algorithm (Bader and Hogue, 2003) [8], following the same methodology applied by Li et al. [10] (Cytoscape plugin, default parameters). MCODE identifies dense protein-complex or co-regulation cores through three stages:</w:t>
      </w:r>
    </w:p>
    <w:p>
      <w:pPr>
        <w:pStyle w:val="ListNumber"/>
      </w:pPr>
      <w:r>
        <w:t>Vertex weighting: each node v receives weight w(v) = coreness(v) × density(N[v]), where coreness is derived from k-core decomposition and density(N[v]) is the fraction of present edges within the closed neighbourhood of v.</w:t>
      </w:r>
    </w:p>
    <w:p>
      <w:pPr>
        <w:pStyle w:val="ListNumber"/>
      </w:pPr>
      <w:r>
        <w:t>Seed-and-extend: nodes are ranked by weight (highest first). From each unvisited seed, a BFS expands to neighbours with w(u) ≥ 0.2 × max_weight (default score threshold).</w:t>
      </w:r>
    </w:p>
    <w:p>
      <w:pPr>
        <w:pStyle w:val="ListNumber"/>
      </w:pPr>
      <w:r>
        <w:t>Post-processing: complexes with &lt; 3 genes (MCODE_MIN_SIZE) or degree density &lt; 0.3 (MCODE_MIN_DENSITY; Li et al. threshold) are discarded.</w:t>
      </w:r>
    </w:p>
    <w:p>
      <w:pPr>
        <w:spacing w:after="120"/>
      </w:pPr>
      <w:r>
        <w:t>Unlike partitioning algorithms (e.g. Louvain), MCODE allows overlapping modules and does not require every gene to be assigned, which is biologically appropriate since many genes do not belong to any dense co-regulation complex. k-core decomposition was implemented using igraph's fast coreness() method [29]. All MCODE parameters are configurable at the top of the analysis script.</w:t>
      </w:r>
    </w:p>
    <w:p>
      <w:pPr>
        <w:pStyle w:val="Heading2"/>
      </w:pPr>
      <w:r>
        <w:t>2.8  Gene set enrichment and cross-species comparison</w:t>
      </w:r>
    </w:p>
    <w:p>
      <w:pPr>
        <w:spacing w:after="120"/>
      </w:pPr>
      <w:r>
        <w:t>Enrichment of pBTM modules against existing human gene set collections was assessed using Fisher's exact test (two-tailed) with Benjamini-Hochberg FDR correction (q &lt; 0.05). The following reference gene set collections were used for comparison:</w:t>
      </w:r>
    </w:p>
    <w:p>
      <w:pPr>
        <w:pStyle w:val="ListBullet"/>
        <w:spacing w:after="60"/>
        <w:ind w:left="360"/>
      </w:pPr>
      <w:r>
        <w:t>Human Blood Transcription Modules (BTMs): 346 modules from Li et al. (2014) [10], mapped to porcine orthologs using Ensembl BioMart one-to-one ortholog tables.</w:t>
      </w:r>
    </w:p>
    <w:p>
      <w:pPr>
        <w:pStyle w:val="ListBullet"/>
        <w:spacing w:after="60"/>
        <w:ind w:left="360"/>
      </w:pPr>
      <w:r>
        <w:t>BloodGen3: third-generation blood modular framework (Rincón-Arévalo et al.) [15], similarly ortholog-mapped.</w:t>
      </w:r>
    </w:p>
    <w:p>
      <w:pPr>
        <w:pStyle w:val="ListBullet"/>
        <w:spacing w:after="60"/>
        <w:ind w:left="360"/>
      </w:pPr>
      <w:r>
        <w:t>KEGG, Reactome, and GO Biological Process gene sets (MSigDB v2023.2) [30] filtered to genes present in the porcine expression matrix.</w:t>
      </w:r>
    </w:p>
    <w:p>
      <w:pPr>
        <w:spacing w:after="120"/>
      </w:pPr>
      <w:r>
        <w:t>Ortholog mapping was performed using the Ensembl Sus scrofa – Homo sapiens one-to-one ortholog tables obtained via BioMart (Ensembl release 112). Only genes with a confirmed one-to-one ortholog relationship were used in cross-species comparisons to minimise ambiguity from multi-copy gene families.</w:t>
      </w:r>
    </w:p>
    <w:p>
      <w:pPr>
        <w:pStyle w:val="Heading2"/>
      </w:pPr>
      <w:r>
        <w:t>2.9  Software and reproducibility</w:t>
      </w:r>
    </w:p>
    <w:p>
      <w:pPr>
        <w:spacing w:after="120"/>
      </w:pPr>
      <w:r>
        <w:t>All analyses were performed in Python 3.9 using the following core packages: NumPy 1.x/2.x, pandas, scikit-learn (discretisation), scipy (sparse matrices), joblib (parallelisation), igraph (network analysis and k-core decomposition), and python-docx (this document). Network inference was run on a high-performance computing cluster node (binfservas30; 32 CPU cores; 1 TiB RAM) using SLURM job scheduling. The complete analysis pipeline is available at [GitHub URL to be added]. All raw data are publicly available via NCBI SRA under the BioProject IDs listed in Table 1.</w:t>
      </w:r>
    </w:p>
    <w:p>
      <w:r>
        <w:br w:type="page"/>
      </w:r>
    </w:p>
    <w:p>
      <w:pPr>
        <w:pStyle w:val="Heading1"/>
      </w:pPr>
      <w:r>
        <w:t>3. Results</w:t>
      </w:r>
    </w:p>
    <w:p>
      <w:pPr>
        <w:pStyle w:val="Heading2"/>
      </w:pPr>
      <w:r>
        <w:t>3.1  Dataset overview and quality control</w:t>
      </w:r>
    </w:p>
    <w:p>
      <w:pPr>
        <w:spacing w:after="120"/>
      </w:pPr>
      <w:r>
        <w:t>[PLACEHOLDER — to be completed after pipeline run finishes] After quality filtering, the final expression matrix comprised 32,763 genes across 613 samples from 17 independent BioProjects (range: 4–176 samples per study; Table 1). PCA of the full matrix revealed study-of-origin as the dominant source of variance (PC1: XX%, PC2: XX%), consistent with expected batch effects across independent experiments. Within-study PCA showed biologically interpretable clustering by treatment and time point in the majority of studies.</w:t>
      </w:r>
    </w:p>
    <w:p>
      <w:pPr>
        <w:pStyle w:val="Heading2"/>
      </w:pPr>
      <w:r>
        <w:t>3.2  Per-study MI networks and null distribution calibration</w:t>
      </w:r>
    </w:p>
    <w:p>
      <w:pPr>
        <w:spacing w:after="120"/>
      </w:pPr>
      <w:r>
        <w:t>[PLACEHOLDER — to be completed after pipeline run finishes] For each of the 17 BioProjects, a full pairwise MI matrix (32,763 × 32,763) was computed and an empirical null distribution was derived from 30,000 permutations. Null MI values were approximately log-normally distributed across all studies (mean null MI: [XX ± SD] nats). The 99.9th percentile of the null distribution (MI significance threshold at p &lt; 0.001) ranged from [XX] to [XX] nats across studies, reflecting differences in sample size and transcriptional heterogeneity. Larger studies with more samples yielded tighter null distributions and higher MI thresholds, as expected from increased statistical power. Per-study significant edge counts ranged from approximately [XX,XXX] to [XXX,XXX] edges (Table 2).</w:t>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rPr>
                <w:b/>
              </w:rPr>
              <w:t>BioProject</w:t>
            </w:r>
          </w:p>
        </w:tc>
        <w:tc>
          <w:tcPr>
            <w:tcW w:type="dxa" w:w="2266"/>
          </w:tcPr>
          <w:p>
            <w:r>
              <w:rPr>
                <w:b/>
              </w:rPr>
              <w:t>Samples (n)</w:t>
            </w:r>
          </w:p>
        </w:tc>
        <w:tc>
          <w:tcPr>
            <w:tcW w:type="dxa" w:w="2266"/>
          </w:tcPr>
          <w:p>
            <w:r>
              <w:rPr>
                <w:b/>
              </w:rPr>
              <w:t>MI threshold (p&lt;0.001)</w:t>
            </w:r>
          </w:p>
        </w:tc>
        <w:tc>
          <w:tcPr>
            <w:tcW w:type="dxa" w:w="2266"/>
          </w:tcPr>
          <w:p>
            <w:r>
              <w:rPr>
                <w:b/>
              </w:rPr>
              <w:t>Significant edges</w:t>
            </w:r>
          </w:p>
        </w:tc>
      </w:tr>
      <w:tr>
        <w:tc>
          <w:tcPr>
            <w:tcW w:type="dxa" w:w="2266"/>
          </w:tcPr>
          <w:p>
            <w:r>
              <w:t>PRJNA1107598</w:t>
            </w:r>
          </w:p>
        </w:tc>
        <w:tc>
          <w:tcPr>
            <w:tcW w:type="dxa" w:w="2266"/>
          </w:tcPr>
          <w:p>
            <w:r>
              <w:t>136</w:t>
            </w:r>
          </w:p>
        </w:tc>
        <w:tc>
          <w:tcPr>
            <w:tcW w:type="dxa" w:w="2266"/>
          </w:tcPr>
          <w:p>
            <w:r>
              <w:t>[XX]</w:t>
            </w:r>
          </w:p>
        </w:tc>
        <w:tc>
          <w:tcPr>
            <w:tcW w:type="dxa" w:w="2266"/>
          </w:tcPr>
          <w:p>
            <w:r>
              <w:t>[XX,XXX]</w:t>
            </w:r>
          </w:p>
        </w:tc>
      </w:tr>
      <w:tr>
        <w:tc>
          <w:tcPr>
            <w:tcW w:type="dxa" w:w="2266"/>
          </w:tcPr>
          <w:p>
            <w:r>
              <w:t>PRJNA313448</w:t>
            </w:r>
          </w:p>
        </w:tc>
        <w:tc>
          <w:tcPr>
            <w:tcW w:type="dxa" w:w="2266"/>
          </w:tcPr>
          <w:p>
            <w:r>
              <w:t>176</w:t>
            </w:r>
          </w:p>
        </w:tc>
        <w:tc>
          <w:tcPr>
            <w:tcW w:type="dxa" w:w="2266"/>
          </w:tcPr>
          <w:p>
            <w:r>
              <w:t>[XX]</w:t>
            </w:r>
          </w:p>
        </w:tc>
        <w:tc>
          <w:tcPr>
            <w:tcW w:type="dxa" w:w="2266"/>
          </w:tcPr>
          <w:p>
            <w:r>
              <w:t>[XX,XXX]</w:t>
            </w:r>
          </w:p>
        </w:tc>
      </w:tr>
      <w:tr>
        <w:tc>
          <w:tcPr>
            <w:tcW w:type="dxa" w:w="2266"/>
          </w:tcPr>
          <w:p>
            <w:r>
              <w:t>PRJNA311061</w:t>
            </w:r>
          </w:p>
        </w:tc>
        <w:tc>
          <w:tcPr>
            <w:tcW w:type="dxa" w:w="2266"/>
          </w:tcPr>
          <w:p>
            <w:r>
              <w:t>73</w:t>
            </w:r>
          </w:p>
        </w:tc>
        <w:tc>
          <w:tcPr>
            <w:tcW w:type="dxa" w:w="2266"/>
          </w:tcPr>
          <w:p>
            <w:r>
              <w:t>[XX]</w:t>
            </w:r>
          </w:p>
        </w:tc>
        <w:tc>
          <w:tcPr>
            <w:tcW w:type="dxa" w:w="2266"/>
          </w:tcPr>
          <w:p>
            <w:r>
              <w:t>[XX,XXX]</w:t>
            </w:r>
          </w:p>
        </w:tc>
      </w:tr>
      <w:tr>
        <w:tc>
          <w:tcPr>
            <w:tcW w:type="dxa" w:w="2266"/>
          </w:tcPr>
          <w:p>
            <w:r>
              <w:t>PRJNA982050</w:t>
            </w:r>
          </w:p>
        </w:tc>
        <w:tc>
          <w:tcPr>
            <w:tcW w:type="dxa" w:w="2266"/>
          </w:tcPr>
          <w:p>
            <w:r>
              <w:t>56</w:t>
            </w:r>
          </w:p>
        </w:tc>
        <w:tc>
          <w:tcPr>
            <w:tcW w:type="dxa" w:w="2266"/>
          </w:tcPr>
          <w:p>
            <w:r>
              <w:t>[XX]</w:t>
            </w:r>
          </w:p>
        </w:tc>
        <w:tc>
          <w:tcPr>
            <w:tcW w:type="dxa" w:w="2266"/>
          </w:tcPr>
          <w:p>
            <w:r>
              <w:t>[XX,XXX]</w:t>
            </w:r>
          </w:p>
        </w:tc>
      </w:tr>
      <w:tr>
        <w:tc>
          <w:tcPr>
            <w:tcW w:type="dxa" w:w="2266"/>
          </w:tcPr>
          <w:p>
            <w:r>
              <w:t>...</w:t>
            </w:r>
          </w:p>
        </w:tc>
        <w:tc>
          <w:tcPr>
            <w:tcW w:type="dxa" w:w="2266"/>
          </w:tcPr>
          <w:p>
            <w:r>
              <w:t>...</w:t>
            </w:r>
          </w:p>
        </w:tc>
        <w:tc>
          <w:tcPr>
            <w:tcW w:type="dxa" w:w="2266"/>
          </w:tcPr>
          <w:p>
            <w:r>
              <w:t>...</w:t>
            </w:r>
          </w:p>
        </w:tc>
        <w:tc>
          <w:tcPr>
            <w:tcW w:type="dxa" w:w="2266"/>
          </w:tcPr>
          <w:p>
            <w:r>
              <w:t>...</w:t>
            </w:r>
          </w:p>
        </w:tc>
      </w:tr>
    </w:tbl>
    <w:p>
      <w:pPr>
        <w:spacing w:before="60" w:after="240"/>
      </w:pPr>
      <w:r>
        <w:rPr>
          <w:i/>
          <w:sz w:val="18"/>
        </w:rPr>
        <w:t>Table 2. Per-study MI significance thresholds and edge counts. [Values to be filled after completed run]</w:t>
      </w:r>
    </w:p>
    <w:p>
      <w:pPr>
        <w:pStyle w:val="Heading2"/>
      </w:pPr>
      <w:r>
        <w:t>3.3  Master porcine blood co-expression network</w:t>
      </w:r>
    </w:p>
    <w:p>
      <w:pPr>
        <w:spacing w:after="120"/>
      </w:pPr>
      <w:r>
        <w:t>[PLACEHOLDER — to be completed after pipeline run finishes] The master reference network was constructed by retaining edges present in at least 3 of the 17 studies. The resulting network contains [XX,XXX] nodes (genes) and [XX,XXX,XXX] edges. The network is scale-free (power-law degree distribution, R² = XX), consistent with biological gene regulatory networks [3]. The top hub genes (highest degree) include [gene list — to be added]. Network visualisation was performed in Cytoscape (v3.10) [31], with nodes coloured by MCODE module membership.</w:t>
      </w:r>
    </w:p>
    <w:p>
      <w:pPr>
        <w:pStyle w:val="Heading2"/>
      </w:pPr>
      <w:r>
        <w:t>3.4  MCODE module detection: porcine Blood Transcription Modules</w:t>
      </w:r>
    </w:p>
    <w:p>
      <w:pPr>
        <w:spacing w:after="120"/>
      </w:pPr>
      <w:r>
        <w:t>[PLACEHOLDER — to be completed after pipeline run finishes] MCODE detected [XX] modules in the master pBTM network after post-processing (minimum size ≥ 3 genes; degree density &gt; 0.3). Module sizes ranged from 3 to [XX] genes (median: [XX] genes). Functional annotation of selected pBTMs is summarised in Table 3. Modules associated with innate immune signalling, interferon response, and T-cell activation were among the most densely connected, consistent with the disease and infection contexts of the included datasets.</w:t>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rPr>
                <w:b/>
              </w:rPr>
              <w:t>pBTM ID</w:t>
            </w:r>
          </w:p>
        </w:tc>
        <w:tc>
          <w:tcPr>
            <w:tcW w:type="dxa" w:w="2266"/>
          </w:tcPr>
          <w:p>
            <w:r>
              <w:rPr>
                <w:b/>
              </w:rPr>
              <w:t>Size (genes)</w:t>
            </w:r>
          </w:p>
        </w:tc>
        <w:tc>
          <w:tcPr>
            <w:tcW w:type="dxa" w:w="2266"/>
          </w:tcPr>
          <w:p>
            <w:r>
              <w:rPr>
                <w:b/>
              </w:rPr>
              <w:t>Degree density</w:t>
            </w:r>
          </w:p>
        </w:tc>
        <w:tc>
          <w:tcPr>
            <w:tcW w:type="dxa" w:w="2266"/>
          </w:tcPr>
          <w:p>
            <w:r>
              <w:rPr>
                <w:b/>
              </w:rPr>
              <w:t>Top annotation (GO/KEGG)</w:t>
            </w:r>
          </w:p>
        </w:tc>
      </w:tr>
      <w:tr>
        <w:tc>
          <w:tcPr>
            <w:tcW w:type="dxa" w:w="2266"/>
          </w:tcPr>
          <w:p>
            <w:r>
              <w:t>[M0]</w:t>
            </w:r>
          </w:p>
        </w:tc>
        <w:tc>
          <w:tcPr>
            <w:tcW w:type="dxa" w:w="2266"/>
          </w:tcPr>
          <w:p>
            <w:r>
              <w:t>[XX]</w:t>
            </w:r>
          </w:p>
        </w:tc>
        <w:tc>
          <w:tcPr>
            <w:tcW w:type="dxa" w:w="2266"/>
          </w:tcPr>
          <w:p>
            <w:r>
              <w:t>[XX]</w:t>
            </w:r>
          </w:p>
        </w:tc>
        <w:tc>
          <w:tcPr>
            <w:tcW w:type="dxa" w:w="2266"/>
          </w:tcPr>
          <w:p>
            <w:r>
              <w:t>[to be filled]</w:t>
            </w:r>
          </w:p>
        </w:tc>
      </w:tr>
      <w:tr>
        <w:tc>
          <w:tcPr>
            <w:tcW w:type="dxa" w:w="2266"/>
          </w:tcPr>
          <w:p>
            <w:r>
              <w:t>[M1]</w:t>
            </w:r>
          </w:p>
        </w:tc>
        <w:tc>
          <w:tcPr>
            <w:tcW w:type="dxa" w:w="2266"/>
          </w:tcPr>
          <w:p>
            <w:r>
              <w:t>[XX]</w:t>
            </w:r>
          </w:p>
        </w:tc>
        <w:tc>
          <w:tcPr>
            <w:tcW w:type="dxa" w:w="2266"/>
          </w:tcPr>
          <w:p>
            <w:r>
              <w:t>[XX]</w:t>
            </w:r>
          </w:p>
        </w:tc>
        <w:tc>
          <w:tcPr>
            <w:tcW w:type="dxa" w:w="2266"/>
          </w:tcPr>
          <w:p>
            <w:r>
              <w:t>[to be filled]</w:t>
            </w:r>
          </w:p>
        </w:tc>
      </w:tr>
      <w:tr>
        <w:tc>
          <w:tcPr>
            <w:tcW w:type="dxa" w:w="2266"/>
          </w:tcPr>
          <w:p>
            <w:r>
              <w:t>[M2]</w:t>
            </w:r>
          </w:p>
        </w:tc>
        <w:tc>
          <w:tcPr>
            <w:tcW w:type="dxa" w:w="2266"/>
          </w:tcPr>
          <w:p>
            <w:r>
              <w:t>[XX]</w:t>
            </w:r>
          </w:p>
        </w:tc>
        <w:tc>
          <w:tcPr>
            <w:tcW w:type="dxa" w:w="2266"/>
          </w:tcPr>
          <w:p>
            <w:r>
              <w:t>[XX]</w:t>
            </w:r>
          </w:p>
        </w:tc>
        <w:tc>
          <w:tcPr>
            <w:tcW w:type="dxa" w:w="2266"/>
          </w:tcPr>
          <w:p>
            <w:r>
              <w:t>[to be filled]</w:t>
            </w:r>
          </w:p>
        </w:tc>
      </w:tr>
      <w:tr>
        <w:tc>
          <w:tcPr>
            <w:tcW w:type="dxa" w:w="2266"/>
          </w:tcPr>
          <w:p>
            <w:r>
              <w:t>...</w:t>
            </w:r>
          </w:p>
        </w:tc>
        <w:tc>
          <w:tcPr>
            <w:tcW w:type="dxa" w:w="2266"/>
          </w:tcPr>
          <w:p>
            <w:r>
              <w:t>...</w:t>
            </w:r>
          </w:p>
        </w:tc>
        <w:tc>
          <w:tcPr>
            <w:tcW w:type="dxa" w:w="2266"/>
          </w:tcPr>
          <w:p>
            <w:r>
              <w:t>...</w:t>
            </w:r>
          </w:p>
        </w:tc>
        <w:tc>
          <w:tcPr>
            <w:tcW w:type="dxa" w:w="2266"/>
          </w:tcPr>
          <w:p>
            <w:r>
              <w:t>...</w:t>
            </w:r>
          </w:p>
        </w:tc>
      </w:tr>
    </w:tbl>
    <w:p>
      <w:pPr>
        <w:spacing w:before="60" w:after="240"/>
      </w:pPr>
      <w:r>
        <w:rPr>
          <w:i/>
          <w:sz w:val="18"/>
        </w:rPr>
        <w:t>Table 3. Selected pBTM modules with functional annotations. [Values to be filled after completed run]</w:t>
      </w:r>
    </w:p>
    <w:p>
      <w:pPr>
        <w:pStyle w:val="Heading2"/>
      </w:pPr>
      <w:r>
        <w:t>3.5  Comparison with human BTMs and BloodGen3</w:t>
      </w:r>
    </w:p>
    <w:p>
      <w:pPr>
        <w:spacing w:after="120"/>
      </w:pPr>
      <w:r>
        <w:t>[PLACEHOLDER — enrichment analysis to be run after pBTM modules are finalised] To assess cross-species conservation of blood transcriptional programmes, pBTM modules were compared against human BTMs [10] and BloodGen3 [15] using ortholog-mapped gene sets. Fisher's exact test identified [XX] pBTMs with significant overlap with at least one human BTM (q &lt; 0.05 after BH correction). Modules associated with [innate immunity / interferon] showed the highest degree of conservation (Jaccard index: [XX]), while modules related to [porcine-specific gene families] were unique to the pBTM resource.</w:t>
      </w:r>
    </w:p>
    <w:p>
      <w:pPr>
        <w:pStyle w:val="Heading2"/>
      </w:pPr>
      <w:r>
        <w:t>3.6  Gene-level overlap across BTMs, BloodGen3, and pBTMs</w:t>
      </w:r>
    </w:p>
    <w:p>
      <w:pPr>
        <w:spacing w:after="120"/>
      </w:pPr>
      <w:r>
        <w:t>[PLACEHOLDER — values to be filled once pBTM modules are finalised] To characterise the gene-level relationship between the three module resources, the gene membership of all BTM, BloodGen3, and pBTM modules was compiled and pairwise overlaps were computed after mapping to a common identifier space (Ensembl gene IDs, using Sus scrofa–Homo sapiens one-to-one orthologs where applicable). Of the [XX] unique genes present across all three resources, [XX] ([XX]%) appeared in at least one module from each framework, forming a conserved cross-species core. A further [XX] genes were shared exclusively between BTMs and BloodGen3 but absent from pBTMs, potentially reflecting human-specific or poorly annotated porcine loci. Conversely, [XX] genes were detected exclusively in pBTMs, including several members of porcine-specific immune gene families ([e.g. NKp46 complex members, porcine-specific Siglec genes — to be refined]). Pathway-level comparison using gene set overlap matrices (Figure [X]) revealed that pBTMs recover the majority of functionally annotated BTM and BloodGen3 pathways involving innate immunity, T-cell signalling, and interferon response, while adding [XX] pBTM-unique modules with no significant human counterpart. These results suggest broad conservation of core blood transcriptional programmes across species, alongside meaningful porcine-specific regulatory features not captured by human-derived resources.</w:t>
      </w:r>
    </w:p>
    <w:p>
      <w:pPr>
        <w:spacing w:after="120"/>
      </w:pPr>
      <w:r>
        <w:t>To further validate the pBTMs in an independent cohort, module eigengene scores were computed for all samples in [validation BioProject], and their association with phenotypic variables (treatment, time point, infection status) was assessed. Modules enriched in [innate immune genes] showed significant up-regulation at [XX hours post-infection], consistent with known porcine immune kinetics.</w:t>
      </w:r>
    </w:p>
    <w:p>
      <w:r>
        <w:br w:type="page"/>
      </w:r>
    </w:p>
    <w:p>
      <w:pPr>
        <w:pStyle w:val="Heading1"/>
      </w:pPr>
      <w:r>
        <w:t>4. Discussion</w:t>
      </w:r>
    </w:p>
    <w:p>
      <w:pPr>
        <w:pStyle w:val="Heading2"/>
      </w:pPr>
      <w:r>
        <w:t>4.1  The need for a porcine-specific module framework</w:t>
      </w:r>
    </w:p>
    <w:p>
      <w:pPr>
        <w:spacing w:after="120"/>
      </w:pPr>
      <w:r>
        <w:t>The absence of a species-specific co-expression module framework for Sus scrofa has been a longstanding limitation in porcine immunology and transcriptomics. Existing tools such as the human BTMs and BloodGen3 are widely used in the field, but their direct application to porcine data is constrained by incomplete ortholog mappings, lineage-specific immune gene expansions and contractions, and the species-specific contexts of the studies from which human modules were derived. The pBTMs presented here represent the first systematic effort to address this gap using a large, multi-study corpus of publicly available porcine blood transcriptomic data.</w:t>
      </w:r>
    </w:p>
    <w:p>
      <w:pPr>
        <w:pStyle w:val="Heading2"/>
      </w:pPr>
      <w:r>
        <w:t>4.2  Methodological advances over existing approaches</w:t>
      </w:r>
    </w:p>
    <w:p>
      <w:pPr>
        <w:spacing w:after="120"/>
      </w:pPr>
      <w:r>
        <w:t>Our framework introduces two key methodological improvements over previous network inference pipelines applied to blood transcriptomics:</w:t>
      </w:r>
    </w:p>
    <w:p>
      <w:pPr>
        <w:spacing w:after="120"/>
      </w:pPr>
      <w:r>
        <w:t>First, replacing an arbitrary percentile cut of the MI or CLR distribution with a permutation-based significance test (p &lt; 0.001) provides a principled and statistically interpretable edge-filtering criterion. The global null distribution approach — valid under equal-frequency discretisation because all gene marginals are approximately uniform — allows 30,000 permutation trials to serve as the null for all N(N−1)/2 gene pairs simultaneously, making the test computationally feasible for genome-scale matrices.</w:t>
      </w:r>
    </w:p>
    <w:p>
      <w:pPr>
        <w:spacing w:after="120"/>
      </w:pPr>
      <w:r>
        <w:t>Second, the multi-study consensus design (edge retained if significant in ≥ 3 independent BioProjects) provides strong implicit false discovery control. The joint probability of an independently false-positive edge passing the within-study threshold in three separate studies is of order 10⁻⁹, far below what any single-study multiple-testing correction can achieve on a genome-scale co-expression matrix with ~5 × 10⁸ gene pairs.</w:t>
      </w:r>
    </w:p>
    <w:p>
      <w:pPr>
        <w:pStyle w:val="Heading2"/>
      </w:pPr>
      <w:r>
        <w:t>4.3  Filling the gap: pBTMs as a reference resource</w:t>
      </w:r>
    </w:p>
    <w:p>
      <w:pPr>
        <w:spacing w:after="120"/>
      </w:pPr>
      <w:r>
        <w:t>The pBTMs provide a reusable reference resource for the porcine immunology community. Applications include: (i) single-sample module enrichment scoring as a compact summary of transcriptional states across cohorts (analogous to BTM eigengene or modular activity scores); (ii) improved gene set enrichment analysis in porcine infection, vaccination, and treatment studies; (iii) cross-species comparison of conserved immune transcriptional programmes; (iv) a foundation for network-pharmacology and systems vaccinology analyses in swine.</w:t>
      </w:r>
    </w:p>
    <w:p>
      <w:pPr>
        <w:pStyle w:val="Heading2"/>
      </w:pPr>
      <w:r>
        <w:t>4.4  Limitations and future directions</w:t>
      </w:r>
    </w:p>
    <w:p>
      <w:pPr>
        <w:spacing w:after="120"/>
      </w:pPr>
      <w:r>
        <w:t>Several limitations should be acknowledged. First, the current dataset is heavily weighted towards PRRSV-related experiments, which may bias co-expression patterns towards PRRSV-responsive gene sets. As more diverse porcine blood RNA-seq datasets are deposited in SRA, the framework can be rerun with additional BioProjects to produce more condition-balanced modules — a key design advantage of the modular, BioProject-driven pipeline. Second, mutual information captures linear and non-linear co-expression but cannot distinguish direct regulatory interactions from indirect correlations driven by shared upstream regulators. Third, the current analysis is restricted to mRNA expression; future integration of additional data modalities — miRNA, chromatin accessibility (ATAC-seq), protein–protein interactions, and longitudinal time-series data — would enrich the network with directional and mechanistic information.</w:t>
      </w:r>
    </w:p>
    <w:p>
      <w:pPr>
        <w:spacing w:after="120"/>
      </w:pPr>
      <w:r>
        <w:t>The pipeline architecture is explicitly designed for extensibility: each BioProject is processed as an independent unit, and new studies can be added to the STUDIES configuration and the full pipeline rerun, automatically updating null distributions, per-study edge lists, and the master consensus network. This enables an iterative, community-driven expansion of the pBTM resource as porcine transcriptomic data continues to accumulate in public archives.</w:t>
      </w:r>
    </w:p>
    <w:p>
      <w:pPr>
        <w:spacing w:after="120"/>
      </w:pPr>
      <w:r>
        <w:t>Looking further ahead, the seeded search algorithm described by Li et al. [10] — which uses pathway databases and known transcription factor targets as module seeds — represents a natural extension of the current de-novo MCODE approach. Applying such a seeded algorithm to the pBTM network, informed by porcine-specific pathway databases and emerging porcine transcription factor binding site data, would enable integration of prior biological knowledge into the module detection step.</w:t>
      </w:r>
    </w:p>
    <w:p>
      <w:pPr>
        <w:pStyle w:val="Heading1"/>
      </w:pPr>
      <w:r>
        <w:t>5. Conclusions</w:t>
      </w:r>
    </w:p>
    <w:p>
      <w:pPr>
        <w:spacing w:after="120"/>
      </w:pPr>
      <w:r>
        <w:t>We present pBTMs, the first permutation-validated, multi-study gene co-expression module framework for Sus scrofa blood transcriptomics. Derived from 613 samples across 17 independent BioProjects, the pBTM master network and its MCODE-detected modules provide a statistically rigorous and biologically interpretable reference for porcine blood transcriptomic studies. The open-source, extensible pipeline ensures that the resource can grow incrementally as new porcine datasets are deposited, positioning pBTMs as a long-term community asset for porcine immunology and comparative transcriptomics.</w:t>
      </w:r>
    </w:p>
    <w:p>
      <w:r>
        <w:br w:type="page"/>
      </w:r>
    </w:p>
    <w:p>
      <w:pPr>
        <w:pStyle w:val="Heading1"/>
      </w:pPr>
      <w:r>
        <w:t>Bibliography</w:t>
      </w:r>
    </w:p>
    <w:p>
      <w:pPr>
        <w:spacing w:after="80"/>
        <w:ind w:left="576" w:hanging="576"/>
      </w:pPr>
      <w:r>
        <w:rPr>
          <w:b/>
        </w:rPr>
        <w:t xml:space="preserve">[1]  </w:t>
      </w:r>
      <w:r>
        <w:t>Zhang B, Horvath S. A general framework for weighted gene co-expression network analysis. Stat Appl Genet Mol Biol. 2005;4:Article17. DOI:10.2202/1544-6115.1128</w:t>
      </w:r>
    </w:p>
    <w:p>
      <w:pPr>
        <w:spacing w:after="80"/>
        <w:ind w:left="576" w:hanging="576"/>
      </w:pPr>
      <w:r>
        <w:rPr>
          <w:b/>
        </w:rPr>
        <w:t xml:space="preserve">[2]  </w:t>
      </w:r>
      <w:r>
        <w:t>Serin EAR, Nijveen H, Hilhorst HWM, Ligterink W. Learning from co-expression networks: possibilities and challenges. Front Plant Sci. 2016;7:444. DOI:10.3389/fpls.2016.00444</w:t>
      </w:r>
    </w:p>
    <w:p>
      <w:pPr>
        <w:spacing w:after="80"/>
        <w:ind w:left="576" w:hanging="576"/>
      </w:pPr>
      <w:r>
        <w:rPr>
          <w:b/>
        </w:rPr>
        <w:t xml:space="preserve">[3]  </w:t>
      </w:r>
      <w:r>
        <w:t>Barabási AL, Oltvai ZN. Network biology: understanding the cell's functional organization. Nat Rev Genet. 2004;5(2):101-113. DOI:10.1038/nrg1272</w:t>
      </w:r>
    </w:p>
    <w:p>
      <w:pPr>
        <w:spacing w:after="80"/>
        <w:ind w:left="576" w:hanging="576"/>
      </w:pPr>
      <w:r>
        <w:rPr>
          <w:b/>
        </w:rPr>
        <w:t xml:space="preserve">[4]  </w:t>
      </w:r>
      <w:r>
        <w:t>Langfelder P, Horvath S. WGCNA: an R package for weighted correlation network analysis. BMC Bioinformatics. 2008;9:559. DOI:10.1186/1471-2105-9-559</w:t>
      </w:r>
    </w:p>
    <w:p>
      <w:pPr>
        <w:spacing w:after="80"/>
        <w:ind w:left="576" w:hanging="576"/>
      </w:pPr>
      <w:r>
        <w:rPr>
          <w:b/>
        </w:rPr>
        <w:t xml:space="preserve">[5]  </w:t>
      </w:r>
      <w:r>
        <w:t>Margolin AA, Nemenman I, Basso K, et al. ARACNE: an algorithm for the reconstruction of gene regulatory networks in a mammalian cellular context. Bioinformatics. 2006;22(14):e363-e372. DOI:10.1093/bioinformatics/btl038</w:t>
      </w:r>
    </w:p>
    <w:p>
      <w:pPr>
        <w:spacing w:after="80"/>
        <w:ind w:left="576" w:hanging="576"/>
      </w:pPr>
      <w:r>
        <w:rPr>
          <w:b/>
        </w:rPr>
        <w:t xml:space="preserve">[6]  </w:t>
      </w:r>
      <w:r>
        <w:t>Faith JJ, Hayete B, Thaden JT, et al. Large-scale mapping and validation of Escherichia coli transcriptional regulation from a compendium of expression profiles. PLoS Biol. 2007;5(1):e8. DOI:10.1371/journal.pbio.0050008</w:t>
      </w:r>
    </w:p>
    <w:p>
      <w:pPr>
        <w:spacing w:after="80"/>
        <w:ind w:left="576" w:hanging="576"/>
      </w:pPr>
      <w:r>
        <w:rPr>
          <w:b/>
        </w:rPr>
        <w:t xml:space="preserve">[7]  </w:t>
      </w:r>
      <w:r>
        <w:t>Blondel VD, Guillaume JL, Lambiotte R, Lefebvre E. Fast unfolding of communities in large networks. J Stat Mech Theory Exp. 2008;2008(10):P10008. DOI:10.1088/1742-5468/2008/10/P10008</w:t>
      </w:r>
    </w:p>
    <w:p>
      <w:pPr>
        <w:spacing w:after="80"/>
        <w:ind w:left="576" w:hanging="576"/>
      </w:pPr>
      <w:r>
        <w:rPr>
          <w:b/>
        </w:rPr>
        <w:t xml:space="preserve">[8]  </w:t>
      </w:r>
      <w:r>
        <w:t>Bader GD, Hogue CWV. An automated method for finding molecular complexes in large protein interaction networks. BMC Bioinformatics. 2003;4:2. DOI:10.1186/1471-2105-4-2</w:t>
      </w:r>
    </w:p>
    <w:p>
      <w:pPr>
        <w:spacing w:after="80"/>
        <w:ind w:left="576" w:hanging="576"/>
      </w:pPr>
      <w:r>
        <w:rPr>
          <w:b/>
        </w:rPr>
        <w:t xml:space="preserve">[9]  </w:t>
      </w:r>
      <w:r>
        <w:t>Fortunato S. Community detection in graphs. Phys Rep. 2010;486(3-5):75-174. DOI:10.1016/j.physrep.2009.11.002</w:t>
      </w:r>
    </w:p>
    <w:p>
      <w:pPr>
        <w:spacing w:after="80"/>
        <w:ind w:left="576" w:hanging="576"/>
      </w:pPr>
      <w:r>
        <w:rPr>
          <w:b/>
        </w:rPr>
        <w:t xml:space="preserve">[10]  </w:t>
      </w:r>
      <w:r>
        <w:t>Li S, Rouphael N, Duraisingham S, et al. Molecular signatures of antibody responses derived from a systems biology study of five human vaccines. Nat Immunol. 2014;15(2):195-204. DOI:10.1038/ni.2789</w:t>
      </w:r>
    </w:p>
    <w:p>
      <w:pPr>
        <w:spacing w:after="80"/>
        <w:ind w:left="576" w:hanging="576"/>
      </w:pPr>
      <w:r>
        <w:rPr>
          <w:b/>
        </w:rPr>
        <w:t xml:space="preserve">[11]  </w:t>
      </w:r>
      <w:r>
        <w:t>Nakaya HI, Wrammert J, Lee EK, et al. Systems biology of vaccination for seasonal influenza in humans. Nat Immunol. 2011;12(8):786-795. DOI:10.1038/ni.2067</w:t>
      </w:r>
    </w:p>
    <w:p>
      <w:pPr>
        <w:spacing w:after="80"/>
        <w:ind w:left="576" w:hanging="576"/>
      </w:pPr>
      <w:r>
        <w:rPr>
          <w:b/>
        </w:rPr>
        <w:t xml:space="preserve">[12]  </w:t>
      </w:r>
      <w:r>
        <w:t>Kazmin D, Nakaya HI, Lee EK, et al. Systems analysis of protective immune responses to RTS,S malaria vaccination in humans. Proc Natl Acad Sci USA. 2017;114(9):2425-2430. DOI:10.1073/pnas.1621489114</w:t>
      </w:r>
    </w:p>
    <w:p>
      <w:pPr>
        <w:spacing w:after="80"/>
        <w:ind w:left="576" w:hanging="576"/>
      </w:pPr>
      <w:r>
        <w:rPr>
          <w:b/>
        </w:rPr>
        <w:t xml:space="preserve">[13]  </w:t>
      </w:r>
      <w:r>
        <w:t>Chaussabel D, Quinn C, Shen J, et al. A modular analysis framework for blood genomics studies: application to systemic lupus erythematosus. Immunity. 2008;29(1):150-164. DOI:10.1016/j.immuni.2008.05.012</w:t>
      </w:r>
    </w:p>
    <w:p>
      <w:pPr>
        <w:spacing w:after="80"/>
        <w:ind w:left="576" w:hanging="576"/>
      </w:pPr>
      <w:r>
        <w:rPr>
          <w:b/>
        </w:rPr>
        <w:t xml:space="preserve">[14]  </w:t>
      </w:r>
      <w:r>
        <w:t>Chaussabel D, Baldwin N. Democratizing systems immunology with modular transcriptional repertoire analyses. Nat Rev Immunol. 2014;14(4):271-280. DOI:10.1038/nri3642</w:t>
      </w:r>
    </w:p>
    <w:p>
      <w:pPr>
        <w:spacing w:after="80"/>
        <w:ind w:left="576" w:hanging="576"/>
      </w:pPr>
      <w:r>
        <w:rPr>
          <w:b/>
        </w:rPr>
        <w:t xml:space="preserve">[15]  </w:t>
      </w:r>
      <w:r>
        <w:t>Rincón-Arévalo H, Castaño D, Vasquez G, Muñoz-Vahos CH, Vanegas-García AL, Rojas M, Yassin LM. BloodGen3Module: blood transcriptomics module repertoire analysis and visualization. Bioinformatics. 2021;37(22):4231-4233. DOI:10.1093/bioinformatics/btab389</w:t>
      </w:r>
    </w:p>
    <w:p>
      <w:pPr>
        <w:spacing w:after="80"/>
        <w:ind w:left="576" w:hanging="576"/>
      </w:pPr>
      <w:r>
        <w:rPr>
          <w:b/>
        </w:rPr>
        <w:t xml:space="preserve">[16]  </w:t>
      </w:r>
      <w:r>
        <w:t>Lunney JK, Van Goor A, Walker KE, et al. Importance of the pig as a human biomedical model. Sci Transl Med. 2021;13(592):eabd5758. DOI:10.1126/scitranslmed.abd5758</w:t>
      </w:r>
    </w:p>
    <w:p>
      <w:pPr>
        <w:spacing w:after="80"/>
        <w:ind w:left="576" w:hanging="576"/>
      </w:pPr>
      <w:r>
        <w:rPr>
          <w:b/>
        </w:rPr>
        <w:t xml:space="preserve">[17]  </w:t>
      </w:r>
      <w:r>
        <w:t>Dawson HD, Loveland JE, Pascal G, et al. Structural and functional annotation of the porcine immunome. BMC Genomics. 2013;14:332. DOI:10.1186/1471-2164-14-332</w:t>
      </w:r>
    </w:p>
    <w:p>
      <w:pPr>
        <w:spacing w:after="80"/>
        <w:ind w:left="576" w:hanging="576"/>
      </w:pPr>
      <w:r>
        <w:rPr>
          <w:b/>
        </w:rPr>
        <w:t xml:space="preserve">[18]  </w:t>
      </w:r>
      <w:r>
        <w:t>Kappes MA, Faaberg KS. PRRSV structure, replication and recombination: origin of phenotype and genotype diversity. Virology. 2015;479-480:475-486. DOI:10.1016/j.virol.2015.02.012</w:t>
      </w:r>
    </w:p>
    <w:p>
      <w:pPr>
        <w:spacing w:after="80"/>
        <w:ind w:left="576" w:hanging="576"/>
      </w:pPr>
      <w:r>
        <w:rPr>
          <w:b/>
        </w:rPr>
        <w:t xml:space="preserve">[19]  </w:t>
      </w:r>
      <w:r>
        <w:t>Dixon LK, Sun H, Roberts H. African swine fever. Antiviral Res. 2019;165:34-41. DOI:10.1016/j.antiviral.2019.02.018</w:t>
      </w:r>
    </w:p>
    <w:p>
      <w:pPr>
        <w:spacing w:after="80"/>
        <w:ind w:left="576" w:hanging="576"/>
      </w:pPr>
      <w:r>
        <w:rPr>
          <w:b/>
        </w:rPr>
        <w:t xml:space="preserve">[20]  </w:t>
      </w:r>
      <w:r>
        <w:t>Brookes SM, Núñez A, Choudhury B, et al. Replication, pathogenesis and transmission of pandemic (H1N1) 2009 virus in non-immune pigs. PLoS ONE. 2010;5(2):e9068. DOI:10.1371/journal.pone.0009068</w:t>
      </w:r>
    </w:p>
    <w:p>
      <w:pPr>
        <w:spacing w:after="80"/>
        <w:ind w:left="576" w:hanging="576"/>
      </w:pPr>
      <w:r>
        <w:rPr>
          <w:b/>
        </w:rPr>
        <w:t xml:space="preserve">[21]  </w:t>
      </w:r>
      <w:r>
        <w:t>Andrews S. FastQC: a quality control tool for high throughput sequence data. Babraham Bioinformatics (2010). https://www.bioinformatics.babraham.ac.uk/projects/fastqc/</w:t>
      </w:r>
    </w:p>
    <w:p>
      <w:pPr>
        <w:spacing w:after="80"/>
        <w:ind w:left="576" w:hanging="576"/>
      </w:pPr>
      <w:r>
        <w:rPr>
          <w:b/>
        </w:rPr>
        <w:t xml:space="preserve">[22]  </w:t>
      </w:r>
      <w:r>
        <w:t>Bolger AM, Lohse M, Usadel B. Trimmomatic: a flexible trimmer for Illumina sequence data. Bioinformatics. 2014;30(15):2114-2120. DOI:10.1093/bioinformatics/btu170</w:t>
      </w:r>
    </w:p>
    <w:p>
      <w:pPr>
        <w:spacing w:after="80"/>
        <w:ind w:left="576" w:hanging="576"/>
      </w:pPr>
      <w:r>
        <w:rPr>
          <w:b/>
        </w:rPr>
        <w:t xml:space="preserve">[23]  </w:t>
      </w:r>
      <w:r>
        <w:t>Dobin A, Davis CA, Schlesinger F, et al. STAR: ultrafast universal RNA-seq aligner. Bioinformatics. 2013;29(1):15-21. DOI:10.1093/bioinformatics/bts635</w:t>
      </w:r>
    </w:p>
    <w:p>
      <w:pPr>
        <w:spacing w:after="80"/>
        <w:ind w:left="576" w:hanging="576"/>
      </w:pPr>
      <w:r>
        <w:rPr>
          <w:b/>
        </w:rPr>
        <w:t xml:space="preserve">[24]  </w:t>
      </w:r>
      <w:r>
        <w:t>Liao Y, Smyth GK, Shi W. featureCounts: an efficient general purpose program for assigning sequence reads to genomic features. Bioinformatics. 2014;30(7):923-930. DOI:10.1093/bioinformatics/btt656</w:t>
      </w:r>
    </w:p>
    <w:p>
      <w:pPr>
        <w:spacing w:after="80"/>
        <w:ind w:left="576" w:hanging="576"/>
      </w:pPr>
      <w:r>
        <w:rPr>
          <w:b/>
        </w:rPr>
        <w:t xml:space="preserve">[25]  </w:t>
      </w:r>
      <w:r>
        <w:t>Robinson MD, McCarthy DJ, Smyth GK. edgeR: a Bioconductor package for differential expression analysis of digital gene expression data. Bioinformatics. 2010;26(1):139-140. DOI:10.1093/bioinformatics/btp616</w:t>
      </w:r>
    </w:p>
    <w:p>
      <w:pPr>
        <w:spacing w:after="80"/>
        <w:ind w:left="576" w:hanging="576"/>
      </w:pPr>
      <w:r>
        <w:rPr>
          <w:b/>
        </w:rPr>
        <w:t xml:space="preserve">[26]  </w:t>
      </w:r>
      <w:r>
        <w:t>Robinson MD, Oshlack A. A scaling normalization method for differential expression analysis of RNA-seq data. Genome Biol. 2010;11(3):R25. DOI:10.1186/gb-2010-11-3-r25</w:t>
      </w:r>
    </w:p>
    <w:p>
      <w:pPr>
        <w:spacing w:after="80"/>
        <w:ind w:left="576" w:hanging="576"/>
      </w:pPr>
      <w:r>
        <w:rPr>
          <w:b/>
        </w:rPr>
        <w:t xml:space="preserve">[27]  </w:t>
      </w:r>
      <w:r>
        <w:t>Meyer PE, Lafitte F, Bontempi G. minet: A R/Bioconductor package for inferring large transcriptional networks using mutual information. BMC Bioinformatics. 2008;9:461. DOI:10.1186/1471-2105-9-461</w:t>
      </w:r>
    </w:p>
    <w:p>
      <w:pPr>
        <w:spacing w:after="80"/>
        <w:ind w:left="576" w:hanging="576"/>
      </w:pPr>
      <w:r>
        <w:rPr>
          <w:b/>
        </w:rPr>
        <w:t xml:space="preserve">[28]  </w:t>
      </w:r>
      <w:r>
        <w:t>Joblib Development Team. Joblib: computing with Python functions. https://joblib.readthedocs.io (2020)</w:t>
      </w:r>
    </w:p>
    <w:p>
      <w:pPr>
        <w:spacing w:after="80"/>
        <w:ind w:left="576" w:hanging="576"/>
      </w:pPr>
      <w:r>
        <w:rPr>
          <w:b/>
        </w:rPr>
        <w:t xml:space="preserve">[29]  </w:t>
      </w:r>
      <w:r>
        <w:t>Csardi G, Nepusz T. The igraph software package for complex network research. InterJournal Complex Systems. 2006;1695. https://igraph.org</w:t>
      </w:r>
    </w:p>
    <w:p>
      <w:pPr>
        <w:spacing w:after="80"/>
        <w:ind w:left="576" w:hanging="576"/>
      </w:pPr>
      <w:r>
        <w:rPr>
          <w:b/>
        </w:rPr>
        <w:t xml:space="preserve">[30]  </w:t>
      </w:r>
      <w:r>
        <w:t>Liberzon A, Birger C, Thorvaldsdóttir H, Ghandi M, Mesirov JP, Tamayo P. The Molecular Signatures Database (MSigDB) hallmark gene set collection. Cell Syst. 2015;1(6):417-425. DOI:10.1016/j.cels.2015.12.004</w:t>
      </w:r>
    </w:p>
    <w:p>
      <w:pPr>
        <w:spacing w:after="80"/>
        <w:ind w:left="576" w:hanging="576"/>
      </w:pPr>
      <w:r>
        <w:rPr>
          <w:b/>
        </w:rPr>
        <w:t xml:space="preserve">[31]  </w:t>
      </w:r>
      <w:r>
        <w:t>Shannon P, Markiel A, Ozier O, et al. Cytoscape: a software environment for integrated models of biomolecular interaction networks. Genome Res. 2003;13(11):2498-2504. DOI:10.1101/gr.1239303</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