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UNIVERSIDADE PAULISTA – UNIP</w:t>
      </w:r>
    </w:p>
    <w:p>
      <w:pPr>
        <w:spacing w:after="0" w:before="0" w:line="360"/>
        <w:jc w:val="center"/>
      </w:pPr>
      <w:r>
        <w:rPr>
          <w:rFonts w:ascii="Times New Roman" w:cs="Times New Roman" w:eastAsia="Times New Roman" w:hAnsi="Times New Roman"/>
          <w:b/>
          <w:bCs/>
          <w:sz w:val="24"/>
          <w:szCs w:val="24"/>
        </w:rPr>
        <w:t xml:space="preserve">CAMPUS ALPHAVILLE</w:t>
      </w:r>
    </w:p>
    <w:p>
      <w:pPr>
        <w:spacing w:after="0" w:before="0" w:line="360"/>
        <w:jc w:val="center"/>
      </w:pPr>
      <w:r>
        <w:rPr>
          <w:rFonts w:ascii="Times New Roman" w:cs="Times New Roman" w:eastAsia="Times New Roman" w:hAnsi="Times New Roman"/>
          <w:b/>
          <w:bCs/>
          <w:sz w:val="24"/>
          <w:szCs w:val="24"/>
        </w:rPr>
        <w:t xml:space="preserve">CURSO DE ADMINISTRAÇÃO</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JULIA OLIVEIRA GALAN</w:t>
      </w:r>
    </w:p>
    <w:p>
      <w:pPr>
        <w:spacing w:after="0" w:before="0" w:line="360"/>
        <w:jc w:val="center"/>
      </w:pPr>
      <w:r>
        <w:rPr>
          <w:rFonts w:ascii="Times New Roman" w:cs="Times New Roman" w:eastAsia="Times New Roman" w:hAnsi="Times New Roman"/>
          <w:b/>
          <w:bCs/>
          <w:sz w:val="24"/>
          <w:szCs w:val="24"/>
        </w:rPr>
        <w:t xml:space="preserve">R.A.: N092840</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GESTÃO ESTRATÉGICA: USO APROPRIADO DAS FERRAMENTAS</w:t>
      </w:r>
    </w:p>
    <w:p>
      <w:pPr>
        <w:spacing w:after="0" w:before="240" w:line="360"/>
        <w:jc w:val="center"/>
      </w:pPr>
      <w:r>
        <w:rPr>
          <w:rFonts w:ascii="Times New Roman" w:cs="Times New Roman" w:eastAsia="Times New Roman" w:hAnsi="Times New Roman"/>
          <w:b w:val="false"/>
          <w:bCs w:val="false"/>
          <w:sz w:val="24"/>
          <w:szCs w:val="24"/>
        </w:rPr>
        <w:t xml:space="preserve">APS 14B7</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SANTANA DE PARNAÍBA</w:t>
      </w:r>
    </w:p>
    <w:p>
      <w:pPr>
        <w:spacing w:after="0" w:before="0" w:line="360"/>
        <w:jc w:val="center"/>
      </w:pPr>
      <w:r>
        <w:rPr>
          <w:rFonts w:ascii="Times New Roman" w:cs="Times New Roman" w:eastAsia="Times New Roman" w:hAnsi="Times New Roman"/>
          <w:b/>
          <w:bCs/>
          <w:sz w:val="24"/>
          <w:szCs w:val="24"/>
        </w:rPr>
        <w:t xml:space="preserve">2026</w:t>
      </w:r>
    </w:p>
    <w:p>
      <w:r>
        <w:br w:type="page"/>
      </w:r>
    </w:p>
    <w:p>
      <w:pPr>
        <w:spacing w:after="0" w:before="0" w:line="360"/>
        <w:jc w:val="center"/>
      </w:pPr>
      <w:r>
        <w:rPr>
          <w:rFonts w:ascii="Times New Roman" w:cs="Times New Roman" w:eastAsia="Times New Roman" w:hAnsi="Times New Roman"/>
          <w:b/>
          <w:bCs/>
          <w:sz w:val="24"/>
          <w:szCs w:val="24"/>
        </w:rPr>
        <w:t xml:space="preserve">JULIA OLIVEIRA GALAN</w:t>
      </w:r>
    </w:p>
    <w:p>
      <w:pPr>
        <w:spacing w:after="0" w:before="0" w:line="360"/>
        <w:jc w:val="center"/>
      </w:pPr>
      <w:r>
        <w:rPr>
          <w:rFonts w:ascii="Times New Roman" w:cs="Times New Roman" w:eastAsia="Times New Roman" w:hAnsi="Times New Roman"/>
          <w:b/>
          <w:bCs/>
          <w:sz w:val="24"/>
          <w:szCs w:val="24"/>
        </w:rPr>
        <w:t xml:space="preserve">R.A.: N092840</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GESTÃO ESTRATÉGICA: USO APROPRIADO DAS FERRAMENTAS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240"/>
        <w:ind w:left="4535"/>
        <w:jc w:val="both"/>
      </w:pPr>
      <w:r>
        <w:rPr>
          <w:rFonts w:ascii="Times New Roman" w:cs="Times New Roman" w:eastAsia="Times New Roman" w:hAnsi="Times New Roman"/>
          <w:sz w:val="20"/>
          <w:szCs w:val="20"/>
        </w:rPr>
        <w:t xml:space="preserve">Atividade Prática Supervisionada (APS 14B7) apresentada ao curso de Administração da Universidade Paulista – UNIP, Campus Alphaville, na disciplina de Administração Estratégica.</w:t>
      </w:r>
    </w:p>
    <w:p>
      <w:pPr>
        <w:spacing w:before="240" w:line="240"/>
        <w:ind w:left="4535"/>
      </w:pPr>
      <w:r>
        <w:rPr>
          <w:rFonts w:ascii="Times New Roman" w:cs="Times New Roman" w:eastAsia="Times New Roman" w:hAnsi="Times New Roman"/>
          <w:sz w:val="20"/>
          <w:szCs w:val="20"/>
        </w:rPr>
        <w:t xml:space="preserve">Orientador: Prof. Paulo Lemos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SANTANA DE PARNAÍBA</w:t>
      </w:r>
    </w:p>
    <w:p>
      <w:pPr>
        <w:spacing w:after="0" w:before="0" w:line="360"/>
        <w:jc w:val="center"/>
      </w:pPr>
      <w:r>
        <w:rPr>
          <w:rFonts w:ascii="Times New Roman" w:cs="Times New Roman" w:eastAsia="Times New Roman" w:hAnsi="Times New Roman"/>
          <w:b/>
          <w:bCs/>
          <w:sz w:val="24"/>
          <w:szCs w:val="24"/>
        </w:rPr>
        <w:t xml:space="preserve">2026</w:t>
      </w:r>
    </w:p>
    <w:p>
      <w:r>
        <w:br w:type="page"/>
      </w:r>
    </w:p>
    <w:p>
      <w:pPr>
        <w:spacing w:after="360" w:before="0" w:line="360"/>
        <w:jc w:val="center"/>
      </w:pPr>
      <w:r>
        <w:rPr>
          <w:rFonts w:ascii="Times New Roman" w:cs="Times New Roman" w:eastAsia="Times New Roman" w:hAnsi="Times New Roman"/>
          <w:b/>
          <w:bCs/>
          <w:sz w:val="24"/>
          <w:szCs w:val="24"/>
        </w:rPr>
        <w:t xml:space="preserve">RESUMO</w:t>
      </w:r>
    </w:p>
    <w:p>
      <w:pPr>
        <w:spacing w:after="240" w:line="240"/>
        <w:jc w:val="both"/>
      </w:pPr>
      <w:r>
        <w:rPr>
          <w:rFonts w:ascii="Times New Roman" w:cs="Times New Roman" w:eastAsia="Times New Roman" w:hAnsi="Times New Roman"/>
          <w:sz w:val="24"/>
          <w:szCs w:val="24"/>
        </w:rPr>
        <w:t xml:space="preserve">Este trabalho apresenta uma revisão bibliográfica e conceitual sobre o uso apropriado de ferramentas da Administração Estratégica. Foram escolhidas três ferramentas: a Análise SWOT, a Matriz BCG e as Cinco Forças de Porter. Para cada uma delas, discute-se o conceito e os pontos principais, as situações em que o uso é mais adequado e a maneira de aplicá-la na prática. A análise mostra que a SWOT oferece um diagnóstico geral que cruza fatores internos e externos, que a Matriz BCG auxilia na distribuição de recursos entre os negócios de empresas diversificadas e que as Cinco Forças permitem avaliar a atratividade e a estrutura de um setor. Conclui-se que as ferramentas não substituem o julgamento do gestor, dependem de dados confiáveis e devem ser escolhidas conforme o problema a ser resolvido, sendo mais eficazes quando usadas de forma complementar e crítica.</w:t>
      </w:r>
    </w:p>
    <w:p>
      <w:pPr>
        <w:spacing w:line="24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Administração Estratégica. Análise SWOT. Matriz BCG. Cinco Forças de Porter.</w:t>
      </w:r>
    </w:p>
    <w:p>
      <w:r>
        <w:br w:type="page"/>
      </w:r>
    </w:p>
    <w:p>
      <w:pPr>
        <w:spacing w:after="360" w:before="0" w:line="360"/>
        <w:jc w:val="center"/>
      </w:pPr>
      <w:r>
        <w:rPr>
          <w:rFonts w:ascii="Times New Roman" w:cs="Times New Roman" w:eastAsia="Times New Roman" w:hAnsi="Times New Roman"/>
          <w:b/>
          <w:bCs/>
          <w:sz w:val="24"/>
          <w:szCs w:val="24"/>
        </w:rPr>
        <w:t xml:space="preserve">SUMÁRIO</w:t>
      </w:r>
    </w:p>
    <w:sdt>
      <w:sdtPr>
        <w:alias w:val="Sumário"/>
      </w:sdtPr>
      <w:sdtContent>
        <w:p>
          <w:pPr>
            <w:pStyle w:val="TOC1"/>
            <w:tabs>
              <w:tab w:val="right" w:pos="9071" w:leader="dot"/>
            </w:tabs>
          </w:pPr>
          <w:r>
            <w:fldChar w:fldCharType="begin" w:dirty="true"/>
            <w:instrText xml:space="preserve">TOC \h \o "1-2"</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2 ADMINISTRAÇÃO ESTRATÉGICA E O PAPEL DAS FERRAMENTAS</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3 ANÁLISE SWOT</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3.1 Conceito e pontos principais</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3.2 Situações adequadas de uso</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3.3 Como utilizar</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4 MATRIZ BCG</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4.1 Conceito e pontos principais</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4.2 Situações adequadas de uso</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4.3 Como utilizar</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1">
            <w:r>
              <w:t xml:space="preserve">5 AS CINCO FORÇAS DE PORTER</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5.1 Conceito e pontos principais</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5.2 Situações adequadas de uso</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5.3 Como utilizar</w:t>
            </w:r>
            <w:r>
              <w:tab/>
            </w:r>
            <w:r>
              <w:fldChar w:fldCharType="begin" w:dirty="true"/>
              <w:instrText xml:space="preserve">PAGEREF _Toc14 \h</w:instrText>
              <w:fldChar w:fldCharType="separate"/>
              <w:fldChar w:fldCharType="end"/>
            </w:r>
          </w:hyperlink>
        </w:p>
        <w:p>
          <w:pPr>
            <w:pStyle w:val="TOC1"/>
            <w:tabs>
              <w:tab w:val="right" w:pos="9071" w:leader="dot"/>
            </w:tabs>
          </w:pPr>
          <w:hyperlink w:history="1" w:anchor="_Toc15">
            <w:r>
              <w:t xml:space="preserve">6 COMPARAÇÃO ENTRE AS FERRAMENTAS</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6">
            <w:r>
              <w:t xml:space="preserve">7 CONCLUSÃO</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REFERÊNCIAS</w:t>
            </w:r>
            <w:r>
              <w:tab/>
            </w:r>
            <w:r>
              <w:fldChar w:fldCharType="begin" w:dirty="true"/>
              <w:instrText xml:space="preserve">PAGEREF _Toc17 \h</w:instrText>
              <w:fldChar w:fldCharType="separate"/>
              <w:fldChar w:fldCharType="end"/>
            </w:r>
          </w:hyperlink>
        </w:p>
        <w:p>
          <w:r>
            <w:fldChar w:fldCharType="end"/>
          </w:r>
        </w:p>
      </w:sdtContent>
    </w:sdt>
    <w:p>
      <w:pPr>
        <w:sectPr>
          <w:pgSz w:w="11906" w:h="16838" w:orient="portrait"/>
          <w:pgMar w:top="1701" w:right="1134" w:bottom="1134" w:left="1701" w:header="709" w:footer="708" w:gutter="0"/>
          <w:pgNumType/>
          <w:docGrid w:linePitch="360"/>
        </w:sectPr>
      </w:pPr>
    </w:p>
    <w:p>
      <w:pPr>
        <w:pStyle w:val="Heading1"/>
        <w:keepNext/>
        <w:spacing w:after="360" w:before="360" w:line="360"/>
      </w:pPr>
      <w:bookmarkStart w:name="_Toc1" w:id="1"/>
      <w:r>
        <w:rPr>
          <w:rFonts w:ascii="Times New Roman" w:cs="Times New Roman" w:eastAsia="Times New Roman" w:hAnsi="Times New Roman"/>
          <w:b/>
          <w:bCs/>
          <w:sz w:val="24"/>
          <w:szCs w:val="24"/>
        </w:rPr>
        <w:t xml:space="preserve">1 INTRODUÇÃO</w:t>
      </w:r>
      <w:bookmarkEnd w:id="1"/>
    </w:p>
    <w:p>
      <w:pPr>
        <w:spacing w:after="0" w:line="360" w:lineRule="auto"/>
        <w:ind w:firstLine="709"/>
        <w:jc w:val="both"/>
      </w:pPr>
      <w:r>
        <w:rPr>
          <w:rFonts w:ascii="Times New Roman" w:cs="Times New Roman" w:eastAsia="Times New Roman" w:hAnsi="Times New Roman"/>
          <w:sz w:val="24"/>
          <w:szCs w:val="24"/>
        </w:rPr>
        <w:t xml:space="preserve">Hoje as empresas precisam tomar decisões num ambiente que muda muito rápido. Aparecem concorrentes novos, o consumidor muda de hábito, a tecnologia deixa produtos ultrapassados em pouco tempo e o dinheiro disponível quase nunca é suficiente para tudo. Quando o gestor decide só pela intuição ou pela experiência, o risco de errar é grande. A Administração Estratégica existe justamente para dar um método a essas decisões e ajudar a empresa a entender onde ela está, aonde quer chegar e por qual caminho.</w:t>
      </w:r>
    </w:p>
    <w:p>
      <w:pPr>
        <w:spacing w:after="0" w:line="360" w:lineRule="auto"/>
        <w:ind w:firstLine="709"/>
        <w:jc w:val="both"/>
      </w:pPr>
      <w:r>
        <w:rPr>
          <w:rFonts w:ascii="Times New Roman" w:cs="Times New Roman" w:eastAsia="Times New Roman" w:hAnsi="Times New Roman"/>
          <w:sz w:val="24"/>
          <w:szCs w:val="24"/>
        </w:rPr>
        <w:t xml:space="preserve">Para isso, a área conta com várias ferramentas de análise. Elas não escolhem a estratégia no lugar do gestor, mas organizam as informações e deixam o raciocínio mais claro para quem participa da decisão. O problema aparece quando a ferramenta é usada sem critério. Aplicar uma matriz só porque ela é conhecida, sem pensar se ela serve para aquele problema, gera uma análise rasa e pouco útil. Por isso, usar bem uma ferramenta depende de saber o que ela faz, em que situação funciona e quais são os seus limites.</w:t>
      </w:r>
    </w:p>
    <w:p>
      <w:pPr>
        <w:spacing w:after="0" w:line="360" w:lineRule="auto"/>
        <w:ind w:firstLine="709"/>
        <w:jc w:val="both"/>
      </w:pPr>
      <w:r>
        <w:rPr>
          <w:rFonts w:ascii="Times New Roman" w:cs="Times New Roman" w:eastAsia="Times New Roman" w:hAnsi="Times New Roman"/>
          <w:sz w:val="24"/>
          <w:szCs w:val="24"/>
        </w:rPr>
        <w:t xml:space="preserve">O objetivo deste trabalho é apresentar três ferramentas clássicas da Administração Estratégica: a Análise SWOT, a Matriz BCG e as Cinco Forças de Porter. De cada uma, serão mostrados o conceito e os pontos principais, a situação em que ela é mais indicada e o modo de aplicá-la. Essas três foram escolhidas porque olham a empresa de ângulos diferentes: a SWOT faz um diagnóstico geral, juntando o que acontece dentro e fora da empresa; a Matriz BCG ajuda a decidir onde investir entre os vários negócios; e as Cinco Forças analisam o setor e o quanto ele é atrativo.</w:t>
      </w:r>
    </w:p>
    <w:p>
      <w:pPr>
        <w:spacing w:after="0" w:line="360" w:lineRule="auto"/>
        <w:ind w:firstLine="709"/>
        <w:jc w:val="both"/>
      </w:pPr>
      <w:r>
        <w:rPr>
          <w:rFonts w:ascii="Times New Roman" w:cs="Times New Roman" w:eastAsia="Times New Roman" w:hAnsi="Times New Roman"/>
          <w:sz w:val="24"/>
          <w:szCs w:val="24"/>
        </w:rPr>
        <w:t xml:space="preserve">O trabalho é uma revisão bibliográfica e conceitual, feita a partir de livros e artigos de autores como Porter, Henderson, Hax e Majluf, Wright, Kroll e Parnell, e Chiavenato e Sapiro. Depois desta introdução, vem uma seção sobre administração estratégica, uma seção para cada ferramenta, uma comparação entre elas e a conclusão.</w:t>
      </w:r>
    </w:p>
    <w:p>
      <w:pPr>
        <w:pStyle w:val="Heading1"/>
        <w:keepNext/>
        <w:spacing w:after="360" w:before="360" w:line="360"/>
      </w:pPr>
      <w:bookmarkStart w:name="_Toc2" w:id="2"/>
      <w:r>
        <w:rPr>
          <w:rFonts w:ascii="Times New Roman" w:cs="Times New Roman" w:eastAsia="Times New Roman" w:hAnsi="Times New Roman"/>
          <w:b/>
          <w:bCs/>
          <w:sz w:val="24"/>
          <w:szCs w:val="24"/>
        </w:rPr>
        <w:t xml:space="preserve">2 ADMINISTRAÇÃO ESTRATÉGICA E O PAPEL DAS FERRAMENTAS</w:t>
      </w:r>
      <w:bookmarkEnd w:id="2"/>
    </w:p>
    <w:p>
      <w:pPr>
        <w:spacing w:after="0" w:line="360" w:lineRule="auto"/>
        <w:ind w:firstLine="709"/>
        <w:jc w:val="both"/>
      </w:pPr>
      <w:r>
        <w:rPr>
          <w:rFonts w:ascii="Times New Roman" w:cs="Times New Roman" w:eastAsia="Times New Roman" w:hAnsi="Times New Roman"/>
          <w:sz w:val="24"/>
          <w:szCs w:val="24"/>
        </w:rPr>
        <w:t xml:space="preserve">De acordo com Wright, Kroll e Parnell (2000), a administração estratégica é o conjunto de decisões e ações que definem os rumos da organização no longo prazo, desde a escolha das estratégias até o acompanhamento da sua execução. Não é um plano que se faz uma vez e se guarda. É um processo contínuo, que passa por analisar o ambiente, definir objetivos, formular e colocar em prática as estratégias e depois avaliar os resultados. Chiavenato e Sapiro (2016) seguem a mesma linha quando tratam o planejamento estratégico como uma forma de alinhar a organização ao ambiente em que ela atua, e não apenas como uma projeção de números feita dentro da empresa.</w:t>
      </w:r>
    </w:p>
    <w:p>
      <w:pPr>
        <w:spacing w:after="0" w:line="360" w:lineRule="auto"/>
        <w:ind w:firstLine="709"/>
        <w:jc w:val="both"/>
      </w:pPr>
      <w:r>
        <w:rPr>
          <w:rFonts w:ascii="Times New Roman" w:cs="Times New Roman" w:eastAsia="Times New Roman" w:hAnsi="Times New Roman"/>
          <w:sz w:val="24"/>
          <w:szCs w:val="24"/>
        </w:rPr>
        <w:t xml:space="preserve">Dentro desse processo, as ferramentas servem para transformar uma quantidade grande de informações soltas em algo que dá para interpretar. Cada uma enxerga a realidade de um jeito: umas olham para o ambiente externo, outras para os produtos da empresa, outras para a concorrência. Por isso nenhuma responde a tudo, e cabe ao gestor escolher a que combina com o que ele quer descobrir. Também é preciso lembrar que o resultado de qualquer ferramenta depende dos dados usados. Uma análise bem montada, mas feita com informações vagas ou antigas, leva a conclusões pouco confiáveis.</w:t>
      </w:r>
    </w:p>
    <w:p>
      <w:pPr>
        <w:pStyle w:val="Heading1"/>
        <w:keepNext/>
        <w:spacing w:after="360" w:before="360" w:line="360"/>
      </w:pPr>
      <w:bookmarkStart w:name="_Toc3" w:id="3"/>
      <w:r>
        <w:rPr>
          <w:rFonts w:ascii="Times New Roman" w:cs="Times New Roman" w:eastAsia="Times New Roman" w:hAnsi="Times New Roman"/>
          <w:b/>
          <w:bCs/>
          <w:sz w:val="24"/>
          <w:szCs w:val="24"/>
        </w:rPr>
        <w:t xml:space="preserve">3 ANÁLISE SWOT</w:t>
      </w:r>
      <w:bookmarkEnd w:id="3"/>
    </w:p>
    <w:p>
      <w:pPr>
        <w:pStyle w:val="Heading2"/>
        <w:keepNext/>
        <w:spacing w:after="240" w:before="240" w:line="360"/>
      </w:pPr>
      <w:bookmarkStart w:name="_Toc4" w:id="4"/>
      <w:r>
        <w:rPr>
          <w:rFonts w:ascii="Times New Roman" w:cs="Times New Roman" w:eastAsia="Times New Roman" w:hAnsi="Times New Roman"/>
          <w:b/>
          <w:bCs/>
          <w:sz w:val="24"/>
          <w:szCs w:val="24"/>
        </w:rPr>
        <w:t xml:space="preserve">3.1 Conceito e pontos principais</w:t>
      </w:r>
      <w:bookmarkEnd w:id="4"/>
    </w:p>
    <w:p>
      <w:pPr>
        <w:spacing w:after="0" w:line="360" w:lineRule="auto"/>
        <w:ind w:firstLine="709"/>
        <w:jc w:val="both"/>
      </w:pPr>
      <w:r>
        <w:rPr>
          <w:rFonts w:ascii="Times New Roman" w:cs="Times New Roman" w:eastAsia="Times New Roman" w:hAnsi="Times New Roman"/>
          <w:sz w:val="24"/>
          <w:szCs w:val="24"/>
        </w:rPr>
        <w:t xml:space="preserve">SWOT é uma sigla em inglês formada por strengths (forças), weaknesses (fraquezas), opportunities (oportunidades) e threats (ameaças). No Brasil ela também aparece como FOFA ou FFOA. A ferramenta serve para diagnosticar a situação de uma organização, cruzando fatores que vêm de dentro dela com fatores que vêm de fora (CHIAVENATO; SAPIRO, 2016).</w:t>
      </w:r>
    </w:p>
    <w:p>
      <w:pPr>
        <w:spacing w:after="0" w:line="360" w:lineRule="auto"/>
        <w:ind w:firstLine="709"/>
        <w:jc w:val="both"/>
      </w:pPr>
      <w:r>
        <w:rPr>
          <w:rFonts w:ascii="Times New Roman" w:cs="Times New Roman" w:eastAsia="Times New Roman" w:hAnsi="Times New Roman"/>
          <w:sz w:val="24"/>
          <w:szCs w:val="24"/>
        </w:rPr>
        <w:t xml:space="preserve">O ponto central da SWOT é separar o ambiente interno do externo. Forças e fraquezas são internas e, em geral, a empresa consegue controlá-las ou mudá-las. Podem ser, por exemplo, a qualidade da equipe, a força da marca, a situação financeira, os processos de produção ou a tecnologia que ela tem. O que ajuda a empresa a alcançar seus objetivos é força, e o que atrapalha é fraqueza. Já as oportunidades e as ameaças são externas, e a empresa não controla, só pode se preparar. Entram aqui mudanças na economia, nas leis, nos hábitos de consumo, na tecnologia e na atuação dos concorrentes. Se a mudança favorece a empresa, é uma oportunidade; se prejudica, é uma ameaça.</w:t>
      </w:r>
    </w:p>
    <w:p>
      <w:pPr>
        <w:spacing w:after="0" w:line="360" w:lineRule="auto"/>
        <w:ind w:firstLine="709"/>
        <w:jc w:val="both"/>
      </w:pPr>
      <w:r>
        <w:rPr>
          <w:rFonts w:ascii="Times New Roman" w:cs="Times New Roman" w:eastAsia="Times New Roman" w:hAnsi="Times New Roman"/>
          <w:sz w:val="24"/>
          <w:szCs w:val="24"/>
        </w:rPr>
        <w:t xml:space="preserve">Um detalhe importante é que o mesmo fator pode ser visto de maneiras diferentes, dependendo do objetivo da análise. Uma loja pequena, por exemplo, pode ver a estrutura enxuta como força, porque as decisões saem rápido, mas ela vira fraqueza se a loja não der conta de atender uma demanda muito maior. Por isso a SWOT deve sempre ser feita pensando em um objetivo ou em uma decisão específica, e não de forma solta.</w:t>
      </w:r>
    </w:p>
    <w:p>
      <w:pPr>
        <w:pStyle w:val="Heading2"/>
        <w:keepNext/>
        <w:spacing w:after="240" w:before="240" w:line="360"/>
      </w:pPr>
      <w:bookmarkStart w:name="_Toc5" w:id="5"/>
      <w:r>
        <w:rPr>
          <w:rFonts w:ascii="Times New Roman" w:cs="Times New Roman" w:eastAsia="Times New Roman" w:hAnsi="Times New Roman"/>
          <w:b/>
          <w:bCs/>
          <w:sz w:val="24"/>
          <w:szCs w:val="24"/>
        </w:rPr>
        <w:t xml:space="preserve">3.2 Situações adequadas de uso</w:t>
      </w:r>
      <w:bookmarkEnd w:id="5"/>
    </w:p>
    <w:p>
      <w:pPr>
        <w:spacing w:after="0" w:line="360" w:lineRule="auto"/>
        <w:ind w:firstLine="709"/>
        <w:jc w:val="both"/>
      </w:pPr>
      <w:r>
        <w:rPr>
          <w:rFonts w:ascii="Times New Roman" w:cs="Times New Roman" w:eastAsia="Times New Roman" w:hAnsi="Times New Roman"/>
          <w:sz w:val="24"/>
          <w:szCs w:val="24"/>
        </w:rPr>
        <w:t xml:space="preserve">A SWOT é muito indicada no começo do planejamento, quando a empresa precisa ter uma visão geral da própria situação antes de definir objetivos e estratégias. Ela também ajuda em decisões pontuais, como abrir uma nova unidade, lançar um produto, entrar em outro mercado ou reagir a uma mudança importante no setor. Outra vantagem é que ela é barata e simples: não precisa de programas especiais nem de cálculos complicados, então pode ser usada por pequenas empresas, por empreendedores e até em trabalhos acadêmicos.</w:t>
      </w:r>
    </w:p>
    <w:p>
      <w:pPr>
        <w:spacing w:after="0" w:line="360" w:lineRule="auto"/>
        <w:ind w:firstLine="709"/>
        <w:jc w:val="both"/>
      </w:pPr>
      <w:r>
        <w:rPr>
          <w:rFonts w:ascii="Times New Roman" w:cs="Times New Roman" w:eastAsia="Times New Roman" w:hAnsi="Times New Roman"/>
          <w:sz w:val="24"/>
          <w:szCs w:val="24"/>
        </w:rPr>
        <w:t xml:space="preserve">Além disso, a SWOT funciona bem como ferramenta de conversa. Quando pessoas de áreas diferentes listam os fatores juntas, aparecem opiniões distintas sobre os mesmos problemas, e isso melhora o diagnóstico. Mas a ferramenta tem limites. Ela é subjetiva, porque depende da opinião de quem monta a análise, e costuma gerar listas genéricas quando não há dados para sustentar cada item. Também só descreve a situação: não diz qual fator pesa mais nem qual caminho seguir. Por isso, usada sozinha em decisões de grande impacto, ela tende a ser insuficiente.</w:t>
      </w:r>
    </w:p>
    <w:p>
      <w:pPr>
        <w:pStyle w:val="Heading2"/>
        <w:keepNext/>
        <w:spacing w:after="240" w:before="240" w:line="360"/>
      </w:pPr>
      <w:bookmarkStart w:name="_Toc6" w:id="6"/>
      <w:r>
        <w:rPr>
          <w:rFonts w:ascii="Times New Roman" w:cs="Times New Roman" w:eastAsia="Times New Roman" w:hAnsi="Times New Roman"/>
          <w:b/>
          <w:bCs/>
          <w:sz w:val="24"/>
          <w:szCs w:val="24"/>
        </w:rPr>
        <w:t xml:space="preserve">3.3 Como utilizar</w:t>
      </w:r>
      <w:bookmarkEnd w:id="6"/>
    </w:p>
    <w:p>
      <w:pPr>
        <w:spacing w:after="0" w:line="360" w:lineRule="auto"/>
        <w:ind w:firstLine="709"/>
        <w:jc w:val="both"/>
      </w:pPr>
      <w:r>
        <w:rPr>
          <w:rFonts w:ascii="Times New Roman" w:cs="Times New Roman" w:eastAsia="Times New Roman" w:hAnsi="Times New Roman"/>
          <w:sz w:val="24"/>
          <w:szCs w:val="24"/>
        </w:rPr>
        <w:t xml:space="preserve">O primeiro passo é definir com clareza o objetivo da análise, ou seja, o que se quer decidir ou entender. Depois é preciso levantar informações. Para o ambiente interno, valem dados de vendas, custos, desempenho dos processos, perfil da equipe e recursos disponíveis. Para o ambiente externo, servem pesquisas de mercado, indicadores econômicos, tendências do setor e informações sobre os concorrentes.</w:t>
      </w:r>
    </w:p>
    <w:p>
      <w:pPr>
        <w:spacing w:after="0" w:line="360" w:lineRule="auto"/>
        <w:ind w:firstLine="709"/>
        <w:jc w:val="both"/>
      </w:pPr>
      <w:r>
        <w:rPr>
          <w:rFonts w:ascii="Times New Roman" w:cs="Times New Roman" w:eastAsia="Times New Roman" w:hAnsi="Times New Roman"/>
          <w:sz w:val="24"/>
          <w:szCs w:val="24"/>
        </w:rPr>
        <w:t xml:space="preserve">Com os dados reunidos, os fatores são colocados nos quatro quadrantes. É melhor ser específico e evitar frases como “boa qualidade” ou “mercado competitivo”, trocando por itens que possam ser comprovados. Em seguida vem a priorização: ficam os fatores que realmente pesam para o objetivo, porque uma lista com dezenas de itens acaba não ajudando ninguém. O passo seguinte, que muitas vezes é o mais útil, é cruzar os quadrantes. Isso significa ver como as forças podem ser usadas para aproveitar oportunidades e reduzir ameaças, e como corrigir as fraquezas para que elas não impeçam a empresa de aproveitar as oportunidades nem a deixem mais exposta às ameaças. É desse cruzamento que saem as ações práticas. Como o ambiente muda, a análise também precisa ser revista de tempos em tempos.</w:t>
      </w:r>
    </w:p>
    <w:p>
      <w:pPr>
        <w:pStyle w:val="Heading1"/>
        <w:keepNext/>
        <w:spacing w:after="360" w:before="360" w:line="360"/>
      </w:pPr>
      <w:bookmarkStart w:name="_Toc7" w:id="7"/>
      <w:r>
        <w:rPr>
          <w:rFonts w:ascii="Times New Roman" w:cs="Times New Roman" w:eastAsia="Times New Roman" w:hAnsi="Times New Roman"/>
          <w:b/>
          <w:bCs/>
          <w:sz w:val="24"/>
          <w:szCs w:val="24"/>
        </w:rPr>
        <w:t xml:space="preserve">4 MATRIZ BCG</w:t>
      </w:r>
      <w:bookmarkEnd w:id="7"/>
    </w:p>
    <w:p>
      <w:pPr>
        <w:pStyle w:val="Heading2"/>
        <w:keepNext/>
        <w:spacing w:after="240" w:before="240" w:line="360"/>
      </w:pPr>
      <w:bookmarkStart w:name="_Toc8" w:id="8"/>
      <w:r>
        <w:rPr>
          <w:rFonts w:ascii="Times New Roman" w:cs="Times New Roman" w:eastAsia="Times New Roman" w:hAnsi="Times New Roman"/>
          <w:b/>
          <w:bCs/>
          <w:sz w:val="24"/>
          <w:szCs w:val="24"/>
        </w:rPr>
        <w:t xml:space="preserve">4.1 Conceito e pontos principais</w:t>
      </w:r>
      <w:bookmarkEnd w:id="8"/>
    </w:p>
    <w:p>
      <w:pPr>
        <w:spacing w:after="0" w:line="360" w:lineRule="auto"/>
        <w:ind w:firstLine="709"/>
        <w:jc w:val="both"/>
      </w:pPr>
      <w:r>
        <w:rPr>
          <w:rFonts w:ascii="Times New Roman" w:cs="Times New Roman" w:eastAsia="Times New Roman" w:hAnsi="Times New Roman"/>
          <w:sz w:val="24"/>
          <w:szCs w:val="24"/>
        </w:rPr>
        <w:t xml:space="preserve">A Matriz BCG, também chamada de matriz de crescimento e participação, foi criada pelo Boston Consulting Group e divulgada por Bruce Henderson na década de 1970 (HENDERSON, 1970). Ela serve para empresas que têm vários negócios, produtos ou unidades e precisam analisá-los como um conjunto, o chamado portfólio, para decidir onde colocar ou retirar recursos. A ideia lembra a de quem administra investimentos: os ativos não têm todos o mesmo papel, e o resultado final depende do equilíbrio entre eles.</w:t>
      </w:r>
    </w:p>
    <w:p>
      <w:pPr>
        <w:spacing w:after="0" w:line="360" w:lineRule="auto"/>
        <w:ind w:firstLine="709"/>
        <w:jc w:val="both"/>
      </w:pPr>
      <w:r>
        <w:rPr>
          <w:rFonts w:ascii="Times New Roman" w:cs="Times New Roman" w:eastAsia="Times New Roman" w:hAnsi="Times New Roman"/>
          <w:sz w:val="24"/>
          <w:szCs w:val="24"/>
        </w:rPr>
        <w:t xml:space="preserve">A matriz cruza duas variáveis. No eixo vertical fica a taxa de crescimento do mercado em que o negócio atua, que mostra o potencial de expansão e também o quanto de investimento é necessário. No eixo horizontal fica a participação relativa de mercado, que compara a participação do negócio com a do seu maior concorrente e mostra a posição competitiva dele. A base dessa lógica é que negócios com participação maior costumam ter custos menores, por causa da escala e da experiência acumulada, e por isso geram mais caixa (HAX; MAJLUF, 1983).</w:t>
      </w:r>
    </w:p>
    <w:p>
      <w:pPr>
        <w:spacing w:after="0" w:line="360" w:lineRule="auto"/>
        <w:ind w:firstLine="709"/>
        <w:jc w:val="both"/>
      </w:pPr>
      <w:r>
        <w:rPr>
          <w:rFonts w:ascii="Times New Roman" w:cs="Times New Roman" w:eastAsia="Times New Roman" w:hAnsi="Times New Roman"/>
          <w:sz w:val="24"/>
          <w:szCs w:val="24"/>
        </w:rPr>
        <w:t xml:space="preserve">Do cruzamento das duas variáveis saem quatro quadrantes, resumidos no Quadro 1. As estrelas têm alta participação em mercados que crescem rápido; dão bons resultados, mas pedem muito investimento para manter a posição. As vacas leiteiras têm alta participação em mercados de crescimento lento; precisam de pouco investimento e geram caixa, que pode financiar outros negócios. Os pontos de interrogação têm baixa participação em mercados que crescem rápido; consomem recursos e são incertos, já que podem virar estrelas ou fracassar. Já os abacaxis, também chamados de cães, têm baixa participação em mercados de baixo crescimento e, em geral, rendem pouco.</w:t>
      </w:r>
    </w:p>
    <w:p>
      <w:pPr>
        <w:keepNext/>
        <w:spacing w:after="120" w:before="240" w:line="240"/>
        <w:jc w:val="center"/>
      </w:pPr>
      <w:r>
        <w:rPr>
          <w:rFonts w:ascii="Times New Roman" w:cs="Times New Roman" w:eastAsia="Times New Roman" w:hAnsi="Times New Roman"/>
          <w:b w:val="false"/>
          <w:bCs w:val="false"/>
          <w:sz w:val="20"/>
          <w:szCs w:val="20"/>
        </w:rPr>
        <w:t xml:space="preserve">Quadro 1 – Classificação dos negócios na Matriz BCG</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640"/>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Categoria</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Crescimento do mercado</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Participação relativa</w:t>
            </w:r>
          </w:p>
        </w:tc>
        <w:tc>
          <w:tcPr>
            <w:tcW w:type="dxa" w:w="264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Orientação estratégica usual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Estrela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Alto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Alta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Investir para manter e ampliar a liderança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Vaca leiteira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Baixo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Alta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Manter e aproveitar o caixa gerado</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Ponto de interrogação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Alto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Baixa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Analisar: investir para crescer ou abandonar</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Abacaxi (cão)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Baixo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Baixa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Reavaliar; desinvestir ou reposicionar</w:t>
            </w:r>
          </w:p>
        </w:tc>
      </w:tr>
    </w:tbl>
    <w:p>
      <w:pPr>
        <w:spacing w:after="240" w:before="120" w:line="240"/>
        <w:jc w:val="center"/>
      </w:pPr>
      <w:r>
        <w:rPr>
          <w:rFonts w:ascii="Times New Roman" w:cs="Times New Roman" w:eastAsia="Times New Roman" w:hAnsi="Times New Roman"/>
          <w:sz w:val="20"/>
          <w:szCs w:val="20"/>
        </w:rPr>
        <w:t xml:space="preserve">Fonte: elaborado pela autora com base em Henderson (1970) e Hax e Majluf (1983).</w:t>
      </w:r>
    </w:p>
    <w:p>
      <w:pPr>
        <w:pStyle w:val="Heading2"/>
        <w:keepNext/>
        <w:spacing w:after="240" w:before="240" w:line="360"/>
      </w:pPr>
      <w:bookmarkStart w:name="_Toc9" w:id="9"/>
      <w:r>
        <w:rPr>
          <w:rFonts w:ascii="Times New Roman" w:cs="Times New Roman" w:eastAsia="Times New Roman" w:hAnsi="Times New Roman"/>
          <w:b/>
          <w:bCs/>
          <w:sz w:val="24"/>
          <w:szCs w:val="24"/>
        </w:rPr>
        <w:t xml:space="preserve">4.2 Situações adequadas de uso</w:t>
      </w:r>
      <w:bookmarkEnd w:id="9"/>
    </w:p>
    <w:p>
      <w:pPr>
        <w:spacing w:after="0" w:line="360" w:lineRule="auto"/>
        <w:ind w:firstLine="709"/>
        <w:jc w:val="both"/>
      </w:pPr>
      <w:r>
        <w:rPr>
          <w:rFonts w:ascii="Times New Roman" w:cs="Times New Roman" w:eastAsia="Times New Roman" w:hAnsi="Times New Roman"/>
          <w:sz w:val="24"/>
          <w:szCs w:val="24"/>
        </w:rPr>
        <w:t xml:space="preserve">A Matriz BCG é mais adequada para empresas diversificadas, com mais de uma unidade de negócio ou linha de produtos, em que a administração precisa dividir um orçamento limitado. Um grupo empresarial com marcas em segmentos diferentes, ou uma indústria com linhas de produtos em fases distintas do ciclo de vida, são bons exemplos. Nesses casos, a matriz mostra, por exemplo, se a empresa depende demais de um único negócio já maduro ou se tem poucos projetos promissores para o futuro.</w:t>
      </w:r>
    </w:p>
    <w:p>
      <w:pPr>
        <w:spacing w:after="0" w:line="360" w:lineRule="auto"/>
        <w:ind w:firstLine="709"/>
        <w:jc w:val="both"/>
      </w:pPr>
      <w:r>
        <w:rPr>
          <w:rFonts w:ascii="Times New Roman" w:cs="Times New Roman" w:eastAsia="Times New Roman" w:hAnsi="Times New Roman"/>
          <w:sz w:val="24"/>
          <w:szCs w:val="24"/>
        </w:rPr>
        <w:t xml:space="preserve">Por outro lado, ela não serve para empresas que vendem um único produto, já que não existe portfólio para comparar. Também é preciso cuidado com a simplificação. Hax e Majluf (1983) discutem que usar só duas variáveis deixa de fora aspectos importantes, como a rentabilidade, a sinergia entre os negócios e a força da concorrência. Além disso, a forma de definir o mercado muda o valor da participação relativa e pode alterar bastante o resultado. Assim, a matriz deve ser usada como apoio para a discussão, e não como uma regra automática do tipo “abandone todo abacaxi”.</w:t>
      </w:r>
    </w:p>
    <w:p>
      <w:pPr>
        <w:pStyle w:val="Heading2"/>
        <w:keepNext/>
        <w:spacing w:after="240" w:before="240" w:line="360"/>
      </w:pPr>
      <w:bookmarkStart w:name="_Toc10" w:id="10"/>
      <w:r>
        <w:rPr>
          <w:rFonts w:ascii="Times New Roman" w:cs="Times New Roman" w:eastAsia="Times New Roman" w:hAnsi="Times New Roman"/>
          <w:b/>
          <w:bCs/>
          <w:sz w:val="24"/>
          <w:szCs w:val="24"/>
        </w:rPr>
        <w:t xml:space="preserve">4.3 Como utilizar</w:t>
      </w:r>
      <w:bookmarkEnd w:id="10"/>
    </w:p>
    <w:p>
      <w:pPr>
        <w:spacing w:after="0" w:line="360" w:lineRule="auto"/>
        <w:ind w:firstLine="709"/>
        <w:jc w:val="both"/>
      </w:pPr>
      <w:r>
        <w:rPr>
          <w:rFonts w:ascii="Times New Roman" w:cs="Times New Roman" w:eastAsia="Times New Roman" w:hAnsi="Times New Roman"/>
          <w:sz w:val="24"/>
          <w:szCs w:val="24"/>
        </w:rPr>
        <w:t xml:space="preserve">Primeiro, listam-se as unidades de negócio ou os produtos que serão analisados e define-se o mercado de cada um. Isso exige cuidado, porque um mercado definido de forma muito ampla ou muito estreita distorce a participação. Depois calcula-se a taxa de crescimento do mercado, normalmente a partir do crescimento anual das vendas do setor, e a participação relativa, dividindo as vendas do negócio pelas vendas do maior concorrente. Um resultado acima de 1 indica que o negócio é líder.</w:t>
      </w:r>
    </w:p>
    <w:p>
      <w:pPr>
        <w:spacing w:after="0" w:line="360" w:lineRule="auto"/>
        <w:ind w:firstLine="709"/>
        <w:jc w:val="both"/>
      </w:pPr>
      <w:r>
        <w:rPr>
          <w:rFonts w:ascii="Times New Roman" w:cs="Times New Roman" w:eastAsia="Times New Roman" w:hAnsi="Times New Roman"/>
          <w:sz w:val="24"/>
          <w:szCs w:val="24"/>
        </w:rPr>
        <w:t xml:space="preserve">Em seguida, cada negócio é desenhado como um círculo no gráfico, com tamanho proporcional ao seu faturamento. É comum usar linhas de corte, como participação relativa igual a 1 e uma taxa de crescimento que a própria empresa escolhe como referência para separar mercados de crescimento alto e baixo. Com os negócios posicionados, define-se a estratégia de cada um: investir nas estrelas, aproveitar o caixa das vacas leiteiras, avaliar quais pontos de interrogação merecem aposta e decidir o que fazer com os abacaxis, que podem ser reposicionados, mantidos por razões estratégicas ou vendidos. A análise deve ser repetida ao longo do tempo, porque os negócios mudam de quadrante conforme o mercado evolui.</w:t>
      </w:r>
    </w:p>
    <w:p>
      <w:pPr>
        <w:pStyle w:val="Heading1"/>
        <w:keepNext/>
        <w:spacing w:after="360" w:before="360" w:line="360"/>
      </w:pPr>
      <w:bookmarkStart w:name="_Toc11" w:id="11"/>
      <w:r>
        <w:rPr>
          <w:rFonts w:ascii="Times New Roman" w:cs="Times New Roman" w:eastAsia="Times New Roman" w:hAnsi="Times New Roman"/>
          <w:b/>
          <w:bCs/>
          <w:sz w:val="24"/>
          <w:szCs w:val="24"/>
        </w:rPr>
        <w:t xml:space="preserve">5 AS CINCO FORÇAS DE PORTER</w:t>
      </w:r>
      <w:bookmarkEnd w:id="11"/>
    </w:p>
    <w:p>
      <w:pPr>
        <w:pStyle w:val="Heading2"/>
        <w:keepNext/>
        <w:spacing w:after="240" w:before="240" w:line="360"/>
      </w:pPr>
      <w:bookmarkStart w:name="_Toc12" w:id="12"/>
      <w:r>
        <w:rPr>
          <w:rFonts w:ascii="Times New Roman" w:cs="Times New Roman" w:eastAsia="Times New Roman" w:hAnsi="Times New Roman"/>
          <w:b/>
          <w:bCs/>
          <w:sz w:val="24"/>
          <w:szCs w:val="24"/>
        </w:rPr>
        <w:t xml:space="preserve">5.1 Conceito e pontos principais</w:t>
      </w:r>
      <w:bookmarkEnd w:id="12"/>
    </w:p>
    <w:p>
      <w:pPr>
        <w:spacing w:after="0" w:line="360" w:lineRule="auto"/>
        <w:ind w:firstLine="709"/>
        <w:jc w:val="both"/>
      </w:pPr>
      <w:r>
        <w:rPr>
          <w:rFonts w:ascii="Times New Roman" w:cs="Times New Roman" w:eastAsia="Times New Roman" w:hAnsi="Times New Roman"/>
          <w:sz w:val="24"/>
          <w:szCs w:val="24"/>
        </w:rPr>
        <w:t xml:space="preserve">O modelo das Cinco Forças foi proposto por Michael Porter e apresentado de forma ampla no livro Estratégia competitiva (PORTER, 2004). Sua ideia é que a rentabilidade de um setor não depende só do desempenho de cada empresa, mas também da estrutura da concorrência naquele setor. Setores diferentes dão lucros diferentes, e o modelo tenta explicar o motivo. Mais tarde, em um artigo, Porter (2008) voltou ao tema e reforçou que entender essas forças é o ponto de partida para formular uma estratégia, pois mostra onde a empresa pode se posicionar de forma mais favorável.</w:t>
      </w:r>
    </w:p>
    <w:p>
      <w:pPr>
        <w:spacing w:after="0" w:line="360" w:lineRule="auto"/>
        <w:ind w:firstLine="709"/>
        <w:jc w:val="both"/>
      </w:pPr>
      <w:r>
        <w:rPr>
          <w:rFonts w:ascii="Times New Roman" w:cs="Times New Roman" w:eastAsia="Times New Roman" w:hAnsi="Times New Roman"/>
          <w:sz w:val="24"/>
          <w:szCs w:val="24"/>
        </w:rPr>
        <w:t xml:space="preserve">Para o autor, a concorrência em um setor vai além da disputa entre os rivais diretos e vem de cinco forças. A primeira é a rivalidade entre os concorrentes existentes, que costuma ser mais forte quando há muitos concorrentes de tamanho parecido, quando o setor cresce devagar ou quando os produtos são pouco diferentes entre si. A segunda é a ameaça de novos entrantes, que depende das barreiras de entrada, como economias de escala, necessidade de capital, identidade de marca e acesso aos canais de distribuição. A terceira é a ameaça de produtos substitutos, que atendem à mesma necessidade do cliente de outra maneira e acabam limitando os preços do setor. A quarta é o poder de negociação dos compradores, que cresce quando eles compram em grande volume ou trocam de fornecedor com facilidade. A quinta é o poder de negociação dos fornecedores, que aumenta quando existem poucos fornecedores ou quando o insumo é difícil de substituir. O Quadro 2 traz um resumo.</w:t>
      </w:r>
    </w:p>
    <w:p>
      <w:pPr>
        <w:keepNext/>
        <w:spacing w:after="120" w:before="240" w:line="240"/>
        <w:jc w:val="center"/>
      </w:pPr>
      <w:r>
        <w:rPr>
          <w:rFonts w:ascii="Times New Roman" w:cs="Times New Roman" w:eastAsia="Times New Roman" w:hAnsi="Times New Roman"/>
          <w:b w:val="false"/>
          <w:bCs w:val="false"/>
          <w:sz w:val="20"/>
          <w:szCs w:val="20"/>
        </w:rPr>
        <w:t xml:space="preserve">Quadro 2 – Resumo das Cinco Forças de Porter</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840"/>
      </w:tblGrid>
      <w:tr>
        <w:trPr>
          <w:cantSplit/>
        </w:trPr>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Força</w:t>
            </w:r>
          </w:p>
        </w:tc>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Pergunta central</w:t>
            </w:r>
          </w:p>
        </w:tc>
        <w:tc>
          <w:tcPr>
            <w:tcW w:type="dxa" w:w="284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Quando é mais intensa</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Rivalidade entre concorrentes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Quão disputado é o setor?</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Muitos rivais parecidos e pouca diferenciação</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Ameaça de novos entrantes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É fácil entrar no setor?</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Barreiras de entrada baixas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Ameaça de substitutos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 cliente pode atender à necessidade de outra forma?</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Substitutos baratos e de boa qualidade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Poder dos compradores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Os clientes conseguem pressionar preços?</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Poucos compradores, grandes volumes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Poder dos fornecedores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Os fornecedores conseguem impor condições?</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Poucos fornecedores e insumo sem substituto</w:t>
            </w:r>
          </w:p>
        </w:tc>
      </w:tr>
    </w:tbl>
    <w:p>
      <w:pPr>
        <w:spacing w:after="240" w:before="120" w:line="240"/>
        <w:jc w:val="center"/>
      </w:pPr>
      <w:r>
        <w:rPr>
          <w:rFonts w:ascii="Times New Roman" w:cs="Times New Roman" w:eastAsia="Times New Roman" w:hAnsi="Times New Roman"/>
          <w:sz w:val="20"/>
          <w:szCs w:val="20"/>
        </w:rPr>
        <w:t xml:space="preserve">Fonte: elaborado pela autora com base em Porter (2004; 2008).</w:t>
      </w:r>
    </w:p>
    <w:p>
      <w:pPr>
        <w:pStyle w:val="Heading2"/>
        <w:keepNext/>
        <w:spacing w:after="240" w:before="240" w:line="360"/>
      </w:pPr>
      <w:bookmarkStart w:name="_Toc13" w:id="13"/>
      <w:r>
        <w:rPr>
          <w:rFonts w:ascii="Times New Roman" w:cs="Times New Roman" w:eastAsia="Times New Roman" w:hAnsi="Times New Roman"/>
          <w:b/>
          <w:bCs/>
          <w:sz w:val="24"/>
          <w:szCs w:val="24"/>
        </w:rPr>
        <w:t xml:space="preserve">5.2 Situações adequadas de uso</w:t>
      </w:r>
      <w:bookmarkEnd w:id="13"/>
    </w:p>
    <w:p>
      <w:pPr>
        <w:spacing w:after="0" w:line="360" w:lineRule="auto"/>
        <w:ind w:firstLine="709"/>
        <w:jc w:val="both"/>
      </w:pPr>
      <w:r>
        <w:rPr>
          <w:rFonts w:ascii="Times New Roman" w:cs="Times New Roman" w:eastAsia="Times New Roman" w:hAnsi="Times New Roman"/>
          <w:sz w:val="24"/>
          <w:szCs w:val="24"/>
        </w:rPr>
        <w:t xml:space="preserve">As Cinco Forças são indicadas quando a empresa precisa entender o quanto um setor é atrativo, o que acontece, por exemplo, antes de entrar em um mercado novo, de fazer um investimento grande ou de rever o posicionamento num setor em que já atua. Também ajudam a explicar por que algumas empresas têm margens baixas mesmo trabalhando bem, já que o problema pode estar na estrutura do setor, como fornecedores muito fortes ou clientes que impõem o preço. Como o foco é o setor, a ferramenta é mais útil no planejamento da empresa como um todo ou de uma unidade de negócio.</w:t>
      </w:r>
    </w:p>
    <w:p>
      <w:pPr>
        <w:spacing w:after="0" w:line="360" w:lineRule="auto"/>
        <w:ind w:firstLine="709"/>
        <w:jc w:val="both"/>
      </w:pPr>
      <w:r>
        <w:rPr>
          <w:rFonts w:ascii="Times New Roman" w:cs="Times New Roman" w:eastAsia="Times New Roman" w:hAnsi="Times New Roman"/>
          <w:sz w:val="24"/>
          <w:szCs w:val="24"/>
        </w:rPr>
        <w:t xml:space="preserve">O modelo também tem limites. Ele mostra a situação de um determinado momento e, se não for atualizado, pode ficar ultrapassado diante de mudanças rápidas, como uma inovação tecnológica. Ele ainda exige bom conhecimento do setor, e uma análise feita sem dados acaba ficando só na teoria. Porter (2008) lembra que o objetivo não é classificar o setor como bom ou ruim, e sim entender os fatores que determinam a rentabilidade para escolher um posicionamento adequado.</w:t>
      </w:r>
    </w:p>
    <w:p>
      <w:pPr>
        <w:pStyle w:val="Heading2"/>
        <w:keepNext/>
        <w:spacing w:after="240" w:before="240" w:line="360"/>
      </w:pPr>
      <w:bookmarkStart w:name="_Toc14" w:id="14"/>
      <w:r>
        <w:rPr>
          <w:rFonts w:ascii="Times New Roman" w:cs="Times New Roman" w:eastAsia="Times New Roman" w:hAnsi="Times New Roman"/>
          <w:b/>
          <w:bCs/>
          <w:sz w:val="24"/>
          <w:szCs w:val="24"/>
        </w:rPr>
        <w:t xml:space="preserve">5.3 Como utilizar</w:t>
      </w:r>
      <w:bookmarkEnd w:id="14"/>
    </w:p>
    <w:p>
      <w:pPr>
        <w:spacing w:after="0" w:line="360" w:lineRule="auto"/>
        <w:ind w:firstLine="709"/>
        <w:jc w:val="both"/>
      </w:pPr>
      <w:r>
        <w:rPr>
          <w:rFonts w:ascii="Times New Roman" w:cs="Times New Roman" w:eastAsia="Times New Roman" w:hAnsi="Times New Roman"/>
          <w:sz w:val="24"/>
          <w:szCs w:val="24"/>
        </w:rPr>
        <w:t xml:space="preserve">Primeiro é preciso definir qual é o setor e qual a sua abrangência geográfica, pois uma definição mal feita compromete as etapas seguintes. Depois, cada uma das cinco forças é analisada separadamente, identificando o que a deixa forte ou fraca e dando a ela um nível de intensidade, como alto, médio ou baixo. Aqui é útil buscar evidências, como o número de concorrentes, a participação dos maiores, o custo para o cliente trocar de fornecedor e o grau de concentração dos fornecedores.</w:t>
      </w:r>
    </w:p>
    <w:p>
      <w:pPr>
        <w:spacing w:after="0" w:line="360" w:lineRule="auto"/>
        <w:ind w:firstLine="709"/>
        <w:jc w:val="both"/>
      </w:pPr>
      <w:r>
        <w:rPr>
          <w:rFonts w:ascii="Times New Roman" w:cs="Times New Roman" w:eastAsia="Times New Roman" w:hAnsi="Times New Roman"/>
          <w:sz w:val="24"/>
          <w:szCs w:val="24"/>
        </w:rPr>
        <w:t xml:space="preserve">Depois disso, faz-se uma leitura do conjunto para chegar a uma conclusão sobre o potencial de lucro do setor: se a maioria das forças é intensa, a rentabilidade tende a ser pressionada; se são fracas, o setor costuma ser mais atrativo. Com esse diagnóstico, parte-se para as decisões estratégicas. Segundo Porter (2008), a empresa pode escolher uma posição em que fique mais protegida das forças ou em que consiga usá-las a seu favor, pode tentar influenciar o equilíbrio entre elas com suas ações e pode se antecipar a mudanças que alterem a estrutura do setor. A análise deve ser repetida de tempos em tempos, porque as forças mudam conforme o setor se transforma.</w:t>
      </w:r>
    </w:p>
    <w:p>
      <w:pPr>
        <w:pStyle w:val="Heading1"/>
        <w:keepNext/>
        <w:spacing w:after="360" w:before="360" w:line="360"/>
      </w:pPr>
      <w:bookmarkStart w:name="_Toc15" w:id="15"/>
      <w:r>
        <w:rPr>
          <w:rFonts w:ascii="Times New Roman" w:cs="Times New Roman" w:eastAsia="Times New Roman" w:hAnsi="Times New Roman"/>
          <w:b/>
          <w:bCs/>
          <w:sz w:val="24"/>
          <w:szCs w:val="24"/>
        </w:rPr>
        <w:t xml:space="preserve">6 COMPARAÇÃO ENTRE AS FERRAMENTAS</w:t>
      </w:r>
      <w:bookmarkEnd w:id="15"/>
    </w:p>
    <w:p>
      <w:pPr>
        <w:spacing w:after="0" w:line="360" w:lineRule="auto"/>
        <w:ind w:firstLine="709"/>
        <w:jc w:val="both"/>
      </w:pPr>
      <w:r>
        <w:rPr>
          <w:rFonts w:ascii="Times New Roman" w:cs="Times New Roman" w:eastAsia="Times New Roman" w:hAnsi="Times New Roman"/>
          <w:sz w:val="24"/>
          <w:szCs w:val="24"/>
        </w:rPr>
        <w:t xml:space="preserve">Todas as três servem ao planejamento estratégico, mas respondem a perguntas diferentes. A SWOT mostra onde a empresa está, considerando seus pontos internos e as condições externas. É a mais geral e flexível, mas também a mais subjetiva. A Matriz BCG mostra como tratar cada um dos negócios da empresa, e por isso só faz sentido quando existe um portfólio. As Cinco Forças mostram se o setor é atrativo e que posição vale a pena ocupar, olhando principalmente para fora da empresa.</w:t>
      </w:r>
    </w:p>
    <w:p>
      <w:pPr>
        <w:spacing w:after="0" w:line="360" w:lineRule="auto"/>
        <w:ind w:firstLine="709"/>
        <w:jc w:val="both"/>
      </w:pPr>
      <w:r>
        <w:rPr>
          <w:rFonts w:ascii="Times New Roman" w:cs="Times New Roman" w:eastAsia="Times New Roman" w:hAnsi="Times New Roman"/>
          <w:sz w:val="24"/>
          <w:szCs w:val="24"/>
        </w:rPr>
        <w:t xml:space="preserve">Na prática, elas se complementam. Uma empresa pode usar as Cinco Forças para entender o setor, a SWOT para ligar esse cenário à sua própria realidade e a Matriz BCG para decidir onde concentrar os recursos entre os negócios. O mais importante é escolher a ferramenta a partir do problema que se quer resolver e interpretar os resultados com senso crítico, lembrando sempre dos limites de cada uma.</w:t>
      </w:r>
    </w:p>
    <w:p>
      <w:pPr>
        <w:pStyle w:val="Heading1"/>
        <w:keepNext/>
        <w:spacing w:after="360" w:before="360" w:line="360"/>
      </w:pPr>
      <w:bookmarkStart w:name="_Toc16" w:id="16"/>
      <w:r>
        <w:rPr>
          <w:rFonts w:ascii="Times New Roman" w:cs="Times New Roman" w:eastAsia="Times New Roman" w:hAnsi="Times New Roman"/>
          <w:b/>
          <w:bCs/>
          <w:sz w:val="24"/>
          <w:szCs w:val="24"/>
        </w:rPr>
        <w:t xml:space="preserve">7 CONCLUSÃO</w:t>
      </w:r>
      <w:bookmarkEnd w:id="16"/>
    </w:p>
    <w:p>
      <w:pPr>
        <w:spacing w:after="0" w:line="360" w:lineRule="auto"/>
        <w:ind w:firstLine="709"/>
        <w:jc w:val="both"/>
      </w:pPr>
      <w:r>
        <w:rPr>
          <w:rFonts w:ascii="Times New Roman" w:cs="Times New Roman" w:eastAsia="Times New Roman" w:hAnsi="Times New Roman"/>
          <w:sz w:val="24"/>
          <w:szCs w:val="24"/>
        </w:rPr>
        <w:t xml:space="preserve">Com este estudo, foi possível perceber que as ferramentas da Administração Estratégica são um apoio para o gestor e não soluções prontas. A Análise SWOT mostrou ser uma forma simples e acessível de diagnosticar a situação da organização, desde que os fatores sejam específicos, priorizados e cruzados entre si. A Matriz BCG se mostrou útil para empresas com vários negócios, porque dá uma visão do portfólio e orienta a distribuição dos recursos, ainda que precise ser usada com cuidado por ser uma análise simplificada. As Cinco Forças de Porter ajudam a entender a estrutura do setor e o que determina sua rentabilidade, servindo de base para escolher um posicionamento.</w:t>
      </w:r>
    </w:p>
    <w:p>
      <w:pPr>
        <w:spacing w:after="0" w:line="360" w:lineRule="auto"/>
        <w:ind w:firstLine="709"/>
        <w:jc w:val="both"/>
      </w:pPr>
      <w:r>
        <w:rPr>
          <w:rFonts w:ascii="Times New Roman" w:cs="Times New Roman" w:eastAsia="Times New Roman" w:hAnsi="Times New Roman"/>
          <w:sz w:val="24"/>
          <w:szCs w:val="24"/>
        </w:rPr>
        <w:t xml:space="preserve">O que as três têm em comum é que dependem de informações confiáveis e de uma análise crítica. Aplicadas de forma mecânica, geram listas e gráficos bonitos, mas pouco úteis para decidir. Bem utilizadas, ajudam os gestores a enxergar melhor os problemas, discutir alternativas e justificar suas escolhas. Conclui-se que o uso apropriado das ferramentas passa por conhecer seus conceitos, saber em que situação cada uma se aplica e seguir um passo a passo coerente, sempre ligado ao objetivo da organização. Para a formação do administrador, esse conhecimento é essencial, pois permite escolher o instrumento certo para cada problema e interpretar os resultados com responsabilidade.</w:t>
      </w:r>
    </w:p>
    <w:p>
      <w:r>
        <w:br w:type="page"/>
      </w:r>
    </w:p>
    <w:p>
      <w:pPr>
        <w:pStyle w:val="Heading1"/>
        <w:keepNext/>
        <w:spacing w:after="360" w:before="360" w:line="360"/>
      </w:pPr>
      <w:bookmarkStart w:name="_Toc17" w:id="17"/>
      <w:r>
        <w:rPr>
          <w:rFonts w:ascii="Times New Roman" w:cs="Times New Roman" w:eastAsia="Times New Roman" w:hAnsi="Times New Roman"/>
          <w:b/>
          <w:bCs/>
          <w:sz w:val="24"/>
          <w:szCs w:val="24"/>
        </w:rPr>
        <w:t xml:space="preserve">REFERÊNCIAS</w:t>
      </w:r>
      <w:bookmarkEnd w:id="17"/>
    </w:p>
    <w:p>
      <w:pPr>
        <w:spacing w:after="240" w:line="240"/>
        <w:jc w:val="left"/>
      </w:pPr>
      <w:r>
        <w:rPr>
          <w:rFonts w:ascii="Times New Roman" w:cs="Times New Roman" w:eastAsia="Times New Roman" w:hAnsi="Times New Roman"/>
          <w:sz w:val="24"/>
          <w:szCs w:val="24"/>
        </w:rPr>
        <w:t xml:space="preserve">CHIAVENATO, Idalberto; SAPIRO, Arão. </w:t>
      </w:r>
      <w:r>
        <w:rPr>
          <w:rFonts w:ascii="Times New Roman" w:cs="Times New Roman" w:eastAsia="Times New Roman" w:hAnsi="Times New Roman"/>
          <w:b/>
          <w:bCs/>
          <w:sz w:val="24"/>
          <w:szCs w:val="24"/>
        </w:rPr>
        <w:t xml:space="preserve">Planejamento estratégico</w:t>
      </w:r>
      <w:r>
        <w:rPr>
          <w:rFonts w:ascii="Times New Roman" w:cs="Times New Roman" w:eastAsia="Times New Roman" w:hAnsi="Times New Roman"/>
          <w:sz w:val="24"/>
          <w:szCs w:val="24"/>
        </w:rPr>
        <w:t xml:space="preserve">: fundamentos e aplicações. 3. ed. Rio de Janeiro: Elsevier, 2016.</w:t>
      </w:r>
    </w:p>
    <w:p>
      <w:pPr>
        <w:spacing w:after="240" w:line="240"/>
        <w:jc w:val="left"/>
      </w:pPr>
      <w:r>
        <w:rPr>
          <w:rFonts w:ascii="Times New Roman" w:cs="Times New Roman" w:eastAsia="Times New Roman" w:hAnsi="Times New Roman"/>
          <w:sz w:val="24"/>
          <w:szCs w:val="24"/>
        </w:rPr>
        <w:t xml:space="preserve">HAX, Arnoldo C.; MAJLUF, Nicolas S. The use of the growth-share matrix in strategic planning. </w:t>
      </w:r>
      <w:r>
        <w:rPr>
          <w:rFonts w:ascii="Times New Roman" w:cs="Times New Roman" w:eastAsia="Times New Roman" w:hAnsi="Times New Roman"/>
          <w:b/>
          <w:bCs/>
          <w:sz w:val="24"/>
          <w:szCs w:val="24"/>
        </w:rPr>
        <w:t xml:space="preserve">Interfaces</w:t>
      </w:r>
      <w:r>
        <w:rPr>
          <w:rFonts w:ascii="Times New Roman" w:cs="Times New Roman" w:eastAsia="Times New Roman" w:hAnsi="Times New Roman"/>
          <w:sz w:val="24"/>
          <w:szCs w:val="24"/>
        </w:rPr>
        <w:t xml:space="preserve">, Providence, v. 13, n. 1, p. 46-60, fev. 1983.</w:t>
      </w:r>
    </w:p>
    <w:p>
      <w:pPr>
        <w:spacing w:after="240" w:line="240"/>
        <w:jc w:val="left"/>
      </w:pPr>
      <w:r>
        <w:rPr>
          <w:rFonts w:ascii="Times New Roman" w:cs="Times New Roman" w:eastAsia="Times New Roman" w:hAnsi="Times New Roman"/>
          <w:sz w:val="24"/>
          <w:szCs w:val="24"/>
        </w:rPr>
        <w:t xml:space="preserve">HENDERSON, Bruce D. The product portfolio. </w:t>
      </w:r>
      <w:r>
        <w:rPr>
          <w:rFonts w:ascii="Times New Roman" w:cs="Times New Roman" w:eastAsia="Times New Roman" w:hAnsi="Times New Roman"/>
          <w:b/>
          <w:bCs/>
          <w:sz w:val="24"/>
          <w:szCs w:val="24"/>
        </w:rPr>
        <w:t xml:space="preserve">Perspectives</w:t>
      </w:r>
      <w:r>
        <w:rPr>
          <w:rFonts w:ascii="Times New Roman" w:cs="Times New Roman" w:eastAsia="Times New Roman" w:hAnsi="Times New Roman"/>
          <w:sz w:val="24"/>
          <w:szCs w:val="24"/>
        </w:rPr>
        <w:t xml:space="preserve">, Boston: The Boston Consulting Group, 1970.</w:t>
      </w:r>
    </w:p>
    <w:p>
      <w:pPr>
        <w:spacing w:after="240" w:line="240"/>
        <w:jc w:val="left"/>
      </w:pPr>
      <w:r>
        <w:rPr>
          <w:rFonts w:ascii="Times New Roman" w:cs="Times New Roman" w:eastAsia="Times New Roman" w:hAnsi="Times New Roman"/>
          <w:sz w:val="24"/>
          <w:szCs w:val="24"/>
        </w:rPr>
        <w:t xml:space="preserve">PORTER, Michael E. </w:t>
      </w:r>
      <w:r>
        <w:rPr>
          <w:rFonts w:ascii="Times New Roman" w:cs="Times New Roman" w:eastAsia="Times New Roman" w:hAnsi="Times New Roman"/>
          <w:b/>
          <w:bCs/>
          <w:sz w:val="24"/>
          <w:szCs w:val="24"/>
        </w:rPr>
        <w:t xml:space="preserve">Estratégia competitiva</w:t>
      </w:r>
      <w:r>
        <w:rPr>
          <w:rFonts w:ascii="Times New Roman" w:cs="Times New Roman" w:eastAsia="Times New Roman" w:hAnsi="Times New Roman"/>
          <w:sz w:val="24"/>
          <w:szCs w:val="24"/>
        </w:rPr>
        <w:t xml:space="preserve">: técnicas para análise de indústrias e da concorrência. Tradução de Elisabeth Maria de Pinho Braga. 2. ed. Rio de Janeiro: Elsevier, 2004.</w:t>
      </w:r>
    </w:p>
    <w:p>
      <w:pPr>
        <w:spacing w:after="240" w:line="240"/>
        <w:jc w:val="left"/>
      </w:pPr>
      <w:r>
        <w:rPr>
          <w:rFonts w:ascii="Times New Roman" w:cs="Times New Roman" w:eastAsia="Times New Roman" w:hAnsi="Times New Roman"/>
          <w:sz w:val="24"/>
          <w:szCs w:val="24"/>
        </w:rPr>
        <w:t xml:space="preserve">PORTER, Michael E. The five competitive forces that shape strategy. </w:t>
      </w:r>
      <w:r>
        <w:rPr>
          <w:rFonts w:ascii="Times New Roman" w:cs="Times New Roman" w:eastAsia="Times New Roman" w:hAnsi="Times New Roman"/>
          <w:b/>
          <w:bCs/>
          <w:sz w:val="24"/>
          <w:szCs w:val="24"/>
        </w:rPr>
        <w:t xml:space="preserve">Harvard Business Review</w:t>
      </w:r>
      <w:r>
        <w:rPr>
          <w:rFonts w:ascii="Times New Roman" w:cs="Times New Roman" w:eastAsia="Times New Roman" w:hAnsi="Times New Roman"/>
          <w:sz w:val="24"/>
          <w:szCs w:val="24"/>
        </w:rPr>
        <w:t xml:space="preserve">, Boston, v. 86, n. 1, p. 78-93, jan. 2008.</w:t>
      </w:r>
    </w:p>
    <w:p>
      <w:pPr>
        <w:spacing w:after="240" w:line="240"/>
        <w:jc w:val="left"/>
      </w:pPr>
      <w:r>
        <w:rPr>
          <w:rFonts w:ascii="Times New Roman" w:cs="Times New Roman" w:eastAsia="Times New Roman" w:hAnsi="Times New Roman"/>
          <w:sz w:val="24"/>
          <w:szCs w:val="24"/>
        </w:rPr>
        <w:t xml:space="preserve">WRIGHT, Peter; KROLL, Mark J.; PARNELL, John. </w:t>
      </w:r>
      <w:r>
        <w:rPr>
          <w:rFonts w:ascii="Times New Roman" w:cs="Times New Roman" w:eastAsia="Times New Roman" w:hAnsi="Times New Roman"/>
          <w:b/>
          <w:bCs/>
          <w:sz w:val="24"/>
          <w:szCs w:val="24"/>
        </w:rPr>
        <w:t xml:space="preserve">Administração estratégica</w:t>
      </w:r>
      <w:r>
        <w:rPr>
          <w:rFonts w:ascii="Times New Roman" w:cs="Times New Roman" w:eastAsia="Times New Roman" w:hAnsi="Times New Roman"/>
          <w:sz w:val="24"/>
          <w:szCs w:val="24"/>
        </w:rPr>
        <w:t xml:space="preserve">: conceitos. São Paulo: Atlas, 2000.</w:t>
      </w:r>
    </w:p>
    <w:sectPr>
      <w:headerReference w:type="default" r:id="rId6"/>
      <w:type w:val="nextPage"/>
      <w:pgSz w:w="11906" w:h="16838" w:orient="portrait"/>
      <w:pgMar w:top="1701" w:right="1134" w:bottom="1134" w:left="1701" w:header="709"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estratégica: uso apropriado das ferramentas</dc:title>
  <dc:creator>Julia Oliveira Galan</dc:creator>
  <cp:lastModifiedBy>Un-named</cp:lastModifiedBy>
  <cp:revision>1</cp:revision>
  <dcterms:created xsi:type="dcterms:W3CDTF">2026-10-09T23:14:59.954Z</dcterms:created>
  <dcterms:modified xsi:type="dcterms:W3CDTF">2026-10-09T23:14:59.955Z</dcterms:modified>
</cp:coreProperties>
</file>

<file path=docProps/custom.xml><?xml version="1.0" encoding="utf-8"?>
<Properties xmlns="http://schemas.openxmlformats.org/officeDocument/2006/custom-properties" xmlns:vt="http://schemas.openxmlformats.org/officeDocument/2006/docPropsVTypes"/>
</file>