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LEAGUE SUPPLEMENTAL MOBILITY FRAMEWORK AGREEMENT</w:t>
      </w:r>
    </w:p>
    <w:p>
      <w:pPr>
        <w:jc w:val="center"/>
      </w:pPr>
      <w:r>
        <w:rPr>
          <w:sz w:val="22"/>
        </w:rPr>
        <w:t>Non-Exclusive, Opt-In Program for Short-Notice Charter Mobility</w:t>
      </w:r>
    </w:p>
    <w:p>
      <w:pPr>
        <w:jc w:val="center"/>
      </w:pPr>
      <w:r>
        <w:rPr>
          <w:sz w:val="20"/>
        </w:rPr>
        <w:t>This document is a business and legal draft for discussion purposes only. It must be reviewed and finalized by counsel for all Parties.</w:t>
      </w:r>
    </w:p>
    <w:p>
      <w:pPr>
        <w:jc w:val="center"/>
      </w:pPr>
      <w:r>
        <w:rPr>
          <w:sz w:val="20"/>
        </w:rPr>
        <w:t>Prepared: December 31, 2025</w:t>
      </w:r>
    </w:p>
    <w:p/>
    <w:p>
      <w:pPr>
        <w:pStyle w:val="Heading2"/>
      </w:pPr>
      <w:r>
        <w:rPr>
          <w:rFonts w:ascii="Calibri" w:hAnsi="Calibri"/>
        </w:rPr>
        <w:t>1. Parties</w:t>
      </w:r>
    </w:p>
    <w:p>
      <w:r>
        <w:t>This League Supplemental Mobility Framework Agreement ("Framework Agreement") is entered into by and between ________________________ ("League") and Travel.SportsMedia.us, a division of Sports Media, Inc. ("Platform Provider"). League and Platform Provider may be referred to individually as a "Party" and collectively as the "Parties".</w:t>
      </w:r>
    </w:p>
    <w:p>
      <w:pPr>
        <w:pStyle w:val="Heading2"/>
      </w:pPr>
      <w:r>
        <w:rPr>
          <w:rFonts w:ascii="Calibri" w:hAnsi="Calibri"/>
        </w:rPr>
        <w:t>2. Purpose</w:t>
      </w:r>
    </w:p>
    <w:p>
      <w:r>
        <w:t>The purpose of this Framework Agreement is to establish a league-approved, non-exclusive, optional program under which member clubs may elect to use the Platform Provider's sports mobility request platform (the "Platform") to route and manage short-notice charter aviation requests for executives, players (non-team travel), families, sponsors, board members, and other approved travelers, with operational flight fulfillment performed solely by properly certificated third-party air carriers and/or charter brokers ("Fulfillment Partners").</w:t>
      </w:r>
    </w:p>
    <w:p>
      <w:pPr>
        <w:pStyle w:val="Heading2"/>
      </w:pPr>
      <w:r>
        <w:rPr>
          <w:rFonts w:ascii="Calibri" w:hAnsi="Calibri"/>
        </w:rPr>
        <w:t>3. Non-Exclusive, Opt-In Structure</w:t>
      </w:r>
    </w:p>
    <w:p>
      <w:r>
        <w:t>3.1 Non-Exclusive. League acknowledges and agrees this program is supplemental and non-exclusive.</w:t>
      </w:r>
    </w:p>
    <w:p>
      <w:r>
        <w:t>3.2 Club Opt-In. Each club may opt in under a separate Club Addendum and may discontinue use at any time subject to its Club Addendum terms.</w:t>
      </w:r>
    </w:p>
    <w:p>
      <w:r>
        <w:t>3.3 No Replacement of Team Travel. Nothing in this Framework Agreement is intended to replace or interfere with any existing team travel arrangements, league travel programs, or club charter practices for team transport.</w:t>
      </w:r>
    </w:p>
    <w:p>
      <w:pPr>
        <w:pStyle w:val="Heading2"/>
      </w:pPr>
      <w:r>
        <w:rPr>
          <w:rFonts w:ascii="Calibri" w:hAnsi="Calibri"/>
        </w:rPr>
        <w:t>4. Roles, Authority, and Compliance Positioning</w:t>
      </w:r>
    </w:p>
    <w:p>
      <w:r>
        <w:t>4.1 Platform Provider Role. Platform Provider provides technology, intake, authorization routing, compliance logging, and service-level monitoring.</w:t>
      </w:r>
    </w:p>
    <w:p>
      <w:r>
        <w:t>4.2 No Air Carrier. Platform Provider is not an air carrier, does not operate aircraft, and does not provide air transportation.</w:t>
      </w:r>
    </w:p>
    <w:p>
      <w:r>
        <w:t>4.3 No Broker Activities. Platform Provider shall not select an air carrier for any flight, control aircraft operations, or hold out to the public as a charter air broker or operator. Fulfillment Partners source and contract the air transportation.</w:t>
      </w:r>
    </w:p>
    <w:p>
      <w:r>
        <w:t>4.4 Fulfillment Partner Role. Fulfillment Partners are responsible for aircraft sourcing, charter contracting, operational execution, safety, FAA and DOT compliance, and all required insurance.</w:t>
      </w:r>
    </w:p>
    <w:p>
      <w:r>
        <w:t>4.5 Contracts for Carriage. All air transportation shall be provided under contracts between the traveler or the club (as applicable) and the certificated air carrier and/or properly licensed broker, consistent with applicable laws and regulations.</w:t>
      </w:r>
    </w:p>
    <w:p>
      <w:pPr>
        <w:pStyle w:val="Heading2"/>
      </w:pPr>
      <w:r>
        <w:rPr>
          <w:rFonts w:ascii="Calibri" w:hAnsi="Calibri"/>
        </w:rPr>
        <w:t>5. Program Components</w:t>
      </w:r>
    </w:p>
    <w:p>
      <w:r>
        <w:t>The program may include the following components, subject to club opt-in and availability:</w:t>
      </w:r>
    </w:p>
    <w:p>
      <w:r>
        <w:t>• Role-based access for club authorized users, including executive offices, player services, and partnership departments.</w:t>
      </w:r>
    </w:p>
    <w:p>
      <w:r>
        <w:t>• Request intake with urgency flags, routing rules, and approval workflow options.</w:t>
      </w:r>
    </w:p>
    <w:p>
      <w:r>
        <w:t>• SLA tracking, time-stamped status updates, and performance analytics.</w:t>
      </w:r>
    </w:p>
    <w:p>
      <w:r>
        <w:t>• Confidentiality tagging and restricted visibility request types.</w:t>
      </w:r>
    </w:p>
    <w:p>
      <w:r>
        <w:t>• Optional integration with club travel policy documentation and compliance logs.</w:t>
      </w:r>
    </w:p>
    <w:p>
      <w:pPr>
        <w:pStyle w:val="Heading2"/>
      </w:pPr>
      <w:r>
        <w:rPr>
          <w:rFonts w:ascii="Calibri" w:hAnsi="Calibri"/>
        </w:rPr>
        <w:t>6. League Approvals and Brand Use</w:t>
      </w:r>
    </w:p>
    <w:p>
      <w:r>
        <w:t>6.1 No Implied League Endorsement. Unless expressly approved in writing, Platform Provider may not state or imply that League endorses Platform Provider or any Fulfillment Partner.</w:t>
      </w:r>
    </w:p>
    <w:p>
      <w:r>
        <w:t>6.2 Marks and Naming. Any use of League marks, club marks, or references to "Official" status must be pre-approved in writing by League and the relevant club(s).</w:t>
      </w:r>
    </w:p>
    <w:p>
      <w:r>
        <w:t>6.3 Sponsor Activation. If League permits sponsor activation related to the program, such activation shall be documented in a separate marketing addendum and shall not alter the Parties' compliance positioning in Section 4.</w:t>
      </w:r>
    </w:p>
    <w:p>
      <w:pPr>
        <w:pStyle w:val="Heading2"/>
      </w:pPr>
      <w:r>
        <w:rPr>
          <w:rFonts w:ascii="Calibri" w:hAnsi="Calibri"/>
        </w:rPr>
        <w:t>7. Service Levels</w:t>
      </w:r>
    </w:p>
    <w:p>
      <w:r>
        <w:t>7.1 SLA Targets. Platform Provider and League may agree on non-binding SLA targets for response time, status updates, and escalation paths, with binding SLA terms defined in club addenda or Fulfillment Partner addenda.</w:t>
      </w:r>
    </w:p>
    <w:p>
      <w:r>
        <w:t>7.2 Escalations. Platform Provider shall maintain a documented escalation process for urgent requests and service disruptions, including fallback routing to alternate Fulfillment Partners where available.</w:t>
      </w:r>
    </w:p>
    <w:p>
      <w:pPr>
        <w:pStyle w:val="Heading2"/>
      </w:pPr>
      <w:r>
        <w:rPr>
          <w:rFonts w:ascii="Calibri" w:hAnsi="Calibri"/>
        </w:rPr>
        <w:t>8. Data, Privacy, and Confidentiality</w:t>
      </w:r>
    </w:p>
    <w:p>
      <w:r>
        <w:t>8.1 Data Ownership. Platform Provider retains ownership of Platform software, configurations, and analytics methods. Each club retains ownership of its club confidential information and traveler data, subject to Platform Provider's limited rights to process such data for service delivery.</w:t>
      </w:r>
    </w:p>
    <w:p>
      <w:r>
        <w:t>8.2 Data Use. Platform Provider may use de-identified, aggregated data to improve the Platform and to produce benchmarking reports, provided no club or individual is identifiable without written consent.</w:t>
      </w:r>
    </w:p>
    <w:p>
      <w:r>
        <w:t>8.3 Confidentiality. Each Party shall protect the other Party's confidential information using at least reasonable care. Clubs' confidential information shall be protected to a standard appropriate for professional sports business operations.</w:t>
      </w:r>
    </w:p>
    <w:p>
      <w:r>
        <w:t>8.4 Security. Platform Provider shall maintain administrative, technical, and physical safeguards appropriate for the sensitivity of travel and identity data.</w:t>
      </w:r>
    </w:p>
    <w:p>
      <w:pPr>
        <w:pStyle w:val="Heading2"/>
      </w:pPr>
      <w:r>
        <w:rPr>
          <w:rFonts w:ascii="Calibri" w:hAnsi="Calibri"/>
        </w:rPr>
        <w:t>9. Commercial Terms Overview</w:t>
      </w:r>
    </w:p>
    <w:p>
      <w:r>
        <w:t>9.1 Club Commercials. Commercial terms for club participation, including any platform fees, retainers, or service fees, shall be set forth in each Club Addendum.</w:t>
      </w:r>
    </w:p>
    <w:p>
      <w:r>
        <w:t>9.2 Fulfillment Pricing. Pricing for charter flights is set and contracted by Fulfillment Partners and/or certificated air carriers. Platform Provider does not set air transportation prices.</w:t>
      </w:r>
    </w:p>
    <w:p>
      <w:r>
        <w:t>9.3 League Fees. If League requires a league administration fee, it shall be specified in an attachment and shall not be contingent on flight completion.</w:t>
      </w:r>
    </w:p>
    <w:p>
      <w:pPr>
        <w:pStyle w:val="Heading2"/>
      </w:pPr>
      <w:r>
        <w:rPr>
          <w:rFonts w:ascii="Calibri" w:hAnsi="Calibri"/>
        </w:rPr>
        <w:t>10. Risk Allocation, Insurance, and Indemnification</w:t>
      </w:r>
    </w:p>
    <w:p>
      <w:r>
        <w:t>10.1 Operational Liability. Operational flight risk, safety obligations, and aviation regulatory compliance reside solely with the certificated air carrier and, where applicable, the charter broker.</w:t>
      </w:r>
    </w:p>
    <w:p>
      <w:r>
        <w:t>10.2 Insurance. Platform Provider shall maintain commercial general liability and cyber liability insurance at commercially reasonable levels. Each Fulfillment Partner and air carrier shall maintain aviation liability insurance customary for charter operations.</w:t>
      </w:r>
    </w:p>
    <w:p>
      <w:r>
        <w:t>10.3 Indemnification. Each Party shall indemnify the other for third-party claims arising from its own negligence, willful misconduct, or material breach, subject to limitations set forth in the club addenda and Fulfillment Partner agreements.</w:t>
      </w:r>
    </w:p>
    <w:p>
      <w:r>
        <w:t>10.4 No Warranty of Availability. Platform Provider does not warrant aircraft availability, pricing, or acceptance by any air carrier.</w:t>
      </w:r>
    </w:p>
    <w:p>
      <w:pPr>
        <w:pStyle w:val="Heading2"/>
      </w:pPr>
      <w:r>
        <w:rPr>
          <w:rFonts w:ascii="Calibri" w:hAnsi="Calibri"/>
        </w:rPr>
        <w:t>11. Term, Termination, and Transition</w:t>
      </w:r>
    </w:p>
    <w:p>
      <w:r>
        <w:t>11.1 Term. The initial term is one (1) year from the Effective Date, renewing automatically for additional one (1) year terms unless either Party gives thirty (30) days written notice of non-renewal.</w:t>
      </w:r>
    </w:p>
    <w:p>
      <w:r>
        <w:t>11.2 Termination for Convenience. Either Party may terminate this Framework Agreement upon thirty (30) days written notice.</w:t>
      </w:r>
    </w:p>
    <w:p>
      <w:r>
        <w:t>11.3 Termination for Cause. Either Party may terminate immediately for material breach that remains uncured after ten (10) days written notice.</w:t>
      </w:r>
    </w:p>
    <w:p>
      <w:r>
        <w:t>11.4 Transition. Upon termination, Platform Provider shall provide a reasonable transition plan for active club accounts and data export, subject to security and confidentiality requirements.</w:t>
      </w:r>
    </w:p>
    <w:p>
      <w:pPr>
        <w:pStyle w:val="Heading2"/>
      </w:pPr>
      <w:r>
        <w:rPr>
          <w:rFonts w:ascii="Calibri" w:hAnsi="Calibri"/>
        </w:rPr>
        <w:t>12. Dispute Resolution and Governing Law</w:t>
      </w:r>
    </w:p>
    <w:p>
      <w:r>
        <w:t>12.1 Good Faith Escalation. The Parties will attempt to resolve disputes through executive escalation before initiating formal proceedings.</w:t>
      </w:r>
    </w:p>
    <w:p>
      <w:r>
        <w:t>12.2 Governing Law. This Framework Agreement shall be governed by the laws of the State of Colorado, without regard to conflict-of-law principles, unless League requires a different jurisdiction stated in an attachment.</w:t>
      </w:r>
    </w:p>
    <w:p>
      <w:r>
        <w:t>12.3 Venue. Venue shall be in the agreed jurisdiction stated in Section 12.2 or an attachment.</w:t>
      </w:r>
    </w:p>
    <w:p>
      <w:pPr>
        <w:pStyle w:val="Heading2"/>
      </w:pPr>
      <w:r>
        <w:rPr>
          <w:rFonts w:ascii="Calibri" w:hAnsi="Calibri"/>
        </w:rPr>
        <w:t>13. Signatures</w:t>
      </w:r>
    </w:p>
    <w:p>
      <w:r>
        <w:t>IN WITNESS WHEREOF, the Parties have executed this Framework Agreement as of the Effective Date.</w:t>
      </w:r>
    </w:p>
    <w:p/>
    <w:tbl>
      <w:tblPr>
        <w:tblStyle w:val="TableGrid"/>
        <w:tblW w:type="auto" w:w="0"/>
        <w:tblLook w:firstColumn="1" w:firstRow="1" w:lastColumn="0" w:lastRow="0" w:noHBand="0" w:noVBand="1" w:val="04A0"/>
      </w:tblPr>
      <w:tblGrid>
        <w:gridCol w:w="4680"/>
        <w:gridCol w:w="4680"/>
      </w:tblGrid>
      <w:tr>
        <w:tc>
          <w:tcPr>
            <w:tcW w:type="dxa" w:w="4680"/>
          </w:tcPr>
          <w:p>
            <w:r>
              <w:t>LEAGUE:</w:t>
              <w:br/>
              <w:br/>
              <w:t>By: ______________________________</w:t>
              <w:br/>
              <w:t>Name:</w:t>
              <w:br/>
              <w:t>Title:</w:t>
              <w:br/>
              <w:t>Date:</w:t>
            </w:r>
          </w:p>
        </w:tc>
        <w:tc>
          <w:tcPr>
            <w:tcW w:type="dxa" w:w="4680"/>
          </w:tcPr>
          <w:p>
            <w:r>
              <w:t>PLATFORM PROVIDER:</w:t>
              <w:br/>
              <w:t>Travel.SportsMedia.us</w:t>
              <w:br/>
              <w:t>A division of Sports Media, Inc.</w:t>
              <w:br/>
              <w:br/>
              <w:t>By: ______________________________</w:t>
              <w:br/>
              <w:t>Name:</w:t>
              <w:br/>
              <w:t>Title:</w:t>
              <w:br/>
              <w:t>Date:</w:t>
            </w:r>
          </w:p>
        </w:tc>
      </w:tr>
      <w:tr>
        <w:tc>
          <w:tcPr>
            <w:tcW w:type="dxa" w:w="4680"/>
          </w:tcPr>
          <w:p>
            <w:r>
              <w:t>Effective Date: ___________________</w:t>
            </w:r>
          </w:p>
        </w:tc>
        <w:tc>
          <w:tcPr>
            <w:tcW w:type="dxa" w:w="4680"/>
          </w:tcPr>
          <w:p>
            <w:r>
              <w:t>Notice Email: _____________________</w:t>
            </w:r>
          </w:p>
        </w:tc>
      </w:tr>
    </w:tbl>
    <w:p>
      <w:r>
        <w:br w:type="page"/>
      </w:r>
    </w:p>
    <w:p>
      <w:pPr>
        <w:pStyle w:val="Heading1"/>
      </w:pPr>
      <w:r>
        <w:rPr>
          <w:rFonts w:ascii="Calibri" w:hAnsi="Calibri"/>
        </w:rPr>
        <w:t>EXHIBIT A: CLUB OPT-IN ADDENDUM (Summary)</w:t>
      </w:r>
    </w:p>
    <w:p>
      <w:r>
        <w:t>Each club that opts in will execute a club addendum that includes:</w:t>
      </w:r>
    </w:p>
    <w:p>
      <w:r>
        <w:t>• Authorized users and role permissions</w:t>
      </w:r>
    </w:p>
    <w:p>
      <w:r>
        <w:t>• Optional internal approval workflow</w:t>
      </w:r>
    </w:p>
    <w:p>
      <w:r>
        <w:t>• Platform fees or retainer (if any)</w:t>
      </w:r>
    </w:p>
    <w:p>
      <w:r>
        <w:t>• SLA targets and escalation rules</w:t>
      </w:r>
    </w:p>
    <w:p>
      <w:r>
        <w:t>• Data access and reporting schedule</w:t>
      </w:r>
    </w:p>
    <w:p>
      <w:r>
        <w:t>• Any club-specific compliance requirements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