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AGENCY OF RECORD &amp; SPONSORSHIP ADDENDUM</w:t>
      </w:r>
    </w:p>
    <w:p>
      <w:pPr>
        <w:jc w:val="center"/>
      </w:pPr>
      <w:r>
        <w:t>Sports Media, Inc.</w:t>
        <w:br/>
        <w:t>Date: January 24, 2026</w:t>
      </w:r>
    </w:p>
    <w:p>
      <w:pPr>
        <w:spacing w:after="120"/>
      </w:pPr>
      <w:r>
        <w:t>If sponsorship, advertising, or media opportunities arise from this program, Sports Media shall serve as the exclusive Agency of Record.</w:t>
      </w:r>
    </w:p>
    <w:p>
      <w:pPr>
        <w:pStyle w:val="Heading1"/>
      </w:pPr>
      <w:r>
        <w:t>Scope</w:t>
      </w:r>
    </w:p>
    <w:p>
      <w:pPr>
        <w:spacing w:after="120"/>
      </w:pPr>
      <w:r>
        <w:t>Includes digital, DOOH, venue media, sponsorship activation, and media buying.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