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SERVICES AGREEMENT</w:t>
      </w:r>
    </w:p>
    <w:p>
      <w:pPr>
        <w:jc w:val="center"/>
      </w:pPr>
      <w:r>
        <w:t>Sports Media, Inc. and Chief Executive Air</w:t>
        <w:br/>
        <w:t>Date: January 24, 2026</w:t>
      </w:r>
    </w:p>
    <w:p>
      <w:pPr>
        <w:spacing w:after="120"/>
      </w:pPr>
      <w:r>
        <w:t>This Master Services Agreement (“Agreement”) is entered into by and between Sports Media, Inc., a licensed travel agency (“Sports Media”), and Chief Executive Air, owned by Jeffrey Menaged (“Broker”).</w:t>
      </w:r>
    </w:p>
    <w:p>
      <w:pPr>
        <w:pStyle w:val="Heading1"/>
      </w:pPr>
      <w:r>
        <w:t>1. Term and Renewal</w:t>
      </w:r>
    </w:p>
    <w:p>
      <w:pPr>
        <w:spacing w:after="120"/>
      </w:pPr>
      <w:r>
        <w:t>This Agreement shall commence on the Effective Date and shall continue for an initial term of five (5) years (“Initial Term”). Sports Media shall have the option to renew this Agreement for one additional five (5) year term by providing written notice no less than ninety (90) days prior to expiration.</w:t>
      </w:r>
    </w:p>
    <w:p>
      <w:pPr>
        <w:pStyle w:val="Heading1"/>
      </w:pPr>
      <w:r>
        <w:t>2. Purpose and Scope</w:t>
      </w:r>
    </w:p>
    <w:p>
      <w:pPr>
        <w:spacing w:after="120"/>
      </w:pPr>
      <w:r>
        <w:t>Sports Media operates the Travel.SportsMedia.us ecosystem, including a mobile and desktop charter procurement platform (“TeamJet”). Broker shall act as the exclusive charter brokerage partner for charter requests sourced through the Sports Media ecosystem, subject to performance protections herein.</w:t>
      </w:r>
    </w:p>
    <w:p>
      <w:pPr>
        <w:pStyle w:val="Heading1"/>
      </w:pPr>
      <w:r>
        <w:t>3. Covered Sports Programs</w:t>
      </w:r>
    </w:p>
    <w:p>
      <w:pPr>
        <w:spacing w:after="120"/>
      </w:pPr>
      <w:r>
        <w:t>This Agreement applies to all major and minor league sports programs in the United States, including but not limited to NBA, NFL, MLB, NHL, MLS, motorsports, golf, collegiate athletics, and esports, as well as sponsors, executives, investors, and approved family travel.</w:t>
      </w:r>
    </w:p>
    <w:p>
      <w:pPr>
        <w:pStyle w:val="Heading1"/>
      </w:pPr>
      <w:r>
        <w:t>4. Non-Air Carrier Disclosure</w:t>
      </w:r>
    </w:p>
    <w:p>
      <w:pPr>
        <w:spacing w:after="120"/>
      </w:pPr>
      <w:r>
        <w:t>Sports Media is a licensed travel agency but is not an air carrier and does not operate aircraft. Broker shall arrange flights only through properly certificated operators who maintain operational control of flights.</w:t>
      </w:r>
    </w:p>
    <w:p>
      <w:pPr>
        <w:pStyle w:val="Heading1"/>
      </w:pPr>
      <w:r>
        <w:t>5. Platform and Launch Timeline</w:t>
      </w:r>
    </w:p>
    <w:p>
      <w:pPr>
        <w:spacing w:after="120"/>
      </w:pPr>
      <w:r>
        <w:t>The parties agree to a thirty (30) day implementation timeline from Effective Date to operational launch, utilizing interim workflows followed by full platform deployment.</w:t>
      </w:r>
    </w:p>
    <w:p>
      <w:pPr>
        <w:pStyle w:val="Heading1"/>
      </w:pPr>
      <w:r>
        <w:t>6. Exclusivity and Performance Protection</w:t>
      </w:r>
    </w:p>
    <w:p>
      <w:pPr>
        <w:spacing w:after="120"/>
      </w:pPr>
      <w:r>
        <w:t>Broker shall be the exclusive charter brokerage partner at launch. However, Sports Media may route bookings to a secondary broker if Broker fails to meet SLA thresholds defined in Schedule G, without terminating this Agreement.</w:t>
      </w:r>
    </w:p>
    <w:p>
      <w:pPr>
        <w:pStyle w:val="Heading1"/>
      </w:pPr>
      <w:r>
        <w:t>7. Compensation</w:t>
      </w:r>
    </w:p>
    <w:p>
      <w:pPr>
        <w:spacing w:after="120"/>
      </w:pPr>
      <w:r>
        <w:t>Broker shall pay Sports Media a fixed fee per completed flight as defined in Schedule B. Sports Media may charge teams separate platform, subscription, or software service fees, all of which shall be retained one hundred percent (100%) by Sports Media.</w:t>
      </w:r>
    </w:p>
    <w:p>
      <w:pPr>
        <w:pStyle w:val="Heading1"/>
      </w:pPr>
      <w:r>
        <w:t>8. Retainer</w:t>
      </w:r>
    </w:p>
    <w:p>
      <w:pPr>
        <w:spacing w:after="120"/>
      </w:pPr>
      <w:r>
        <w:t>Broker shall pay a five thousand dollar ($5,000) retainer upon execution. The retainer is fully recoverable through booking credits as outlined in Schedule C.</w:t>
      </w:r>
    </w:p>
    <w:p>
      <w:pPr>
        <w:pStyle w:val="Heading1"/>
      </w:pPr>
      <w:r>
        <w:t>9. Agency of Record</w:t>
      </w:r>
    </w:p>
    <w:p>
      <w:pPr>
        <w:spacing w:after="120"/>
      </w:pPr>
      <w:r>
        <w:t>If advertising, marketing, or sponsorship opportunities arise through relationships developed under this Agreement, Sports Media shall be the exclusive Agency of Record for such initiatives, as detailed in Schedule F.</w:t>
      </w:r>
    </w:p>
    <w:p>
      <w:pPr>
        <w:pStyle w:val="Heading1"/>
      </w:pPr>
      <w:r>
        <w:t>10. Confidentiality and Non-Circumvention</w:t>
      </w:r>
    </w:p>
    <w:p>
      <w:pPr>
        <w:spacing w:after="120"/>
      </w:pPr>
      <w:r>
        <w:t>Broker shall not circumvent Sports Media or solicit Sports Media clients directly for a period of twenty-four (24) months following the last booking.</w:t>
      </w:r>
    </w:p>
    <w:p>
      <w:pPr>
        <w:pStyle w:val="Heading1"/>
      </w:pPr>
      <w:r>
        <w:t>11. Insurance and Indemnification</w:t>
      </w:r>
    </w:p>
    <w:p>
      <w:pPr>
        <w:spacing w:after="120"/>
      </w:pPr>
      <w:r>
        <w:t>Broker shall maintain E&amp;O, general liability, and require operators to maintain aircraft liability insurance. Broker shall indemnify Sports Media from claims arising from broker or operator performance.</w:t>
      </w:r>
    </w:p>
    <w:p>
      <w:pPr>
        <w:pStyle w:val="Heading1"/>
      </w:pPr>
      <w:r>
        <w:t>12. Termination</w:t>
      </w:r>
    </w:p>
    <w:p>
      <w:pPr>
        <w:spacing w:after="120"/>
      </w:pPr>
      <w:r>
        <w:t>Either party may terminate for cause with thirty (30) days written notice and opportunity to cure. Termination for convenience requires ninety (90) days written notice.</w:t>
      </w:r>
    </w:p>
    <w:p>
      <w:pPr>
        <w:pStyle w:val="Heading1"/>
      </w:pPr>
      <w:r>
        <w:t>13. Governing Law</w:t>
      </w:r>
    </w:p>
    <w:p>
      <w:pPr>
        <w:spacing w:after="120"/>
      </w:pPr>
      <w:r>
        <w:t>This Agreement shall be governed by the laws of the State of Colorado.</w:t>
      </w:r>
    </w:p>
    <w:p>
      <w:pPr>
        <w:pStyle w:val="Heading2"/>
      </w:pPr>
      <w:r>
        <w:t>Schedule A – Service Level Agreement</w:t>
      </w:r>
    </w:p>
    <w:p>
      <w:pPr>
        <w:spacing w:after="120"/>
      </w:pPr>
      <w:r>
        <w:t>Defines response times, escalation, documentation delivery, and client service standards.</w:t>
      </w:r>
    </w:p>
    <w:p>
      <w:pPr>
        <w:pStyle w:val="Heading2"/>
      </w:pPr>
      <w:r>
        <w:t>Schedule B – Fixed Fee and Platform Pricing</w:t>
      </w:r>
    </w:p>
    <w:p>
      <w:pPr>
        <w:spacing w:after="120"/>
      </w:pPr>
      <w:r>
        <w:t>Defines per-flight fixed fee payable to Sports Media and allowable software/service markup retained by Sports Media.</w:t>
      </w:r>
    </w:p>
    <w:p>
      <w:pPr>
        <w:pStyle w:val="Heading2"/>
      </w:pPr>
      <w:r>
        <w:t>Schedule C – Retainer Recovery</w:t>
      </w:r>
    </w:p>
    <w:p>
      <w:pPr>
        <w:spacing w:after="120"/>
      </w:pPr>
      <w:r>
        <w:t>Defines recovery of the $5,000 retainer via offsets against fixed fees or booking credits.</w:t>
      </w:r>
    </w:p>
    <w:p>
      <w:pPr>
        <w:pStyle w:val="Heading2"/>
      </w:pPr>
      <w:r>
        <w:t>Schedule D – Compliance Package Checklist</w:t>
      </w:r>
    </w:p>
    <w:p>
      <w:pPr>
        <w:spacing w:after="120"/>
      </w:pPr>
      <w:r>
        <w:t>Defines operator certification, insurance, disclosures, and incident reporting requirements.</w:t>
      </w:r>
    </w:p>
    <w:p>
      <w:pPr>
        <w:pStyle w:val="Heading2"/>
      </w:pPr>
      <w:r>
        <w:t>Schedule E – Platform Overview</w:t>
      </w:r>
    </w:p>
    <w:p>
      <w:pPr>
        <w:spacing w:after="120"/>
      </w:pPr>
      <w:r>
        <w:t>References mobile and desktop platform functionality and demo screens.</w:t>
      </w:r>
    </w:p>
    <w:p>
      <w:pPr>
        <w:pStyle w:val="Heading2"/>
      </w:pPr>
      <w:r>
        <w:t>Schedule F – Agency of Record Clause</w:t>
      </w:r>
    </w:p>
    <w:p>
      <w:pPr>
        <w:spacing w:after="120"/>
      </w:pPr>
      <w:r>
        <w:t>Sports Media shall be exclusive Agency of Record for advertising and sponsorship opportunities originating from this program.</w:t>
      </w:r>
    </w:p>
    <w:p>
      <w:pPr>
        <w:pStyle w:val="Heading2"/>
      </w:pPr>
      <w:r>
        <w:t>Schedule G – Missed Booking Formula</w:t>
      </w:r>
    </w:p>
    <w:p>
      <w:pPr>
        <w:spacing w:after="120"/>
      </w:pPr>
      <w:r>
        <w:t>If Broker misses three (3) urgent SLAs in 30 days or five (5) total SLAs in 60 days, Sports Media may route bookings to a secondary broker until performance normalizes.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