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League Approval Memo</w:t>
      </w:r>
    </w:p>
    <w:p>
      <w:pPr>
        <w:jc w:val="center"/>
      </w:pPr>
      <w:r>
        <w:t>TeamJet Charter Procurement Program</w:t>
        <w:br/>
        <w:t>Date: January 24, 2026</w:t>
      </w:r>
    </w:p>
    <w:p>
      <w:pPr>
        <w:pStyle w:val="Heading1"/>
      </w:pPr>
      <w:r>
        <w:t>Purpose</w:t>
      </w:r>
    </w:p>
    <w:p>
      <w:pPr>
        <w:spacing w:after="120"/>
      </w:pPr>
      <w:r>
        <w:t>This memo outlines the TeamJet charter procurement program operated by Sports Media, Inc. for review by league operations, compliance, and security executives.</w:t>
      </w:r>
    </w:p>
    <w:p>
      <w:pPr>
        <w:pStyle w:val="Heading1"/>
      </w:pPr>
      <w:r>
        <w:t>Program Overview</w:t>
      </w:r>
    </w:p>
    <w:p>
      <w:pPr>
        <w:spacing w:after="120"/>
      </w:pPr>
      <w:r>
        <w:t>TeamJet is a mobile and desktop charter request platform used for executive, sponsor, and non‑team aircraft travel.</w:t>
        <w:br/>
        <w:t>Sports Media is a licensed travel agency and not an air carrier.</w:t>
        <w:br/>
        <w:t>Flights are arranged by a certificated charter broker and operated by FAA‑approved carriers.</w:t>
      </w:r>
    </w:p>
    <w:p>
      <w:pPr>
        <w:pStyle w:val="Heading1"/>
      </w:pPr>
      <w:r>
        <w:t>Compliance and Risk Controls</w:t>
      </w:r>
    </w:p>
    <w:p>
      <w:pPr>
        <w:spacing w:after="120"/>
      </w:pPr>
      <w:r>
        <w:t>• No team travel mandates</w:t>
        <w:br/>
        <w:t>• Operator certification and insurance verification</w:t>
        <w:br/>
        <w:t>• Audit logs and approval workflows</w:t>
        <w:br/>
        <w:t>• Non‑air‑carrier separation</w:t>
        <w:br/>
        <w:t>• Performance SLAs and escalation rights</w:t>
      </w:r>
    </w:p>
    <w:p>
      <w:pPr>
        <w:pStyle w:val="Heading1"/>
      </w:pPr>
      <w:r>
        <w:t>League Impact</w:t>
      </w:r>
    </w:p>
    <w:p>
      <w:pPr>
        <w:spacing w:after="120"/>
      </w:pPr>
      <w:r>
        <w:t>The program improves travel reliability without altering league travel policies or collective bargaining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