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OPERATIONAL READINESS CHECKLIST</w:t>
      </w:r>
    </w:p>
    <w:p>
      <w:pPr>
        <w:jc w:val="center"/>
      </w:pPr>
      <w:r>
        <w:t>TeamJet Launch</w:t>
        <w:br/>
        <w:t>Date: January 24, 2026</w:t>
      </w:r>
    </w:p>
    <w:p>
      <w:pPr>
        <w:spacing w:after="120"/>
      </w:pPr>
      <w:r>
        <w:t>This checklist confirms readiness for launch.</w:t>
      </w:r>
    </w:p>
    <w:p>
      <w:pPr>
        <w:spacing w:after="120"/>
      </w:pPr>
      <w:r>
        <w:t>• Broker intake workflow configured</w:t>
        <w:br/>
        <w:t>• SLA standards agreed</w:t>
        <w:br/>
        <w:t>• Compliance documents verified</w:t>
        <w:br/>
        <w:t>• Platform demo reviewed</w:t>
        <w:br/>
        <w:t>• Training completed</w:t>
        <w:br/>
        <w:t>• Go-live 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