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PRICING AND FEE SCHEDULE</w:t>
      </w:r>
    </w:p>
    <w:p>
      <w:pPr>
        <w:jc w:val="center"/>
      </w:pPr>
      <w:r>
        <w:t>TeamJet Platform</w:t>
        <w:br/>
        <w:t>Date: January 24, 2026</w:t>
      </w:r>
    </w:p>
    <w:p>
      <w:pPr>
        <w:spacing w:after="120"/>
      </w:pPr>
      <w:r>
        <w:t>This Schedule defines fees applicable to the TeamJet platform.</w:t>
      </w:r>
    </w:p>
    <w:p>
      <w:pPr>
        <w:spacing w:after="120"/>
      </w:pPr>
      <w:r>
        <w:t>• Fixed fee per completed flight payable by broker</w:t>
        <w:br/>
        <w:t>• Software service markup per booking retained by Sports Media</w:t>
        <w:br/>
        <w:t>• Optional team subscription and enterprise access fees</w:t>
        <w:br/>
        <w:t>• Quarterly performance bonus eligibility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