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Second‑Broker Contingency Addendum</w:t>
      </w:r>
    </w:p>
    <w:p>
      <w:pPr>
        <w:jc w:val="center"/>
      </w:pPr>
      <w:r>
        <w:t>Sports Media, Inc.</w:t>
        <w:br/>
        <w:t>Date: January 24, 2026</w:t>
      </w:r>
    </w:p>
    <w:p>
      <w:pPr>
        <w:pStyle w:val="Heading1"/>
      </w:pPr>
      <w:r>
        <w:t>Trigger Conditions</w:t>
      </w:r>
    </w:p>
    <w:p>
      <w:pPr>
        <w:spacing w:after="120"/>
      </w:pPr>
      <w:r>
        <w:t>Sports Media may engage a secondary broker if:</w:t>
        <w:br/>
        <w:t>• 3 urgent SLA misses in 30 days</w:t>
        <w:br/>
        <w:t>• 5 total SLA misses in 60 days</w:t>
        <w:br/>
        <w:t>• Repeated inability to source aircraft when market availability exists</w:t>
      </w:r>
    </w:p>
    <w:p>
      <w:pPr>
        <w:pStyle w:val="Heading1"/>
      </w:pPr>
      <w:r>
        <w:t>Effect</w:t>
      </w:r>
    </w:p>
    <w:p>
      <w:pPr>
        <w:spacing w:after="120"/>
      </w:pPr>
      <w:r>
        <w:t>This addendum does not terminate exclusivity automatically and is intended solely as an operational safeguard.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