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SHORT-FORM BROKER AGREEMENT</w:t>
      </w:r>
    </w:p>
    <w:p>
      <w:pPr>
        <w:jc w:val="center"/>
      </w:pPr>
      <w:r>
        <w:t>Sports Media, Inc. and Chief Executive Air</w:t>
        <w:br/>
        <w:t>Date: January 24, 2026</w:t>
      </w:r>
    </w:p>
    <w:p>
      <w:pPr>
        <w:spacing w:after="120"/>
      </w:pPr>
      <w:r>
        <w:t>This Short-Form Agreement summarizes the commercial terms governing the charter brokerage partnership between Sports Media, Inc. and Chief Executive Air. It incorporates the Full Broker MSA by reference.</w:t>
      </w:r>
    </w:p>
    <w:p>
      <w:pPr>
        <w:pStyle w:val="Heading1"/>
      </w:pPr>
      <w:r>
        <w:t>Key Terms</w:t>
      </w:r>
    </w:p>
    <w:p>
      <w:pPr>
        <w:spacing w:after="120"/>
      </w:pPr>
      <w:r>
        <w:t>• Term: Five (5) years with one five (5) year renewal option</w:t>
        <w:br/>
        <w:t>• Exclusive launch partnership subject to performance</w:t>
        <w:br/>
        <w:t>• Fixed fee per completed flight payable to Sports Media</w:t>
        <w:br/>
        <w:t>• $5,000 recoverable retainer</w:t>
        <w:br/>
        <w:t>• Sports Media retains 100% of platform and software fees</w:t>
        <w:br/>
        <w:t>• Non-circumvention and Agency of Record protections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