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TEAM SERVICES AGREEMENT</w:t>
      </w:r>
    </w:p>
    <w:p>
      <w:pPr>
        <w:jc w:val="center"/>
      </w:pPr>
      <w:r>
        <w:t>TeamJet Powered by Sports Media</w:t>
        <w:br/>
        <w:t>Date: January 24, 2026</w:t>
      </w:r>
    </w:p>
    <w:p>
      <w:pPr>
        <w:spacing w:after="120"/>
      </w:pPr>
      <w:r>
        <w:t>This Agreement governs access to the TeamJet platform for charter request procurement for professional sports organizations.</w:t>
      </w:r>
    </w:p>
    <w:p>
      <w:pPr>
        <w:pStyle w:val="Heading1"/>
      </w:pPr>
      <w:r>
        <w:t>Scope of Services</w:t>
      </w:r>
    </w:p>
    <w:p>
      <w:pPr>
        <w:spacing w:after="120"/>
      </w:pPr>
      <w:r>
        <w:t>Sports Media provides access to a mobile and desktop charter procurement platform and routes requests to its preferred charter broker.</w:t>
      </w:r>
    </w:p>
    <w:p>
      <w:pPr>
        <w:pStyle w:val="Heading1"/>
      </w:pPr>
      <w:r>
        <w:t>Fees</w:t>
      </w:r>
    </w:p>
    <w:p>
      <w:pPr>
        <w:spacing w:after="120"/>
      </w:pPr>
      <w:r>
        <w:t>Teams may be subject to platform access fees, per-booking software fees, or subscription pricing as determined by Sports Media.</w:t>
      </w:r>
    </w:p>
    <w:p>
      <w:pPr>
        <w:pStyle w:val="Heading1"/>
      </w:pPr>
      <w:r>
        <w:t>Disclosures</w:t>
      </w:r>
    </w:p>
    <w:p>
      <w:pPr>
        <w:spacing w:after="120"/>
      </w:pPr>
      <w:r>
        <w:t>Sports Media is a licensed travel agency and not an air carrier. Flights are operated by certificated operators.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