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4.17 Cartilage Examination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4.17 Cartilage Examination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6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8,887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24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4.17.1</w:t>
            </w:r>
          </w:p>
        </w:tc>
        <w:tc>
          <w:tcPr>
            <w:tcW w:type="dxa" w:w="4234"/>
          </w:tcPr>
          <w:p>
            <w:r>
              <w:t>Clinical Presentation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1,514</w:t>
            </w:r>
          </w:p>
        </w:tc>
        <w:tc>
          <w:tcPr>
            <w:tcW w:type="dxa" w:w="6633"/>
          </w:tcPr>
          <w:p>
            <w:r>
              <w:t>examination/cartilage-clinical-presentation.html</w:t>
            </w:r>
          </w:p>
        </w:tc>
      </w:tr>
      <w:tr>
        <w:tc>
          <w:tcPr>
            <w:tcW w:type="dxa" w:w="1129"/>
          </w:tcPr>
          <w:p>
            <w:r>
              <w:t>4.17.2</w:t>
            </w:r>
          </w:p>
        </w:tc>
        <w:tc>
          <w:tcPr>
            <w:tcW w:type="dxa" w:w="4234"/>
          </w:tcPr>
          <w:p>
            <w:r>
              <w:t>Mechanical Symptoms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1,498</w:t>
            </w:r>
          </w:p>
        </w:tc>
        <w:tc>
          <w:tcPr>
            <w:tcW w:type="dxa" w:w="6633"/>
          </w:tcPr>
          <w:p>
            <w:r>
              <w:t>examination/cartilage-mechanical-symptoms.html</w:t>
            </w:r>
          </w:p>
        </w:tc>
      </w:tr>
      <w:tr>
        <w:tc>
          <w:tcPr>
            <w:tcW w:type="dxa" w:w="1129"/>
          </w:tcPr>
          <w:p>
            <w:r>
              <w:t>4.17.3</w:t>
            </w:r>
          </w:p>
        </w:tc>
        <w:tc>
          <w:tcPr>
            <w:tcW w:type="dxa" w:w="4234"/>
          </w:tcPr>
          <w:p>
            <w:r>
              <w:t>Osteochondral Lesions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1,490</w:t>
            </w:r>
          </w:p>
        </w:tc>
        <w:tc>
          <w:tcPr>
            <w:tcW w:type="dxa" w:w="6633"/>
          </w:tcPr>
          <w:p>
            <w:r>
              <w:t>examination/osteochondral-lesions.html</w:t>
            </w:r>
          </w:p>
        </w:tc>
      </w:tr>
      <w:tr>
        <w:tc>
          <w:tcPr>
            <w:tcW w:type="dxa" w:w="1129"/>
          </w:tcPr>
          <w:p>
            <w:r>
              <w:t>4.17.4</w:t>
            </w:r>
          </w:p>
        </w:tc>
        <w:tc>
          <w:tcPr>
            <w:tcW w:type="dxa" w:w="4234"/>
          </w:tcPr>
          <w:p>
            <w:r>
              <w:t>Osteochondritis Dissecans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1,443</w:t>
            </w:r>
          </w:p>
        </w:tc>
        <w:tc>
          <w:tcPr>
            <w:tcW w:type="dxa" w:w="6633"/>
          </w:tcPr>
          <w:p>
            <w:r>
              <w:t>examination/osteochondritis-dissecans.html</w:t>
            </w:r>
          </w:p>
        </w:tc>
      </w:tr>
      <w:tr>
        <w:tc>
          <w:tcPr>
            <w:tcW w:type="dxa" w:w="1129"/>
          </w:tcPr>
          <w:p>
            <w:r>
              <w:t>4.17.5</w:t>
            </w:r>
          </w:p>
        </w:tc>
        <w:tc>
          <w:tcPr>
            <w:tcW w:type="dxa" w:w="4234"/>
          </w:tcPr>
          <w:p>
            <w:r>
              <w:t>Articular Cartilage Defects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1,483</w:t>
            </w:r>
          </w:p>
        </w:tc>
        <w:tc>
          <w:tcPr>
            <w:tcW w:type="dxa" w:w="6633"/>
          </w:tcPr>
          <w:p>
            <w:r>
              <w:t>examination/articular-cartilage-defects.html</w:t>
            </w:r>
          </w:p>
        </w:tc>
      </w:tr>
      <w:tr>
        <w:tc>
          <w:tcPr>
            <w:tcW w:type="dxa" w:w="1129"/>
          </w:tcPr>
          <w:p>
            <w:r>
              <w:t>4.17.6</w:t>
            </w:r>
          </w:p>
        </w:tc>
        <w:tc>
          <w:tcPr>
            <w:tcW w:type="dxa" w:w="4234"/>
          </w:tcPr>
          <w:p>
            <w:r>
              <w:t>Functional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1,459</w:t>
            </w:r>
          </w:p>
        </w:tc>
        <w:tc>
          <w:tcPr>
            <w:tcW w:type="dxa" w:w="6633"/>
          </w:tcPr>
          <w:p>
            <w:r>
              <w:t>examination/cartilage-functional-assessment.html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4.17.1 Clinical Presentation</w:t>
      </w:r>
    </w:p>
    <w:p>
      <w:pPr>
        <w:pStyle w:val="ListBullet"/>
      </w:pPr>
      <w:r>
        <w:t>The commonest problem is a lesion on imaging that does not fit the symptoms.</w:t>
      </w:r>
    </w:p>
    <w:p>
      <w:pPr>
        <w:pStyle w:val="ListBullet"/>
      </w:pPr>
      <w:r>
        <w:t>An incidental lesion with diffuse pain means a finding and a separate problem.</w:t>
      </w:r>
    </w:p>
    <w:p>
      <w:pPr>
        <w:pStyle w:val="ListBullet"/>
      </w:pPr>
      <w:r>
        <w:t>A matching arc with a malaligned limb means the lesion is being loaded, and the correction is treatment.</w:t>
      </w:r>
    </w:p>
    <w:p>
      <w:pPr>
        <w:pStyle w:val="ListBullet"/>
      </w:pPr>
      <w:r>
        <w:t>After a cartilage procedure, the alignment and the meniscal status determine survival.</w:t>
      </w:r>
    </w:p>
    <w:p>
      <w:pPr>
        <w:pStyle w:val="ListBullet"/>
      </w:pPr>
      <w:r>
        <w:t>An osteochondral injury after a dislocation has a time limited repair window.</w:t>
      </w:r>
    </w:p>
    <w:p>
      <w:pPr>
        <w:pStyle w:val="Heading2"/>
      </w:pPr>
      <w:r>
        <w:t>4.17.2 Mechanical Symptoms</w:t>
      </w:r>
    </w:p>
    <w:p>
      <w:pPr>
        <w:pStyle w:val="ListBullet"/>
      </w:pPr>
      <w:r>
        <w:t>The mechanical symptom is the claim an operation was built on, so it is re-examined first.</w:t>
      </w:r>
    </w:p>
    <w:p>
      <w:pPr>
        <w:pStyle w:val="ListBullet"/>
      </w:pPr>
      <w:r>
        <w:t>A normal arthroscopy after reported locking means the symptom was not mechanical.</w:t>
      </w:r>
    </w:p>
    <w:p>
      <w:pPr>
        <w:pStyle w:val="ListBullet"/>
      </w:pPr>
      <w:r>
        <w:t>Recurrent true locking after a cartilage procedure is an unstable graft or an unaddressed fragment.</w:t>
      </w:r>
    </w:p>
    <w:p>
      <w:pPr>
        <w:pStyle w:val="ListBullet"/>
      </w:pPr>
      <w:r>
        <w:t>Locking stopping and pain persisting is a result worth framing before the operation.</w:t>
      </w:r>
    </w:p>
    <w:p>
      <w:pPr>
        <w:pStyle w:val="ListBullet"/>
      </w:pPr>
      <w:r>
        <w:t>A recorded description of a block is evidence; the recorded word locking is not.</w:t>
      </w:r>
    </w:p>
    <w:p>
      <w:pPr>
        <w:pStyle w:val="Heading2"/>
      </w:pPr>
      <w:r>
        <w:t>4.17.3 Osteochondral Lesions</w:t>
      </w:r>
    </w:p>
    <w:p>
      <w:pPr>
        <w:pStyle w:val="ListBullet"/>
      </w:pPr>
      <w:r>
        <w:t>A fragment loose for months has lost the fixation option.</w:t>
      </w:r>
    </w:p>
    <w:p>
      <w:pPr>
        <w:pStyle w:val="ListBullet"/>
      </w:pPr>
      <w:r>
        <w:t>A haemarthrosis attributed to a cruciate injury can be the wrong diagnosis from the right finding.</w:t>
      </w:r>
    </w:p>
    <w:p>
      <w:pPr>
        <w:pStyle w:val="ListBullet"/>
      </w:pPr>
      <w:r>
        <w:t>Recurrent effusions and catching after a dislocation suggest a missed fragment.</w:t>
      </w:r>
    </w:p>
    <w:p>
      <w:pPr>
        <w:pStyle w:val="ListBullet"/>
      </w:pPr>
      <w:r>
        <w:t>After fixation the alignment and the meniscal status determine survival.</w:t>
      </w:r>
    </w:p>
    <w:p>
      <w:pPr>
        <w:pStyle w:val="ListBullet"/>
      </w:pPr>
      <w:r>
        <w:t>A missed fragment after a documented dislocation is the most defensible criticism here.</w:t>
      </w:r>
    </w:p>
    <w:p>
      <w:pPr>
        <w:pStyle w:val="Heading2"/>
      </w:pPr>
      <w:r>
        <w:t>4.17.4 Osteochondritis Dissecans</w:t>
      </w:r>
    </w:p>
    <w:p>
      <w:pPr>
        <w:pStyle w:val="ListBullet"/>
      </w:pPr>
      <w:r>
        <w:t>An adolescent with a stable lesion and remaining growth has a good prognosis.</w:t>
      </w:r>
    </w:p>
    <w:p>
      <w:pPr>
        <w:pStyle w:val="ListBullet"/>
      </w:pPr>
      <w:r>
        <w:t>An adult with a healed lesion and compartment pain has an early degenerative problem.</w:t>
      </w:r>
    </w:p>
    <w:p>
      <w:pPr>
        <w:pStyle w:val="ListBullet"/>
      </w:pPr>
      <w:r>
        <w:t>An adult with an unhealed lesion and a loose body is a reconstruction decision.</w:t>
      </w:r>
    </w:p>
    <w:p>
      <w:pPr>
        <w:pStyle w:val="ListBullet"/>
      </w:pPr>
      <w:r>
        <w:t>Bilateral lesions with a family history put the other knee's prognosis in the conversation.</w:t>
      </w:r>
    </w:p>
    <w:p>
      <w:pPr>
        <w:pStyle w:val="ListBullet"/>
      </w:pPr>
      <w:r>
        <w:t>The condition is developmental and is not attributable to a single injury.</w:t>
      </w:r>
    </w:p>
    <w:p>
      <w:pPr>
        <w:pStyle w:val="Heading2"/>
      </w:pPr>
      <w:r>
        <w:t>4.17.5 Articular Cartilage Defects</w:t>
      </w:r>
    </w:p>
    <w:p>
      <w:pPr>
        <w:pStyle w:val="ListBullet"/>
      </w:pPr>
      <w:r>
        <w:t>A resurfaced compartment with an uncorrected alignment treated the surface and left the mechanics.</w:t>
      </w:r>
    </w:p>
    <w:p>
      <w:pPr>
        <w:pStyle w:val="ListBullet"/>
      </w:pPr>
      <w:r>
        <w:t>A deficient meniscus produces the same failure through a different route.</w:t>
      </w:r>
    </w:p>
    <w:p>
      <w:pPr>
        <w:pStyle w:val="ListBullet"/>
      </w:pPr>
      <w:r>
        <w:t>Symptoms that never matched the compartment mean an incidental finding was treated.</w:t>
      </w:r>
    </w:p>
    <w:p>
      <w:pPr>
        <w:pStyle w:val="ListBullet"/>
      </w:pPr>
      <w:r>
        <w:t>A large defect in a well aligned knee with an intact meniscus is the best case for resurfacing.</w:t>
      </w:r>
    </w:p>
    <w:p>
      <w:pPr>
        <w:pStyle w:val="ListBullet"/>
      </w:pPr>
      <w:r>
        <w:t>Attribution to a single injury needs an acute mechanism and early imaging.</w:t>
      </w:r>
    </w:p>
    <w:p>
      <w:pPr>
        <w:pStyle w:val="Heading2"/>
      </w:pPr>
      <w:r>
        <w:t>4.17.6 Functional Assessment</w:t>
      </w:r>
    </w:p>
    <w:p>
      <w:pPr>
        <w:pStyle w:val="ListBullet"/>
      </w:pPr>
      <w:r>
        <w:t>This is the assessment that was not done before the operation that did not work.</w:t>
      </w:r>
    </w:p>
    <w:p>
      <w:pPr>
        <w:pStyle w:val="ListBullet"/>
      </w:pPr>
      <w:r>
        <w:t>Without a pre-operative functional record, change cannot be assessed.</w:t>
      </w:r>
    </w:p>
    <w:p>
      <w:pPr>
        <w:pStyle w:val="ListBullet"/>
      </w:pPr>
      <w:r>
        <w:t>A limitation that was always a strength problem persists after the surface is treated.</w:t>
      </w:r>
    </w:p>
    <w:p>
      <w:pPr>
        <w:pStyle w:val="ListBullet"/>
      </w:pPr>
      <w:r>
        <w:t>A limitation in a different compartment means an incidental lesion was treated.</w:t>
      </w:r>
    </w:p>
    <w:p>
      <w:pPr>
        <w:pStyle w:val="ListBullet"/>
      </w:pPr>
      <w:r>
        <w:t>A claim concerns the functional assessment and the record rarely contains it.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4.17.1-P1</w:t>
            </w:r>
          </w:p>
        </w:tc>
        <w:tc>
          <w:tcPr>
            <w:tcW w:type="dxa" w:w="706"/>
          </w:tcPr>
          <w:p>
            <w:r>
              <w:t>4.17.1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history: pain on loading the affected compartment, an effusion appearing after activity, and whether anything catches or locks.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4.17.1-P2</w:t>
            </w:r>
          </w:p>
        </w:tc>
        <w:tc>
          <w:tcPr>
            <w:tcW w:type="dxa" w:w="706"/>
          </w:tcPr>
          <w:p>
            <w:r>
              <w:t>4.17.1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since a recurrent activity related effusion is one of the more reliable signs.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4.17.1-P3</w:t>
            </w:r>
          </w:p>
        </w:tc>
        <w:tc>
          <w:tcPr>
            <w:tcW w:type="dxa" w:w="706"/>
          </w:tcPr>
          <w:p>
            <w:r>
              <w:t>4.17.1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painful arc, since a lesion is loaded at a particular flexion angle and hurts there.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4.17.1-P4</w:t>
            </w:r>
          </w:p>
        </w:tc>
        <w:tc>
          <w:tcPr>
            <w:tcW w:type="dxa" w:w="706"/>
          </w:tcPr>
          <w:p>
            <w:r>
              <w:t>4.17.1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alignment, because it determines which compartment carries the load and therefore how a lesion behaves.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4.17.2-P1</w:t>
            </w:r>
          </w:p>
        </w:tc>
        <w:tc>
          <w:tcPr>
            <w:tcW w:type="dxa" w:w="706"/>
          </w:tcPr>
          <w:p>
            <w:r>
              <w:t>4.17.2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describe exactly what happens, in their own words, rather than offering the word locking.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4.17.2-P2</w:t>
            </w:r>
          </w:p>
        </w:tc>
        <w:tc>
          <w:tcPr>
            <w:tcW w:type="dxa" w:w="706"/>
          </w:tcPr>
          <w:p>
            <w:r>
              <w:t>4.17.2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passive extension and note the end feel, since a springy block is the examination finding that corresponds to a displaced fragment.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4.17.2-P3</w:t>
            </w:r>
          </w:p>
        </w:tc>
        <w:tc>
          <w:tcPr>
            <w:tcW w:type="dxa" w:w="706"/>
          </w:tcPr>
          <w:p>
            <w:r>
              <w:t>4.17.2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since a loose fragment irritates the joint and produces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4.17.2-P4</w:t>
            </w:r>
          </w:p>
        </w:tc>
        <w:tc>
          <w:tcPr>
            <w:tcW w:type="dxa" w:w="706"/>
          </w:tcPr>
          <w:p>
            <w:r>
              <w:t>4.17.2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a loose body being felt moving, which is unusual and specific when described clearly.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4.17.3-P1</w:t>
            </w:r>
          </w:p>
        </w:tc>
        <w:tc>
          <w:tcPr>
            <w:tcW w:type="dxa" w:w="706"/>
          </w:tcPr>
          <w:p>
            <w:r>
              <w:t>4.17.3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 and its tension, since a tense effusion within hours is blood and an osteochondral injury is on that short differential.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4.17.3-P2</w:t>
            </w:r>
          </w:p>
        </w:tc>
        <w:tc>
          <w:tcPr>
            <w:tcW w:type="dxa" w:w="706"/>
          </w:tcPr>
          <w:p>
            <w:r>
              <w:t>4.17.3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passive extension and record the end feel, since a displaced fragment gives a block.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4.17.3-P3</w:t>
            </w:r>
          </w:p>
        </w:tc>
        <w:tc>
          <w:tcPr>
            <w:tcW w:type="dxa" w:w="706"/>
          </w:tcPr>
          <w:p>
            <w:r>
              <w:t>4.17.3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patella's medial restraint if the mechanism was a dislocation, since the two injuries travel together.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4.17.3-P4</w:t>
            </w:r>
          </w:p>
        </w:tc>
        <w:tc>
          <w:tcPr>
            <w:tcW w:type="dxa" w:w="706"/>
          </w:tcPr>
          <w:p>
            <w:r>
              <w:t>4.17.3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Medial patellar tenderness with a haemarthrosis after a twisting injury indicates a dislocation, and an osteochondral injury should be assumed until the imaging says otherwise.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4.17.3-P5</w:t>
            </w:r>
          </w:p>
        </w:tc>
        <w:tc>
          <w:tcPr>
            <w:tcW w:type="dxa" w:w="706"/>
          </w:tcPr>
          <w:p>
            <w:r>
              <w:t>4.17.3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Delay changes the operation, so the examination's job is early imaging.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4.17.4-P1</w:t>
            </w:r>
          </w:p>
        </w:tc>
        <w:tc>
          <w:tcPr>
            <w:tcW w:type="dxa" w:w="706"/>
          </w:tcPr>
          <w:p>
            <w:r>
              <w:t>4.17.4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which is usually present and activity related.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4.17.4-P2</w:t>
            </w:r>
          </w:p>
        </w:tc>
        <w:tc>
          <w:tcPr>
            <w:tcW w:type="dxa" w:w="706"/>
          </w:tcPr>
          <w:p>
            <w:r>
              <w:t>4.17.4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mechanical symptoms specifically, since a true block or catching indicates an unstable or loose fragment.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4.17.4-P3</w:t>
            </w:r>
          </w:p>
        </w:tc>
        <w:tc>
          <w:tcPr>
            <w:tcW w:type="dxa" w:w="706"/>
          </w:tcPr>
          <w:p>
            <w:r>
              <w:t>4.17.4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range and look for a block, with the end feel recorded.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4.17.5-P1</w:t>
            </w:r>
          </w:p>
        </w:tc>
        <w:tc>
          <w:tcPr>
            <w:tcW w:type="dxa" w:w="706"/>
          </w:tcPr>
          <w:p>
            <w:r>
              <w:t>4.17.5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painful arc, since a defect is loaded at a particular flexion angle and the arc should match its position.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4.17.5-P2</w:t>
            </w:r>
          </w:p>
        </w:tc>
        <w:tc>
          <w:tcPr>
            <w:tcW w:type="dxa" w:w="706"/>
          </w:tcPr>
          <w:p>
            <w:r>
              <w:t>4.17.5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since a recurrent activity related effusion is the most useful sign that a defect is symptomatic.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4.17.5-P3</w:t>
            </w:r>
          </w:p>
        </w:tc>
        <w:tc>
          <w:tcPr>
            <w:tcW w:type="dxa" w:w="706"/>
          </w:tcPr>
          <w:p>
            <w:r>
              <w:t>4.17.5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mechanical symptoms, since a delaminated flap catches and that changes the decision.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4.17.5-P4</w:t>
            </w:r>
          </w:p>
        </w:tc>
        <w:tc>
          <w:tcPr>
            <w:tcW w:type="dxa" w:w="706"/>
          </w:tcPr>
          <w:p>
            <w:r>
              <w:t>4.17.5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alignment, since it determines whether the compartment carrying the defect is being loaded.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4.17.5-P5</w:t>
            </w:r>
          </w:p>
        </w:tc>
        <w:tc>
          <w:tcPr>
            <w:tcW w:type="dxa" w:w="706"/>
          </w:tcPr>
          <w:p>
            <w:r>
              <w:t>4.17.5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meniscal status in that compartment, since a deficient meniscus concentrates the load on the surface.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4.17.6-P1</w:t>
            </w:r>
          </w:p>
        </w:tc>
        <w:tc>
          <w:tcPr>
            <w:tcW w:type="dxa" w:w="706"/>
          </w:tcPr>
          <w:p>
            <w:r>
              <w:t>4.17.6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what the patient cannot do, specifically, and at what point in the activity it fails.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4.17.6-P2</w:t>
            </w:r>
          </w:p>
        </w:tc>
        <w:tc>
          <w:tcPr>
            <w:tcW w:type="dxa" w:w="706"/>
          </w:tcPr>
          <w:p>
            <w:r>
              <w:t>4.17.6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quadriceps and the proximal control, since both affect the load reaching the lesion.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4.17.6-P3</w:t>
            </w:r>
          </w:p>
        </w:tc>
        <w:tc>
          <w:tcPr>
            <w:tcW w:type="dxa" w:w="706"/>
          </w:tcPr>
          <w:p>
            <w:r>
              <w:t>4.17.6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which tasks were attempted and which were completed, rather than a summary.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docs/review/packs/chapter-4.17.docx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