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4.19 Paediatric Knee Examination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4.19 Paediatric Knee Examination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7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10,216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1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31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4.19.1</w:t>
            </w:r>
          </w:p>
        </w:tc>
        <w:tc>
          <w:tcPr>
            <w:tcW w:type="dxa" w:w="4234"/>
          </w:tcPr>
          <w:p>
            <w:r>
              <w:t>Growth Plate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1,520</w:t>
            </w:r>
          </w:p>
        </w:tc>
        <w:tc>
          <w:tcPr>
            <w:tcW w:type="dxa" w:w="6633"/>
          </w:tcPr>
          <w:p>
            <w:r>
              <w:t>examination/growth-plate-assessment.html</w:t>
            </w:r>
          </w:p>
        </w:tc>
      </w:tr>
      <w:tr>
        <w:tc>
          <w:tcPr>
            <w:tcW w:type="dxa" w:w="1129"/>
          </w:tcPr>
          <w:p>
            <w:r>
              <w:t>4.19.2</w:t>
            </w:r>
          </w:p>
        </w:tc>
        <w:tc>
          <w:tcPr>
            <w:tcW w:type="dxa" w:w="4234"/>
          </w:tcPr>
          <w:p>
            <w:r>
              <w:t>Paediatric ACL Injury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1,509</w:t>
            </w:r>
          </w:p>
        </w:tc>
        <w:tc>
          <w:tcPr>
            <w:tcW w:type="dxa" w:w="6633"/>
          </w:tcPr>
          <w:p>
            <w:r>
              <w:t>examination/paediatric-acl-injury.html</w:t>
            </w:r>
          </w:p>
        </w:tc>
      </w:tr>
      <w:tr>
        <w:tc>
          <w:tcPr>
            <w:tcW w:type="dxa" w:w="1129"/>
          </w:tcPr>
          <w:p>
            <w:r>
              <w:t>4.19.3</w:t>
            </w:r>
          </w:p>
        </w:tc>
        <w:tc>
          <w:tcPr>
            <w:tcW w:type="dxa" w:w="4234"/>
          </w:tcPr>
          <w:p>
            <w:r>
              <w:t>Discoid Meniscus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1,435</w:t>
            </w:r>
          </w:p>
        </w:tc>
        <w:tc>
          <w:tcPr>
            <w:tcW w:type="dxa" w:w="6633"/>
          </w:tcPr>
          <w:p>
            <w:r>
              <w:t>examination/discoid-meniscus.html</w:t>
            </w:r>
          </w:p>
        </w:tc>
      </w:tr>
      <w:tr>
        <w:tc>
          <w:tcPr>
            <w:tcW w:type="dxa" w:w="1129"/>
          </w:tcPr>
          <w:p>
            <w:r>
              <w:t>4.19.4</w:t>
            </w:r>
          </w:p>
        </w:tc>
        <w:tc>
          <w:tcPr>
            <w:tcW w:type="dxa" w:w="4234"/>
          </w:tcPr>
          <w:p>
            <w:r>
              <w:t>Patellar Instability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1,455</w:t>
            </w:r>
          </w:p>
        </w:tc>
        <w:tc>
          <w:tcPr>
            <w:tcW w:type="dxa" w:w="6633"/>
          </w:tcPr>
          <w:p>
            <w:r>
              <w:t>examination/paediatric-patellar-instability.html</w:t>
            </w:r>
          </w:p>
        </w:tc>
      </w:tr>
      <w:tr>
        <w:tc>
          <w:tcPr>
            <w:tcW w:type="dxa" w:w="1129"/>
          </w:tcPr>
          <w:p>
            <w:r>
              <w:t>4.19.5</w:t>
            </w:r>
          </w:p>
        </w:tc>
        <w:tc>
          <w:tcPr>
            <w:tcW w:type="dxa" w:w="4234"/>
          </w:tcPr>
          <w:p>
            <w:r>
              <w:t>OCD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1,424</w:t>
            </w:r>
          </w:p>
        </w:tc>
        <w:tc>
          <w:tcPr>
            <w:tcW w:type="dxa" w:w="6633"/>
          </w:tcPr>
          <w:p>
            <w:r>
              <w:t>examination/paediatric-ocd.html</w:t>
            </w:r>
          </w:p>
        </w:tc>
      </w:tr>
      <w:tr>
        <w:tc>
          <w:tcPr>
            <w:tcW w:type="dxa" w:w="1129"/>
          </w:tcPr>
          <w:p>
            <w:r>
              <w:t>4.19.6</w:t>
            </w:r>
          </w:p>
        </w:tc>
        <w:tc>
          <w:tcPr>
            <w:tcW w:type="dxa" w:w="4234"/>
          </w:tcPr>
          <w:p>
            <w:r>
              <w:t>Developmental Variants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1,457</w:t>
            </w:r>
          </w:p>
        </w:tc>
        <w:tc>
          <w:tcPr>
            <w:tcW w:type="dxa" w:w="6633"/>
          </w:tcPr>
          <w:p>
            <w:r>
              <w:t>examination/developmental-variants.html</w:t>
            </w:r>
          </w:p>
        </w:tc>
      </w:tr>
      <w:tr>
        <w:tc>
          <w:tcPr>
            <w:tcW w:type="dxa" w:w="1129"/>
          </w:tcPr>
          <w:p>
            <w:r>
              <w:t>4.19.7</w:t>
            </w:r>
          </w:p>
        </w:tc>
        <w:tc>
          <w:tcPr>
            <w:tcW w:type="dxa" w:w="4234"/>
          </w:tcPr>
          <w:p>
            <w:r>
              <w:t>Torsional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1,416</w:t>
            </w:r>
          </w:p>
        </w:tc>
        <w:tc>
          <w:tcPr>
            <w:tcW w:type="dxa" w:w="6633"/>
          </w:tcPr>
          <w:p>
            <w:r>
              <w:t>examination/torsional-assessment.html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4.19.1 Growth Plate Assessment</w:t>
      </w:r>
    </w:p>
    <w:p>
      <w:pPr>
        <w:pStyle w:val="ListBullet"/>
      </w:pPr>
      <w:r>
        <w:t>Chronological age, bone age and pubertal stage diverge.</w:t>
      </w:r>
    </w:p>
    <w:p>
      <w:pPr>
        <w:pStyle w:val="ListBullet"/>
      </w:pPr>
      <w:r>
        <w:t>A healed physeal injury can examine normally while a deformity develops.</w:t>
      </w:r>
    </w:p>
    <w:p>
      <w:pPr>
        <w:pStyle w:val="ListBullet"/>
      </w:pPr>
      <w:r>
        <w:t>Partial arrest is detected by an alignment change over time.</w:t>
      </w:r>
    </w:p>
    <w:p>
      <w:pPr>
        <w:pStyle w:val="ListBullet"/>
      </w:pPr>
      <w:r>
        <w:t>Ligament and physeal injury coexist near maturity.</w:t>
      </w:r>
    </w:p>
    <w:p>
      <w:pPr>
        <w:pStyle w:val="ListBullet"/>
      </w:pPr>
      <w:r>
        <w:t>Every conclusion about the physis is an inference from tenderness and mechanism.</w:t>
      </w:r>
    </w:p>
    <w:p>
      <w:pPr>
        <w:pStyle w:val="Heading2"/>
      </w:pPr>
      <w:r>
        <w:t>4.19.2 Paediatric ACL Injury</w:t>
      </w:r>
    </w:p>
    <w:p>
      <w:pPr>
        <w:pStyle w:val="ListBullet"/>
      </w:pPr>
      <w:r>
        <w:t>Physiological laxity varies with age and the examination has no age adjusted reference.</w:t>
      </w:r>
    </w:p>
    <w:p>
      <w:pPr>
        <w:pStyle w:val="ListBullet"/>
      </w:pPr>
      <w:r>
        <w:t>Partial and complete tears are not reliably separated clinically.</w:t>
      </w:r>
    </w:p>
    <w:p>
      <w:pPr>
        <w:pStyle w:val="ListBullet"/>
      </w:pPr>
      <w:r>
        <w:t>The physeal status, not the laxity, governs the operation.</w:t>
      </w:r>
    </w:p>
    <w:p>
      <w:pPr>
        <w:pStyle w:val="ListBullet"/>
      </w:pPr>
      <w:r>
        <w:t>Examination under anaesthesia removes guarding and changes what is measured.</w:t>
      </w:r>
    </w:p>
    <w:p>
      <w:pPr>
        <w:pStyle w:val="ListBullet"/>
      </w:pPr>
      <w:r>
        <w:t>Parent and patient reports of instability differ.</w:t>
      </w:r>
    </w:p>
    <w:p>
      <w:pPr>
        <w:pStyle w:val="Heading2"/>
      </w:pPr>
      <w:r>
        <w:t>4.19.3 Discoid Meniscus</w:t>
      </w:r>
    </w:p>
    <w:p>
      <w:pPr>
        <w:pStyle w:val="ListBullet"/>
      </w:pPr>
      <w:r>
        <w:t>Presence on imaging does not establish causation.</w:t>
      </w:r>
    </w:p>
    <w:p>
      <w:pPr>
        <w:pStyle w:val="ListBullet"/>
      </w:pPr>
      <w:r>
        <w:t>The three findings together make the case, and one alone does not.</w:t>
      </w:r>
    </w:p>
    <w:p>
      <w:pPr>
        <w:pStyle w:val="ListBullet"/>
      </w:pPr>
      <w:r>
        <w:t>A treated discoid meniscus has a post operative baseline, not a normal one.</w:t>
      </w:r>
    </w:p>
    <w:p>
      <w:pPr>
        <w:pStyle w:val="ListBullet"/>
      </w:pPr>
      <w:r>
        <w:t>Long term lateral compartment change overlies the mechanical findings.</w:t>
      </w:r>
    </w:p>
    <w:p>
      <w:pPr>
        <w:pStyle w:val="ListBullet"/>
      </w:pPr>
      <w:r>
        <w:t>The peripheral attachment, which determines stability, is not assessable clinically.</w:t>
      </w:r>
    </w:p>
    <w:p>
      <w:pPr>
        <w:pStyle w:val="Heading2"/>
      </w:pPr>
      <w:r>
        <w:t>4.19.4 Patellar Instability</w:t>
      </w:r>
    </w:p>
    <w:p>
      <w:pPr>
        <w:pStyle w:val="ListBullet"/>
      </w:pPr>
      <w:r>
        <w:t>Trochlear dysplasia is the strongest predisposing feature and only inferred clinically.</w:t>
      </w:r>
    </w:p>
    <w:p>
      <w:pPr>
        <w:pStyle w:val="ListBullet"/>
      </w:pPr>
      <w:r>
        <w:t>Patellar height is not reliably measurable clinically and changes the treatment.</w:t>
      </w:r>
    </w:p>
    <w:p>
      <w:pPr>
        <w:pStyle w:val="ListBullet"/>
      </w:pPr>
      <w:r>
        <w:t>Opposing femoral and tibial torsion can hide each other.</w:t>
      </w:r>
    </w:p>
    <w:p>
      <w:pPr>
        <w:pStyle w:val="ListBullet"/>
      </w:pPr>
      <w:r>
        <w:t>The laxity threshold is a convention rather than a biological boundary.</w:t>
      </w:r>
    </w:p>
    <w:p>
      <w:pPr>
        <w:pStyle w:val="ListBullet"/>
      </w:pPr>
      <w:r>
        <w:t>A previously operated knee has its own baseline.</w:t>
      </w:r>
    </w:p>
    <w:p>
      <w:pPr>
        <w:pStyle w:val="Heading2"/>
      </w:pPr>
      <w:r>
        <w:t>4.19.5 OCD</w:t>
      </w:r>
    </w:p>
    <w:p>
      <w:pPr>
        <w:pStyle w:val="ListBullet"/>
      </w:pPr>
      <w:r>
        <w:t>The mechanical history is an imperfect proxy for fragment stability.</w:t>
      </w:r>
    </w:p>
    <w:p>
      <w:pPr>
        <w:pStyle w:val="ListBullet"/>
      </w:pPr>
      <w:r>
        <w:t>Clinical assessment of skeletal maturity is approximate.</w:t>
      </w:r>
    </w:p>
    <w:p>
      <w:pPr>
        <w:pStyle w:val="ListBullet"/>
      </w:pPr>
      <w:r>
        <w:t>A healed lesion can remain tender without being active.</w:t>
      </w:r>
    </w:p>
    <w:p>
      <w:pPr>
        <w:pStyle w:val="ListBullet"/>
      </w:pPr>
      <w:r>
        <w:t>Pain from the lesion and from the altered loading are not separable clinically.</w:t>
      </w:r>
    </w:p>
    <w:p>
      <w:pPr>
        <w:pStyle w:val="ListBullet"/>
      </w:pPr>
      <w:r>
        <w:t>Repeated examination over time beats any single assessment.</w:t>
      </w:r>
    </w:p>
    <w:p>
      <w:pPr>
        <w:pStyle w:val="Heading2"/>
      </w:pPr>
      <w:r>
        <w:t>4.19.6 Developmental Variants</w:t>
      </w:r>
    </w:p>
    <w:p>
      <w:pPr>
        <w:pStyle w:val="ListBullet"/>
      </w:pPr>
      <w:r>
        <w:t>The trajectory is the finding, and it needs more than one visit.</w:t>
      </w:r>
    </w:p>
    <w:p>
      <w:pPr>
        <w:pStyle w:val="ListBullet"/>
      </w:pPr>
      <w:r>
        <w:t>Angular and rotational components can compensate and hide each other.</w:t>
      </w:r>
    </w:p>
    <w:p>
      <w:pPr>
        <w:pStyle w:val="ListBullet"/>
      </w:pPr>
      <w:r>
        <w:t>The normal range for an age is a population statement, not a decision rule.</w:t>
      </w:r>
    </w:p>
    <w:p>
      <w:pPr>
        <w:pStyle w:val="ListBullet"/>
      </w:pPr>
      <w:r>
        <w:t>A laxity threshold is a convention rather than a boundary.</w:t>
      </w:r>
    </w:p>
    <w:p>
      <w:pPr>
        <w:pStyle w:val="ListBullet"/>
      </w:pPr>
      <w:r>
        <w:t>A dysplasia can present as a symmetrical variant, and stature separates them.</w:t>
      </w:r>
    </w:p>
    <w:p>
      <w:pPr>
        <w:pStyle w:val="Heading2"/>
      </w:pPr>
      <w:r>
        <w:t>4.19.7 Torsional Assessment</w:t>
      </w:r>
    </w:p>
    <w:p>
      <w:pPr>
        <w:pStyle w:val="ListBullet"/>
      </w:pPr>
      <w:r>
        <w:t>The clinical measurement locates the twist only approximately.</w:t>
      </w:r>
    </w:p>
    <w:p>
      <w:pPr>
        <w:pStyle w:val="ListBullet"/>
      </w:pPr>
      <w:r>
        <w:t>Compensating torsion gives a normal gait with an abnormal limb.</w:t>
      </w:r>
    </w:p>
    <w:p>
      <w:pPr>
        <w:pStyle w:val="ListBullet"/>
      </w:pPr>
      <w:r>
        <w:t>Rotational and coronal deformity interact and neither describes the load alone.</w:t>
      </w:r>
    </w:p>
    <w:p>
      <w:pPr>
        <w:pStyle w:val="ListBullet"/>
      </w:pPr>
      <w:r>
        <w:t>Torsion's contribution to patellar instability is not apportionable clinically.</w:t>
      </w:r>
    </w:p>
    <w:p>
      <w:pPr>
        <w:pStyle w:val="ListBullet"/>
      </w:pPr>
      <w:r>
        <w:t>Contracture limits the measurement, so finding and limitation are recorded together.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4.19.4-F1</w:t>
            </w:r>
          </w:p>
        </w:tc>
        <w:tc>
          <w:tcPr>
            <w:tcW w:type="dxa" w:w="706"/>
          </w:tcPr>
          <w:p>
            <w:r>
              <w:t>4.19.4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Assess patellar translation in extension and at thirty degrees, comparing with the other side.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4.19.1-P1</w:t>
            </w:r>
          </w:p>
        </w:tc>
        <w:tc>
          <w:tcPr>
            <w:tcW w:type="dxa" w:w="706"/>
          </w:tcPr>
          <w:p>
            <w:r>
              <w:t>4.19.1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mechanism and the ability to weightbear, because an inability to weightbear in a child is a stronger sign than in an adult.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4.19.1-P2</w:t>
            </w:r>
          </w:p>
        </w:tc>
        <w:tc>
          <w:tcPr>
            <w:tcW w:type="dxa" w:w="706"/>
          </w:tcPr>
          <w:p>
            <w:r>
              <w:t>4.19.1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range gently, and stop at the point of guarding rather than pushing through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4.19.1-P3</w:t>
            </w:r>
          </w:p>
        </w:tc>
        <w:tc>
          <w:tcPr>
            <w:tcW w:type="dxa" w:w="706"/>
          </w:tcPr>
          <w:p>
            <w:r>
              <w:t>4.19.1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Defer stress testing until a radiograph has been seen if the physeal tenderness is convincing, and record that decision.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4.19.2-P1</w:t>
            </w:r>
          </w:p>
        </w:tc>
        <w:tc>
          <w:tcPr>
            <w:tcW w:type="dxa" w:w="706"/>
          </w:tcPr>
          <w:p>
            <w:r>
              <w:t>4.19.2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since an immediate haemarthrosis after a twisting injury narrows the differential sharply.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4.19.2-P2</w:t>
            </w:r>
          </w:p>
        </w:tc>
        <w:tc>
          <w:tcPr>
            <w:tcW w:type="dxa" w:w="706"/>
          </w:tcPr>
          <w:p>
            <w:r>
              <w:t>4.19.2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Defer the pivot shift in an acute injury, since it needs a relaxed knee and it is uncomfortable.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4.19.2-P3</w:t>
            </w:r>
          </w:p>
        </w:tc>
        <w:tc>
          <w:tcPr>
            <w:tcW w:type="dxa" w:w="706"/>
          </w:tcPr>
          <w:p>
            <w:r>
              <w:t>4.19.2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collaterals and the posterior structures gently, so a combined injury is not missed.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4.19.2-P4</w:t>
            </w:r>
          </w:p>
        </w:tc>
        <w:tc>
          <w:tcPr>
            <w:tcW w:type="dxa" w:w="706"/>
          </w:tcPr>
          <w:p>
            <w:r>
              <w:t>4.19.2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Repeat examination under anaesthesia resolves the guarding problem and introduces its own, because an anaesthetised child's laxity is not the laxity being treated.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4.19.3-P1</w:t>
            </w:r>
          </w:p>
        </w:tc>
        <w:tc>
          <w:tcPr>
            <w:tcW w:type="dxa" w:w="706"/>
          </w:tcPr>
          <w:p>
            <w:r>
              <w:t>4.19.3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the age, whether the knee snaps audibly, whether it has ever locked, and whether the child can straighten it fully.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4.19.3-P2</w:t>
            </w:r>
          </w:p>
        </w:tc>
        <w:tc>
          <w:tcPr>
            <w:tcW w:type="dxa" w:w="706"/>
          </w:tcPr>
          <w:p>
            <w:r>
              <w:t>4.19.3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 parent as well as the child, since a snapping knee is often noticed by an observer first.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4.19.3-P3</w:t>
            </w:r>
          </w:p>
        </w:tc>
        <w:tc>
          <w:tcPr>
            <w:tcW w:type="dxa" w:w="706"/>
          </w:tcPr>
          <w:p>
            <w:r>
              <w:t>4.19.3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extension carefully, comparing with the other side, since a small deficit is the common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4.19.3-P4</w:t>
            </w:r>
          </w:p>
        </w:tc>
        <w:tc>
          <w:tcPr>
            <w:tcW w:type="dxa" w:w="706"/>
          </w:tcPr>
          <w:p>
            <w:r>
              <w:t>4.19.3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knee through the range with a hand on the lateral joint line, feeling for a palpable clunk.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4.19.4-P1</w:t>
            </w:r>
          </w:p>
        </w:tc>
        <w:tc>
          <w:tcPr>
            <w:tcW w:type="dxa" w:w="706"/>
          </w:tcPr>
          <w:p>
            <w:r>
              <w:t>4.19.4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the age at first episode, how many episodes, what position the knee was in, and whether the patella had to be put back.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4.19.4-P2</w:t>
            </w:r>
          </w:p>
        </w:tc>
        <w:tc>
          <w:tcPr>
            <w:tcW w:type="dxa" w:w="706"/>
          </w:tcPr>
          <w:p>
            <w:r>
              <w:t>4.19.4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family history and about generalised laxity, since both are common in this group.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4.19.4-P3</w:t>
            </w:r>
          </w:p>
        </w:tc>
        <w:tc>
          <w:tcPr>
            <w:tcW w:type="dxa" w:w="706"/>
          </w:tcPr>
          <w:p>
            <w:r>
              <w:t>4.19.4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generalised laxity with the standard joint assessment, because it changes the interpretation of the knee findings.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4.19.4-P4</w:t>
            </w:r>
          </w:p>
        </w:tc>
        <w:tc>
          <w:tcPr>
            <w:tcW w:type="dxa" w:w="706"/>
          </w:tcPr>
          <w:p>
            <w:r>
              <w:t>4.19.4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patellar translation in extension and at thirty degrees, comparing with the other side.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4.19.4-P5</w:t>
            </w:r>
          </w:p>
        </w:tc>
        <w:tc>
          <w:tcPr>
            <w:tcW w:type="dxa" w:w="706"/>
          </w:tcPr>
          <w:p>
            <w:r>
              <w:t>4.19.4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apprehension on lateral translation, which is the finding that distinguishes instability from laxity.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4.19.5-P1</w:t>
            </w:r>
          </w:p>
        </w:tc>
        <w:tc>
          <w:tcPr>
            <w:tcW w:type="dxa" w:w="706"/>
          </w:tcPr>
          <w:p>
            <w:r>
              <w:t>4.19.5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the age, the sport, how long the pain has been present, and whether it is worse during or after activity.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4.19.5-P2</w:t>
            </w:r>
          </w:p>
        </w:tc>
        <w:tc>
          <w:tcPr>
            <w:tcW w:type="dxa" w:w="706"/>
          </w:tcPr>
          <w:p>
            <w:r>
              <w:t>4.19.5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specifically about catching, locking and giving way, since those are the clinical markers of an unstable fragment.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4.19.5-P3</w:t>
            </w:r>
          </w:p>
        </w:tc>
        <w:tc>
          <w:tcPr>
            <w:tcW w:type="dxa" w:w="706"/>
          </w:tcPr>
          <w:p>
            <w:r>
              <w:t>4.19.5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effusion, because a recurrent effusion after sport is often the only objective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4.19.5-P4</w:t>
            </w:r>
          </w:p>
        </w:tc>
        <w:tc>
          <w:tcPr>
            <w:tcW w:type="dxa" w:w="706"/>
          </w:tcPr>
          <w:p>
            <w:r>
              <w:t>4.19.5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range and note any block or any pain at a particular angle.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4.19.5-P5</w:t>
            </w:r>
          </w:p>
        </w:tc>
        <w:tc>
          <w:tcPr>
            <w:tcW w:type="dxa" w:w="706"/>
          </w:tcPr>
          <w:p>
            <w:r>
              <w:t>4.19.5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gait, since a child with a condylar lesion may walk with the limb externally rotated.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4.19.5-P6</w:t>
            </w:r>
          </w:p>
        </w:tc>
        <w:tc>
          <w:tcPr>
            <w:tcW w:type="dxa" w:w="706"/>
          </w:tcPr>
          <w:p>
            <w:r>
              <w:t>4.19.5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other knee, because the lesion is bilateral in a proportion of cases.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4.19.6-P1</w:t>
            </w:r>
          </w:p>
        </w:tc>
        <w:tc>
          <w:tcPr>
            <w:tcW w:type="dxa" w:w="706"/>
          </w:tcPr>
          <w:p>
            <w:r>
              <w:t>4.19.6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what changed and when, because a shape that is improving behaves differently from one that is worsening.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4.19.6-P2</w:t>
            </w:r>
          </w:p>
        </w:tc>
        <w:tc>
          <w:tcPr>
            <w:tcW w:type="dxa" w:w="706"/>
          </w:tcPr>
          <w:p>
            <w:r>
              <w:t>4.19.6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alignment in both planes and whether it is symmetrical, since asymmetry is the finding that matters most.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4.19.6-P3</w:t>
            </w:r>
          </w:p>
        </w:tc>
        <w:tc>
          <w:tcPr>
            <w:tcW w:type="dxa" w:w="706"/>
          </w:tcPr>
          <w:p>
            <w:r>
              <w:t>4.19.6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rotational profile, since in toeing and out toeing are the common presenting complaints.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4.19.6-P4</w:t>
            </w:r>
          </w:p>
        </w:tc>
        <w:tc>
          <w:tcPr>
            <w:tcW w:type="dxa" w:w="706"/>
          </w:tcPr>
          <w:p>
            <w:r>
              <w:t>4.19.6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Measure the limb lengths, because a length difference alongside an angular shape suggests something other than a variant.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4.19.6-P5</w:t>
            </w:r>
          </w:p>
        </w:tc>
        <w:tc>
          <w:tcPr>
            <w:tcW w:type="dxa" w:w="706"/>
          </w:tcPr>
          <w:p>
            <w:r>
              <w:t>4.19.6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generalised laxity, since hyperextension and apparent instability are often part of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4.19.7-P1</w:t>
            </w:r>
          </w:p>
        </w:tc>
        <w:tc>
          <w:tcPr>
            <w:tcW w:type="dxa" w:w="706"/>
          </w:tcPr>
          <w:p>
            <w:r>
              <w:t>4.19.7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hip rotation with the patient prone and the knees flexed, comparing internal with external rotation.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4.19.7-P2</w:t>
            </w:r>
          </w:p>
        </w:tc>
        <w:tc>
          <w:tcPr>
            <w:tcW w:type="dxa" w:w="706"/>
          </w:tcPr>
          <w:p>
            <w:r>
              <w:t>4.19.7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thigh foot angle with the patient prone, which measures the tibial component.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4.19.7-P3</w:t>
            </w:r>
          </w:p>
        </w:tc>
        <w:tc>
          <w:tcPr>
            <w:tcW w:type="dxa" w:w="706"/>
          </w:tcPr>
          <w:p>
            <w:r>
              <w:t>4.19.7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coronal alignment separately, so the two planes are not confused.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4.19.7-P4</w:t>
            </w:r>
          </w:p>
        </w:tc>
        <w:tc>
          <w:tcPr>
            <w:tcW w:type="dxa" w:w="706"/>
          </w:tcPr>
          <w:p>
            <w:r>
              <w:t>4.19.7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the two limbs, because asymmetry changes the interpretation.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docs/review/packs/chapter-4.19.docx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