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3.17 Landmark Biomechanics Papers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3.17 Landmark Biomechanics Papers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landmark_papers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frcs, fellowship, consultant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13,689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93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3.17.1</w:t>
            </w:r>
          </w:p>
        </w:tc>
        <w:tc>
          <w:tcPr>
            <w:tcW w:type="dxa" w:w="4234"/>
          </w:tcPr>
          <w:p>
            <w:r>
              <w:t>ACL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1,488</w:t>
            </w:r>
          </w:p>
        </w:tc>
        <w:tc>
          <w:tcPr>
            <w:tcW w:type="dxa" w:w="6633"/>
          </w:tcPr>
          <w:p>
            <w:r>
              <w:t>biomechanics/acl-landmark-studies.html</w:t>
            </w:r>
          </w:p>
        </w:tc>
      </w:tr>
      <w:tr>
        <w:tc>
          <w:tcPr>
            <w:tcW w:type="dxa" w:w="1129"/>
          </w:tcPr>
          <w:p>
            <w:r>
              <w:t>3.17.2</w:t>
            </w:r>
          </w:p>
        </w:tc>
        <w:tc>
          <w:tcPr>
            <w:tcW w:type="dxa" w:w="4234"/>
          </w:tcPr>
          <w:p>
            <w:r>
              <w:t>PCL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1,385</w:t>
            </w:r>
          </w:p>
        </w:tc>
        <w:tc>
          <w:tcPr>
            <w:tcW w:type="dxa" w:w="6633"/>
          </w:tcPr>
          <w:p>
            <w:r>
              <w:t>biomechanics/pcl-landmark-studies.html</w:t>
            </w:r>
          </w:p>
        </w:tc>
      </w:tr>
      <w:tr>
        <w:tc>
          <w:tcPr>
            <w:tcW w:type="dxa" w:w="1129"/>
          </w:tcPr>
          <w:p>
            <w:r>
              <w:t>3.17.3</w:t>
            </w:r>
          </w:p>
        </w:tc>
        <w:tc>
          <w:tcPr>
            <w:tcW w:type="dxa" w:w="4234"/>
          </w:tcPr>
          <w:p>
            <w:r>
              <w:t>Meniscal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1,411</w:t>
            </w:r>
          </w:p>
        </w:tc>
        <w:tc>
          <w:tcPr>
            <w:tcW w:type="dxa" w:w="6633"/>
          </w:tcPr>
          <w:p>
            <w:r>
              <w:t>biomechanics/meniscal-landmark-studies.html</w:t>
            </w:r>
          </w:p>
        </w:tc>
      </w:tr>
      <w:tr>
        <w:tc>
          <w:tcPr>
            <w:tcW w:type="dxa" w:w="1129"/>
          </w:tcPr>
          <w:p>
            <w:r>
              <w:t>3.17.4</w:t>
            </w:r>
          </w:p>
        </w:tc>
        <w:tc>
          <w:tcPr>
            <w:tcW w:type="dxa" w:w="4234"/>
          </w:tcPr>
          <w:p>
            <w:r>
              <w:t>Medial Knee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1,286</w:t>
            </w:r>
          </w:p>
        </w:tc>
        <w:tc>
          <w:tcPr>
            <w:tcW w:type="dxa" w:w="6633"/>
          </w:tcPr>
          <w:p>
            <w:r>
              <w:t>biomechanics/medial-knee-landmark-studies.html</w:t>
            </w:r>
          </w:p>
        </w:tc>
      </w:tr>
      <w:tr>
        <w:tc>
          <w:tcPr>
            <w:tcW w:type="dxa" w:w="1129"/>
          </w:tcPr>
          <w:p>
            <w:r>
              <w:t>3.17.5</w:t>
            </w:r>
          </w:p>
        </w:tc>
        <w:tc>
          <w:tcPr>
            <w:tcW w:type="dxa" w:w="4234"/>
          </w:tcPr>
          <w:p>
            <w:r>
              <w:t>PLC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1,304</w:t>
            </w:r>
          </w:p>
        </w:tc>
        <w:tc>
          <w:tcPr>
            <w:tcW w:type="dxa" w:w="6633"/>
          </w:tcPr>
          <w:p>
            <w:r>
              <w:t>biomechanics/posterolateral-landmark-studies.html</w:t>
            </w:r>
          </w:p>
        </w:tc>
      </w:tr>
      <w:tr>
        <w:tc>
          <w:tcPr>
            <w:tcW w:type="dxa" w:w="1129"/>
          </w:tcPr>
          <w:p>
            <w:r>
              <w:t>3.17.6</w:t>
            </w:r>
          </w:p>
        </w:tc>
        <w:tc>
          <w:tcPr>
            <w:tcW w:type="dxa" w:w="4234"/>
          </w:tcPr>
          <w:p>
            <w:r>
              <w:t>Patellofemoral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1,379</w:t>
            </w:r>
          </w:p>
        </w:tc>
        <w:tc>
          <w:tcPr>
            <w:tcW w:type="dxa" w:w="6633"/>
          </w:tcPr>
          <w:p>
            <w:r>
              <w:t>biomechanics/patellofemoral-landmark-studies.html</w:t>
            </w:r>
          </w:p>
        </w:tc>
      </w:tr>
      <w:tr>
        <w:tc>
          <w:tcPr>
            <w:tcW w:type="dxa" w:w="1129"/>
          </w:tcPr>
          <w:p>
            <w:r>
              <w:t>3.17.7</w:t>
            </w:r>
          </w:p>
        </w:tc>
        <w:tc>
          <w:tcPr>
            <w:tcW w:type="dxa" w:w="4234"/>
          </w:tcPr>
          <w:p>
            <w:r>
              <w:t>Osteotomy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1,277</w:t>
            </w:r>
          </w:p>
        </w:tc>
        <w:tc>
          <w:tcPr>
            <w:tcW w:type="dxa" w:w="6633"/>
          </w:tcPr>
          <w:p>
            <w:r>
              <w:t>biomechanics/osteotomy-landmark-studies.html</w:t>
            </w:r>
          </w:p>
        </w:tc>
      </w:tr>
      <w:tr>
        <w:tc>
          <w:tcPr>
            <w:tcW w:type="dxa" w:w="1129"/>
          </w:tcPr>
          <w:p>
            <w:r>
              <w:t>3.17.8</w:t>
            </w:r>
          </w:p>
        </w:tc>
        <w:tc>
          <w:tcPr>
            <w:tcW w:type="dxa" w:w="4234"/>
          </w:tcPr>
          <w:p>
            <w:r>
              <w:t>Arthroplasty Landmark Studies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1,363</w:t>
            </w:r>
          </w:p>
        </w:tc>
        <w:tc>
          <w:tcPr>
            <w:tcW w:type="dxa" w:w="6633"/>
          </w:tcPr>
          <w:p>
            <w:r>
              <w:t>biomechanics/arthroplasty-landmark-studies.html</w:t>
            </w:r>
          </w:p>
        </w:tc>
      </w:tr>
      <w:tr>
        <w:tc>
          <w:tcPr>
            <w:tcW w:type="dxa" w:w="1129"/>
          </w:tcPr>
          <w:p>
            <w:r>
              <w:t>3.17.9</w:t>
            </w:r>
          </w:p>
        </w:tc>
        <w:tc>
          <w:tcPr>
            <w:tcW w:type="dxa" w:w="4234"/>
          </w:tcPr>
          <w:p>
            <w:r>
              <w:t>Imperial Knee Biomechanics Contributions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1,453</w:t>
            </w:r>
          </w:p>
        </w:tc>
        <w:tc>
          <w:tcPr>
            <w:tcW w:type="dxa" w:w="6633"/>
          </w:tcPr>
          <w:p>
            <w:r>
              <w:t>biomechanics/imperial-knee-biomechanics-contributions.html</w:t>
            </w:r>
          </w:p>
        </w:tc>
      </w:tr>
      <w:tr>
        <w:tc>
          <w:tcPr>
            <w:tcW w:type="dxa" w:w="1129"/>
          </w:tcPr>
          <w:p>
            <w:r>
              <w:t>3.17.10</w:t>
            </w:r>
          </w:p>
        </w:tc>
        <w:tc>
          <w:tcPr>
            <w:tcW w:type="dxa" w:w="4234"/>
          </w:tcPr>
          <w:p>
            <w:r>
              <w:t>Future Research Priorities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1,343</w:t>
            </w:r>
          </w:p>
        </w:tc>
        <w:tc>
          <w:tcPr>
            <w:tcW w:type="dxa" w:w="6633"/>
          </w:tcPr>
          <w:p>
            <w:r>
              <w:t>biomechanics/future-research-priorities.html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3.17.1 ACL Landmark Studies</w:t>
      </w:r>
    </w:p>
    <w:p>
      <w:pPr>
        <w:pStyle w:val="ListBullet"/>
      </w:pPr>
      <w:r>
        <w:t>The decision these studies inform is what a reconstruction should reproduce, and it is a balance rather than a rule.</w:t>
      </w:r>
    </w:p>
    <w:p>
      <w:pPr>
        <w:pStyle w:val="ListBullet"/>
      </w:pPr>
      <w:r>
        <w:t>Tunnel position has the strongest mechanical support and the weakest patient reported signal, which is the tension to weigh.</w:t>
      </w:r>
    </w:p>
    <w:p>
      <w:pPr>
        <w:pStyle w:val="ListBullet"/>
      </w:pPr>
      <w:r>
        <w:t>The five patient factors change the answer more than the laboratory evidence does.</w:t>
      </w:r>
    </w:p>
    <w:p>
      <w:pPr>
        <w:pStyle w:val="ListBullet"/>
      </w:pPr>
      <w:r>
        <w:t>Read contested work for its comparator, since that is usually where the disagreement sits.</w:t>
      </w:r>
    </w:p>
    <w:p>
      <w:pPr>
        <w:pStyle w:val="ListBullet"/>
      </w:pPr>
      <w:r>
        <w:t>The field's best evidence comes from specimens with no muscle, and teaching should say so.</w:t>
      </w:r>
    </w:p>
    <w:p>
      <w:pPr>
        <w:pStyle w:val="Heading2"/>
      </w:pPr>
      <w:r>
        <w:t>3.17.2 PCL Landmark Studies</w:t>
      </w:r>
    </w:p>
    <w:p>
      <w:pPr>
        <w:pStyle w:val="ListBullet"/>
      </w:pPr>
      <w:r>
        <w:t>Whether to operate on an isolated PCL injury is a balance the literature does not settle.</w:t>
      </w:r>
    </w:p>
    <w:p>
      <w:pPr>
        <w:pStyle w:val="ListBullet"/>
      </w:pPr>
      <w:r>
        <w:t>The mechanical case is strong, the natural history case is weak, and the two are often quoted as though they were one body of evidence.</w:t>
      </w:r>
    </w:p>
    <w:p>
      <w:pPr>
        <w:pStyle w:val="ListBullet"/>
      </w:pPr>
      <w:r>
        <w:t>The five patient factors carry more weight here than the laboratory findings.</w:t>
      </w:r>
    </w:p>
    <w:p>
      <w:pPr>
        <w:pStyle w:val="ListBullet"/>
      </w:pPr>
      <w:r>
        <w:t>Recognising a combined injury changes management more than any isolated PCL decision.</w:t>
      </w:r>
    </w:p>
    <w:p>
      <w:pPr>
        <w:pStyle w:val="ListBullet"/>
      </w:pPr>
      <w:r>
        <w:t>Teach improvement rather than restoration as the stated aim, because that is what the literature reports.</w:t>
      </w:r>
    </w:p>
    <w:p>
      <w:pPr>
        <w:pStyle w:val="Heading2"/>
      </w:pPr>
      <w:r>
        <w:t>3.17.3 Meniscal Landmark Studies</w:t>
      </w:r>
    </w:p>
    <w:p>
      <w:pPr>
        <w:pStyle w:val="ListBullet"/>
      </w:pPr>
      <w:r>
        <w:t>Whether to resect a fragment is a balance argument, and the mechanical evidence weighs against resection in every case where the symptom is not obstructive.</w:t>
      </w:r>
    </w:p>
    <w:p>
      <w:pPr>
        <w:pStyle w:val="ListBullet"/>
      </w:pPr>
      <w:r>
        <w:t>Every millimetre removed is permanent, which is the asymmetry that should shape the conversation.</w:t>
      </w:r>
    </w:p>
    <w:p>
      <w:pPr>
        <w:pStyle w:val="ListBullet"/>
      </w:pPr>
      <w:r>
        <w:t>The five patient factors decide most of these consultations.</w:t>
      </w:r>
    </w:p>
    <w:p>
      <w:pPr>
        <w:pStyle w:val="ListBullet"/>
      </w:pPr>
      <w:r>
        <w:t>The trials are a verdict on one procedure in one population, not on arthroscopy.</w:t>
      </w:r>
    </w:p>
    <w:p>
      <w:pPr>
        <w:pStyle w:val="ListBullet"/>
      </w:pPr>
      <w:r>
        <w:t>Mechanical and trial evidence agreed here and practice still lagged, which is the chapter's real lesson.</w:t>
      </w:r>
    </w:p>
    <w:p>
      <w:pPr>
        <w:pStyle w:val="Heading2"/>
      </w:pPr>
      <w:r>
        <w:t>3.17.4 Medial Knee Landmark Studies</w:t>
      </w:r>
    </w:p>
    <w:p>
      <w:pPr>
        <w:pStyle w:val="ListBullet"/>
      </w:pPr>
      <w:r>
        <w:t>What to do with a combined medial and cruciate injury is a balance the mechanical literature does not settle.</w:t>
      </w:r>
    </w:p>
    <w:p>
      <w:pPr>
        <w:pStyle w:val="ListBullet"/>
      </w:pPr>
      <w:r>
        <w:t>Healing capacity is the argument for waiting and it varies between patients more than the mechanics do.</w:t>
      </w:r>
    </w:p>
    <w:p>
      <w:pPr>
        <w:pStyle w:val="ListBullet"/>
      </w:pPr>
      <w:r>
        <w:t>The five patient factors are what separates the three defensible plans.</w:t>
      </w:r>
    </w:p>
    <w:p>
      <w:pPr>
        <w:pStyle w:val="ListBullet"/>
      </w:pPr>
      <w:r>
        <w:t>Rotation, not valgus, is where the management argument sits.</w:t>
      </w:r>
    </w:p>
    <w:p>
      <w:pPr>
        <w:pStyle w:val="ListBullet"/>
      </w:pPr>
      <w:r>
        <w:t>A strong mechanical hierarchy and an unsettled management question can coexist.</w:t>
      </w:r>
    </w:p>
    <w:p>
      <w:pPr>
        <w:pStyle w:val="Heading2"/>
      </w:pPr>
      <w:r>
        <w:t>3.17.5 PLC Landmark Studies</w:t>
      </w:r>
    </w:p>
    <w:p>
      <w:pPr>
        <w:pStyle w:val="ListBullet"/>
      </w:pPr>
      <w:r>
        <w:t>Whether to add a lateral procedure is the least settled balance in this chapter.</w:t>
      </w:r>
    </w:p>
    <w:p>
      <w:pPr>
        <w:pStyle w:val="ListBullet"/>
      </w:pPr>
      <w:r>
        <w:t>Rotational contribution argues for it and disputed anatomy with unknown long term constraint effects argues against.</w:t>
      </w:r>
    </w:p>
    <w:p>
      <w:pPr>
        <w:pStyle w:val="ListBullet"/>
      </w:pPr>
      <w:r>
        <w:t>The five patient factors, and rotational demand in particular, do most of the deciding.</w:t>
      </w:r>
    </w:p>
    <w:p>
      <w:pPr>
        <w:pStyle w:val="ListBullet"/>
      </w:pPr>
      <w:r>
        <w:t>Record the balance, because the evidence is moving and the record is what makes a decision reviewable.</w:t>
      </w:r>
    </w:p>
    <w:p>
      <w:pPr>
        <w:pStyle w:val="ListBullet"/>
      </w:pPr>
      <w:r>
        <w:t>Practice moved ahead of anatomy here, which is a pattern to recognise rather than condemn.</w:t>
      </w:r>
    </w:p>
    <w:p>
      <w:pPr>
        <w:pStyle w:val="Heading2"/>
      </w:pPr>
      <w:r>
        <w:t>3.17.6 Patellofemoral Landmark Studies</w:t>
      </w:r>
    </w:p>
    <w:p>
      <w:pPr>
        <w:pStyle w:val="ListBullet"/>
      </w:pPr>
      <w:r>
        <w:t>What to do for anterior knee pain with measured maltracking is a balance, not a rule.</w:t>
      </w:r>
    </w:p>
    <w:p>
      <w:pPr>
        <w:pStyle w:val="ListBullet"/>
      </w:pPr>
      <w:r>
        <w:t>A measured mechanical abnormality is not by itself an indication.</w:t>
      </w:r>
    </w:p>
    <w:p>
      <w:pPr>
        <w:pStyle w:val="ListBullet"/>
      </w:pPr>
      <w:r>
        <w:t>Psychological state carries unusual weight in this presentation and should be weighed as evidence rather than as courtesy.</w:t>
      </w:r>
    </w:p>
    <w:p>
      <w:pPr>
        <w:pStyle w:val="ListBullet"/>
      </w:pPr>
      <w:r>
        <w:t>How a maltracking finding is explained to a patient becomes part of their problem.</w:t>
      </w:r>
    </w:p>
    <w:p>
      <w:pPr>
        <w:pStyle w:val="ListBullet"/>
      </w:pPr>
      <w:r>
        <w:t>Instability predicts structurally; pain does not, and the two literatures should be read apart.</w:t>
      </w:r>
    </w:p>
    <w:p>
      <w:pPr>
        <w:pStyle w:val="Heading2"/>
      </w:pPr>
      <w:r>
        <w:t>3.17.7 Osteotomy Landmark Studies</w:t>
      </w:r>
    </w:p>
    <w:p>
      <w:pPr>
        <w:pStyle w:val="ListBullet"/>
      </w:pPr>
      <w:r>
        <w:t>Osteotomy against arthroplasty against waiting is a close balance in the younger patient.</w:t>
      </w:r>
    </w:p>
    <w:p>
      <w:pPr>
        <w:pStyle w:val="ListBullet"/>
      </w:pPr>
      <w:r>
        <w:t>Joint preservation and a sound rationale weigh against a long recovery and absent disease modification evidence.</w:t>
      </w:r>
    </w:p>
    <w:p>
      <w:pPr>
        <w:pStyle w:val="ListBullet"/>
      </w:pPr>
      <w:r>
        <w:t>The five patient factors, and tolerance of recovery in particular, decide most of these consultations.</w:t>
      </w:r>
    </w:p>
    <w:p>
      <w:pPr>
        <w:pStyle w:val="ListBullet"/>
      </w:pPr>
      <w:r>
        <w:t>A correct mechanical argument is not evidence that an operation works.</w:t>
      </w:r>
    </w:p>
    <w:p>
      <w:pPr>
        <w:pStyle w:val="ListBullet"/>
      </w:pPr>
      <w:r>
        <w:t>Absent evidence and negative evidence are different, and this chapter is where the difference matters.</w:t>
      </w:r>
    </w:p>
    <w:p>
      <w:pPr>
        <w:pStyle w:val="Heading2"/>
      </w:pPr>
      <w:r>
        <w:t>3.17.8 Arthroplasty Landmark Studies</w:t>
      </w:r>
    </w:p>
    <w:p>
      <w:pPr>
        <w:pStyle w:val="ListBullet"/>
      </w:pPr>
      <w:r>
        <w:t>Alignment strategy is a balance between long survival evidence and short functional evidence.</w:t>
      </w:r>
    </w:p>
    <w:p>
      <w:pPr>
        <w:pStyle w:val="ListBullet"/>
      </w:pPr>
      <w:r>
        <w:t>The kinematic case is strongest where the patient's demands are highest.</w:t>
      </w:r>
    </w:p>
    <w:p>
      <w:pPr>
        <w:pStyle w:val="ListBullet"/>
      </w:pPr>
      <w:r>
        <w:t>Expectation is the one factor here known to change the outcome being measured.</w:t>
      </w:r>
    </w:p>
    <w:p>
      <w:pPr>
        <w:pStyle w:val="ListBullet"/>
      </w:pPr>
      <w:r>
        <w:t>An operation can be reliable and mechanically unsuccessful at once, and both claims are supported.</w:t>
      </w:r>
    </w:p>
    <w:p>
      <w:pPr>
        <w:pStyle w:val="ListBullet"/>
      </w:pPr>
      <w:r>
        <w:t>The gap between kinematics and satisfaction is the field's live question, not an inconsistency.</w:t>
      </w:r>
    </w:p>
    <w:p>
      <w:pPr>
        <w:pStyle w:val="Heading2"/>
      </w:pPr>
      <w:r>
        <w:t>3.17.9 Imperial Knee Biomechanics Contributions</w:t>
      </w:r>
    </w:p>
    <w:p>
      <w:pPr>
        <w:pStyle w:val="ListBullet"/>
      </w:pPr>
      <w:r>
        <w:t>The decision here is about attribution rather than about a patient, and it is still a balance.</w:t>
      </w:r>
    </w:p>
    <w:p>
      <w:pPr>
        <w:pStyle w:val="ListBullet"/>
      </w:pPr>
      <w:r>
        <w:t>Publishing gathers useful standard teaching; holding avoids implying an institutional account of itself.</w:t>
      </w:r>
    </w:p>
    <w:p>
      <w:pPr>
        <w:pStyle w:val="ListBullet"/>
      </w:pPr>
      <w:r>
        <w:t>The discoverable flag being false is what makes publishing defensible, and it is weaker than review.</w:t>
      </w:r>
    </w:p>
    <w:p>
      <w:pPr>
        <w:pStyle w:val="ListBullet"/>
      </w:pPr>
      <w:r>
        <w:t>The limit is stated in the page body rather than only in the register, deliberately.</w:t>
      </w:r>
    </w:p>
    <w:p>
      <w:pPr>
        <w:pStyle w:val="ListBullet"/>
      </w:pPr>
      <w:r>
        <w:t>Whether the page should exist in this form is the group's call, and it is logged as open.</w:t>
      </w:r>
    </w:p>
    <w:p>
      <w:pPr>
        <w:pStyle w:val="Heading2"/>
      </w:pPr>
      <w:r>
        <w:t>3.17.10 Future Research Priorities</w:t>
      </w:r>
    </w:p>
    <w:p>
      <w:pPr>
        <w:pStyle w:val="ListBullet"/>
      </w:pPr>
      <w:r>
        <w:t>What to tell a patient when the evidence stops short of their question is itself a balance.</w:t>
      </w:r>
    </w:p>
    <w:p>
      <w:pPr>
        <w:pStyle w:val="ListBullet"/>
      </w:pPr>
      <w:r>
        <w:t>Plain uncertainty supports shared decisions; unstructured uncertainty damages them.</w:t>
      </w:r>
    </w:p>
    <w:p>
      <w:pPr>
        <w:pStyle w:val="ListBullet"/>
      </w:pPr>
      <w:r>
        <w:t>Elicit what the patient wants to know first, because it determines which uncertainty is worth raising.</w:t>
      </w:r>
    </w:p>
    <w:p>
      <w:pPr>
        <w:pStyle w:val="ListBullet"/>
      </w:pPr>
      <w:r>
        <w:t>This site's measurements are unchecked and its clinical directions unsigned, and both are listed so they can be worked rather than admired.</w:t>
      </w:r>
    </w:p>
    <w:p>
      <w:pPr>
        <w:pStyle w:val="ListBullet"/>
      </w:pPr>
      <w:r>
        <w:t>A page that lists what it does not know is more useful than one that does not.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3.17.2-F1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That dissociation is the mechanical basis of the dial test: rotation at thirty degrees and at ninety degrees separates an isolated posterolateral injury from a combined one.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3.17.2-F2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That dissociation is the mechanical basis of the dial test: rotation at thirty degrees and at ninety degrees separates an isolated posterolateral injury from a combined one.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3.17.5-F1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Comparing thirty degrees with ninety separates an isolated corner injury from a combined one, and the test exists because the sectioning work showed the pattern.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3.17.1-P1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method before the number on every one of these studies, because the method sets what the number can be used for.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3.17.1-P2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sectioning studies for attribution and the robotic studies for magnitude, and do not mix the two.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3.17.1-P3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in vivo strain work before giving a rehabilitation protocol, because the protocol is where that evidence actually applies.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3.17.1-P4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any single figure for ACL failure load as meaningless without the specimen age and the loading rate beside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3.17.1-P5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the rotational control question to stay open, and read new work on it for the control condition rather than for the conclusion.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3.17.1-P6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Factor in the patient's age and physiology, since the failure load work says the ligament being matched is not the same ligament at twenty and at fifty.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3.17.1-P7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Factor in comorbidities that change healing and rehabilitation tolerance.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3.17.1-P8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Factor in the demands they place on the knee, because a pivoting athlete and a cyclist are asking different things of the same construct.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3.17.1-P9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Factor in their psychological state, since fear of reinjury predicts return to sport more strongly than laxity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3.17.1-P10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those together rather than applying the laboratory finding directly, and record which way the balance fell and why.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3.17.1-P11</w:t>
            </w:r>
          </w:p>
        </w:tc>
        <w:tc>
          <w:tcPr>
            <w:tcW w:type="dxa" w:w="706"/>
          </w:tcPr>
          <w:p>
            <w:r>
              <w:t>3.17.1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contested literature for its control group, because the rotational control question has been answered differently by studies whose difference is in the comparator rather than in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3.17.2-P1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sectioning study's cutting order before its conclusion, because the order constrains what can be attributed.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3.17.2-P2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posterior translation figures with their flexion angle attached, and discard any quoted without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3.17.2-P3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the double bundle question as open and read new work for whether its comparator is a well done single bundle procedure.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3.17.2-P4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gait work alongside the cadaveric work, since it is the only evidence here about a knee that is alive and loaded.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3.17.2-P5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patient's age and physiology into account, because the degeneration argument has decades to act in a young patient and may not in an older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3.17.2-P6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their comorbidities into account, since this is a long and demanding rehabilitation.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3.17.2-P7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demands on their knee into account, because posterior instability declares itself on stairs and descending slopes rather than in a straight line.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3.17.2-P8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their psychological state into account, since a knee that feels unreliable produces guarding that outlasts the ligament.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3.17.2-P9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Record the balance and what tipped it, since the literature will not tip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3.17.2-P10</w:t>
            </w:r>
          </w:p>
        </w:tc>
        <w:tc>
          <w:tcPr>
            <w:tcW w:type="dxa" w:w="706"/>
          </w:tcPr>
          <w:p>
            <w:r>
              <w:t>3.17.2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combined injury literature first, because recognising the corner changes management more than any decision about the PCL itself.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3.17.3-P1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technique developed around the vascular boundary rather than around the tear pattern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3.17.3-P2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contact pressure figure for its direction and treat its absolute value as method dependent.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3.17.3-P3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Check what population a meniscectomy trial recruited before applying it, and say so when quoting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3.17.3-P4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root and extrusion literature as one subject, since a root tear that does not extrude and an extrusion without a root tear behave differently.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3.17.3-P5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Do not look for a safe resection threshold in this literature, because the relationship it describes is continuous.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3.17.3-P6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because the pressure argument has forty years to act in a thirty year old and ten in a seventy year old.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3.17.3-P7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comorbidities, since several of them change both the anaesthetic risk and the rehabilitation.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3.17.3-P8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demands on the knee, because a locked knee in a roofer and a clicking knee in a swimmer are different problems.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3.17.3-P9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their psychological state, since a patient convinced the knee is damaged beyond use will not rehabilitate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3.17.3-P10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And elicit their ideas, concerns and expectations directly, because the commonest expectation brought to this consultation is that a scan finding must be fixed.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3.17.3-P11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the balance to the patient in those terms and record which way it fell.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3.17.3-P12</w:t>
            </w:r>
          </w:p>
        </w:tc>
        <w:tc>
          <w:tcPr>
            <w:tcW w:type="dxa" w:w="706"/>
          </w:tcPr>
          <w:p>
            <w:r>
              <w:t>3.17.3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Fairbank's observation and the modern trials together, because the second is the first with a control group.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3.17.4-P1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Where it is contested: whether a grade three medial injury alongside an ACL tear should be reconstructed, braced, or left.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3.17.4-P2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medial sectioning study's dissection boundary before its attribution, since the boundary is a judgement rather than a given.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3.17.4-P3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quantified anatomical positions as targets with ranges rather than as fixed points.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3.17.4-P4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healing literature separately from the mechanical literature and do not let the strength of the second lend credibility to the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3.17.4-P5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rotation results only where the coordinate system is stated.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3.17.4-P6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patient's age and physiology into account, since healing capacity is the whole argument for waiting and it is not uniform.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3.17.4-P7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comorbidities into account, because stiffness after medial surgery is more likely in some of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3.17.4-P8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demands on the knee into account, since rotational demand is what residual medial laxity actually troubles.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3.17.4-P9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psychological state into account, because a staged plan requires a patient who can tolerate an interval of uncertainty.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3.17.4-P10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Decide on the balance, state it, and record what would change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3.17.4-P11</w:t>
            </w:r>
          </w:p>
        </w:tc>
        <w:tc>
          <w:tcPr>
            <w:tcW w:type="dxa" w:w="706"/>
          </w:tcPr>
          <w:p>
            <w:r>
              <w:t>3.17.4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rotation work before the valgus work, because rotation is where the management argument actually lives.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3.17.5-P1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posterolateral sectioning study for its cutting order and its applied torque before reading its numbers.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3.17.5-P2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Keep the anterolateral anatomy argument and the lateral augmentation indication argument separate when reading either.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3.17.5-P3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corner reconstruction results with the follow up duration in view, since the mechanical case is strong and the durability case is thin.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3.17.5-P4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external rotation figures as laboratory specific and the angle dependence as the transferable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3.17.5-P5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because adding constraint to a young knee commits it for decades.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3.17.5-P6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comorbidities that affect wound healing and stiffness on the lateral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3.17.5-P7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demands on the knee, since rotational demand is the entire reason to consider the addition.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3.17.5-P8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their psychological state, because a patient whose previous graft failed may want the most that can be done rather than the most that is supported.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3.17.5-P9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those and record the balance, because this is a decision that will look different in five years and the record is what makes that reviewable.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3.17.5-P10</w:t>
            </w:r>
          </w:p>
        </w:tc>
        <w:tc>
          <w:tcPr>
            <w:tcW w:type="dxa" w:w="706"/>
          </w:tcPr>
          <w:p>
            <w:r>
              <w:t>3.17.5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sectioning work first and the augmentation trials second, because the first is durable and the second is current.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3.17.6-P1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patellofemoral contact study for how the quadriceps was loaded, because a single line of pull limits what the result describes.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3.17.6-P2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Check the imaging protocol behind any threshold before applying it, since the same number means different things on different sequences and positions.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3.17.6-P3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pain literature as correlation and say so, rather than restating a correlation as a mechanism.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3.17.6-P4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instability and pain separately even when a paper treats them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3.17.6-P5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since skeletal maturity changes both the options and the natural history.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3.17.6-P6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comorbidities, including the widespread pain and sensitisation that frequently accompany this presentation.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3.17.6-P7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demands on the knee, because deep flexion loading is where this joint declares itself.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3.17.6-P8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their psychological state seriously here rather than as a formality, since anterior knee pain is the knee presentation where distress and symptom severity are most closely linked.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3.17.6-P9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instability literature for structural prediction and the pain literature for what it actually claims, which is less than it is usually quoted as claiming.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3.17.6-P10</w:t>
            </w:r>
          </w:p>
        </w:tc>
        <w:tc>
          <w:tcPr>
            <w:tcW w:type="dxa" w:w="706"/>
          </w:tcPr>
          <w:p>
            <w:r>
              <w:t>3.17.6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- Psychological state carries unusual weight in this presentation and should be weighed as evidence rather than as courtesy.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3.17.7-P1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Follow up in the survival studies is long, which is a genuine strength, and the cohorts are from eras with different indications and techniques, which limits what the survival figures transfer to.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3.17.7-P2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correction targets with the radiographic protocol and the laxity assessment attached.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3.17.7-P3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survival series as evidence about selected patients and techniques of their era.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3.17.7-P4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dynamic alignment work before planning in a knee with a thrust, since the static film will mislead.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3.17.7-P5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Do not quote the mechanical argument as though it were the clinical evidence.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3.17.7-P6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age and physiology, since this operation's whole case is that it buys time a younger patient needs.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3.17.7-P7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comorbidities, because union and rehabilitation both depend on them and smoking in particular changes the arithmetic.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3.17.7-P8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demands on the knee, since osteotomy suits a patient who intends to keep loading the joint hard and arthroplasty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3.17.7-P9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their psychological state and their tolerance of a long recovery, because this is the operation patients most often abandon partway through rehabilitation.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3.17.7-P10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the balance, and record what the alternative was and why it was not chosen.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3.17.7-P11</w:t>
            </w:r>
          </w:p>
        </w:tc>
        <w:tc>
          <w:tcPr>
            <w:tcW w:type="dxa" w:w="706"/>
          </w:tcPr>
          <w:p>
            <w:r>
              <w:t>3.17.7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long survival series for what they say about correction and the short trials for what they say about symptoms, and do not merge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3.17.8-P1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kinematic study for the activity it measured, since deep flexion and stair descent behave differently from level walking.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3.17.8-P2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revision as an endpoint that includes surgeon decision making, not as a pure measure of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3.17.8-P3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Check which satisfaction instrument a study used before comparing its proportion with another study's.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3.17.8-P4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the alignment argument as a difference in evidence type rather than as a difference in evidence quality.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3.17.8-P5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Arguing for mechanical alignment: the survival evidence is long, large and consistent, and a target that has produced reliable implant survival for decades should not be abandoned for a short term functional signal.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3.17.8-P6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age and physiology into account, because a thirty year implant horizon weighs survival far more heavily than a fifteen year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3.17.8-P7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comorbidities into account, since several of them change both revision risk and the value of early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3.17.8-P8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 demands on the knee into account, because the functional argument is strongest in a patient who kneels, squats or works.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3.17.8-P9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their psychological state and expectations into account, since dissatisfaction tracks expectation more closely than it tracks radiographs.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3.17.8-P10</w:t>
            </w:r>
          </w:p>
        </w:tc>
        <w:tc>
          <w:tcPr>
            <w:tcW w:type="dxa" w:w="706"/>
          </w:tcPr>
          <w:p>
            <w:r>
              <w:t>3.17.8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the kinematic literature and the satisfaction literature together, because the gap between them is the field's live question rather than an inconsistency to explain away.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3.17.9-P1</w:t>
            </w:r>
          </w:p>
        </w:tc>
        <w:tc>
          <w:tcPr>
            <w:tcW w:type="dxa" w:w="706"/>
          </w:tcPr>
          <w:p>
            <w:r>
              <w:t>3.17.9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this page as the least reliable in the chapter and read the other nine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3.17.9-P2</w:t>
            </w:r>
          </w:p>
        </w:tc>
        <w:tc>
          <w:tcPr>
            <w:tcW w:type="dxa" w:w="706"/>
          </w:tcPr>
          <w:p>
            <w:r>
              <w:t>3.17.9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Do not quote this page as a description of the group's research programme, because it is not one and does not claim to be.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3.17.10-P1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new biomechanical study by asking which of these seven gaps it narrows, since most narrow none.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3.17.10-P2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a cohort recruited at presentation as unable to answer a natural history question, however large it 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3.17.10-P3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age and physiology, because the time horizon changes which uncertainties matter.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3.17.10-P4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comorbidities, since these narrow the options uncertainty applies to.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3.17.10-P5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 demands on their knee, because that is what makes one gap relevant and another academic.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3.17.10-P6</w:t>
            </w:r>
          </w:p>
        </w:tc>
        <w:tc>
          <w:tcPr>
            <w:tcW w:type="dxa" w:w="706"/>
          </w:tcPr>
          <w:p>
            <w:r>
              <w:t>3.17.10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their psychological state, since tolerance of uncertainty varies more between patients than almost anything else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docs/review/packs/chapter-3.17.docx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