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KneeSchool Master Playbook v1</w:t>
      </w:r>
    </w:p>
    <w:p>
      <w:r>
        <w:t>Comprehensive strategic playbook created from the planning discussions prior to the academy architecture.</w:t>
      </w:r>
    </w:p>
    <w:p>
      <w:pPr>
        <w:pStyle w:val="Heading1"/>
      </w:pPr>
      <w:r>
        <w:t>Executive Vision</w:t>
      </w:r>
    </w:p>
    <w:p>
      <w:r>
        <w:t>KneeSchool will be a global digital university dedicated entirely to knee health. It will combine patient education, medical education, imaging, surgery, rehabilitation, performance science and research into a single ecosystem. The platform will support Sportshealing clinical services and OmKneeHealth products through education-led engagement.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Target Audiences</w:t>
      </w:r>
    </w:p>
    <w:p>
      <w:r>
        <w:t>Patients, athletes, parents, coaches, medical students, physiotherapists, MRCS trainees, FRCS candidates, fellows, consultants, researchers and industry partners.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Brand Positioning</w:t>
      </w:r>
    </w:p>
    <w:p>
      <w:r>
        <w:t>The definitive source of knee knowledge worldwide. Premium, evidence-based, academically rigorous, clinically practical and visually engaging.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Educational Architecture</w:t>
      </w:r>
    </w:p>
    <w:p>
      <w:r>
        <w:t>Five learning tiers: Patient, Undergraduate, MRCS, FRCS, Fellowship. Each page should be layered so users can progressively deepen knowledge.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Website Design</w:t>
      </w:r>
    </w:p>
    <w:p>
      <w:r>
        <w:t>Dark premium theme, elegant typography, interactive diagrams, learning pathways, search-first architecture, personalised dashboards and progress tracking.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Content Production Workflow</w:t>
      </w:r>
    </w:p>
    <w:p>
      <w:r>
        <w:t>Define topic. Gather sources. Upload literature. Generate AI draft. Perform fact check. Consultant review. SEO optimisation. Publish. Annual review.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Assistant SOP</w:t>
      </w:r>
    </w:p>
    <w:p>
      <w:r>
        <w:t>Catalogue references, maintain source library, prepare AI prompts, generate first drafts, verify citations, perform quality assurance, escalate clinical uncertainties.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AI Prompt Framework</w:t>
      </w:r>
    </w:p>
    <w:p>
      <w:r>
        <w:t>Use structured prompts requiring anatomy, biomechanics, epidemiology, diagnosis, imaging, treatment, controversies, references and learning points.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Quality Assurance</w:t>
      </w:r>
    </w:p>
    <w:p>
      <w:r>
        <w:t>Medical accuracy review, evidence verification, plagiarism check, readability assessment, SEO review, final consultant sign-off.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Source Library</w:t>
      </w:r>
    </w:p>
    <w:p>
      <w:r>
        <w:t>Textbooks, landmark papers, BASK, ESSKA, ISAKOS, JBJS, AJSM, KSSTA, Bone &amp; Joint Journal, imaging atlases, rehabilitation protocols and Sportshealing research.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Commercial Model</w:t>
      </w:r>
    </w:p>
    <w:p>
      <w:r>
        <w:t>Freemium content, subscriptions, certification programmes, CPD, fellowship preparation, conference content, sponsorship, Sportshealing referrals and OmKneeHealth integration.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Membership Structure</w:t>
      </w:r>
    </w:p>
    <w:p>
      <w:r>
        <w:t>Free, Professional, Fellowship and Institutional tiers.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Certification Strategy</w:t>
      </w:r>
    </w:p>
    <w:p>
      <w:r>
        <w:t>Knee Foundations Certificate, Knee Imaging Certificate, Knee Rehabilitation Certificate, Sports Knee Diploma and Fellowship Pathway.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Technology Stack</w:t>
      </w:r>
    </w:p>
    <w:p>
      <w:r>
        <w:t>CMS, AI-assisted content generation, video hosting, LMS, CRM, analytics, adaptive question bank and certification engine.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SEO Strategy</w:t>
      </w:r>
    </w:p>
    <w:p>
      <w:r>
        <w:t>Own search intent around knee anatomy, ACL, meniscus, MRI, rehabilitation, osteoarthritis, women’s knee health and paediatric knee conditions.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Video Strategy</w:t>
      </w:r>
    </w:p>
    <w:p>
      <w:r>
        <w:t>Short-form educational clips, masterclasses, surgical videos, imaging tutorials, podcasts and conference recordings.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Research Strategy</w:t>
      </w:r>
    </w:p>
    <w:p>
      <w:r>
        <w:t>Research hubs, landmark papers, methodology academy, journal clubs and academic career guidance.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Sportshealing Integration</w:t>
      </w:r>
    </w:p>
    <w:p>
      <w:r>
        <w:t>Consultation pathways, imaging services, surgery pathways, rehabilitation programmes and outcome tracking.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OmKneeHealth Integration</w:t>
      </w:r>
    </w:p>
    <w:p>
      <w:r>
        <w:t>Evidence-based supplement education, recovery pathways, bone and joint health programmes and longevity content.</w:t>
      </w:r>
    </w:p>
    <w:p>
      <w:r>
        <w:t>Detailed operational notes, workflows, standards and implementation guidance should be expanded under this heading during project execution.</w:t>
      </w:r>
    </w:p>
    <w:p>
      <w:pPr>
        <w:pStyle w:val="Heading1"/>
      </w:pPr>
      <w:r>
        <w:t>Development Roadmap</w:t>
      </w:r>
    </w:p>
    <w:p>
      <w:r>
        <w:t>Phase 1 planning. Phase 2 source acquisition. Phase 3 content generation. Phase 4 QA. Phase 5 launch. Phase 6 certification. Phase 7 international expansion.</w:t>
      </w:r>
    </w:p>
    <w:p>
      <w:r>
        <w:t>Detailed operational notes, workflows, standards and implementation guidance should be expanded under this heading during project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