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Consultant review pack</w:t>
      </w:r>
    </w:p>
    <w:p>
      <w:r>
        <w:rPr>
          <w:b/>
          <w:sz w:val="26"/>
        </w:rPr>
        <w:t>Chapter 4.1 Introduction to Knee Examination</w:t>
      </w:r>
    </w:p>
    <w:p>
      <w:r>
        <w:t>Generated from the pages themselves by tools/review_pack.py. Fill the Decision column and your name; every other cell is rewritten when the pack is regenerated.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234"/>
            <w:shd w:val="clear" w:fill="16382D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9878"/>
            <w:shd w:val="clear" w:fill="16382D"/>
          </w:tcPr>
          <w:p>
            <w:r/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234"/>
          </w:tcPr>
          <w:p>
            <w:r>
              <w:t>Section</w:t>
            </w:r>
          </w:p>
        </w:tc>
        <w:tc>
          <w:tcPr>
            <w:tcW w:type="dxa" w:w="9878"/>
          </w:tcPr>
          <w:p>
            <w:r>
              <w:t>4</w:t>
            </w:r>
          </w:p>
        </w:tc>
      </w:tr>
      <w:tr>
        <w:tc>
          <w:tcPr>
            <w:tcW w:type="dxa" w:w="4234"/>
          </w:tcPr>
          <w:p>
            <w:r>
              <w:t>Chapter</w:t>
            </w:r>
          </w:p>
        </w:tc>
        <w:tc>
          <w:tcPr>
            <w:tcW w:type="dxa" w:w="9878"/>
          </w:tcPr>
          <w:p>
            <w:r>
              <w:t>4.1 Introduction to Knee Examination</w:t>
            </w:r>
          </w:p>
        </w:tc>
      </w:tr>
      <w:tr>
        <w:tc>
          <w:tcPr>
            <w:tcW w:type="dxa" w:w="4234"/>
          </w:tcPr>
          <w:p>
            <w:r>
              <w:t>Pages</w:t>
            </w:r>
          </w:p>
        </w:tc>
        <w:tc>
          <w:tcPr>
            <w:tcW w:type="dxa" w:w="9878"/>
          </w:tcPr>
          <w:p>
            <w:r>
              <w:t>8</w:t>
            </w:r>
          </w:p>
        </w:tc>
      </w:tr>
      <w:tr>
        <w:tc>
          <w:tcPr>
            <w:tcW w:type="dxa" w:w="4234"/>
          </w:tcPr>
          <w:p>
            <w:r>
              <w:t>Page type</w:t>
            </w:r>
          </w:p>
        </w:tc>
        <w:tc>
          <w:tcPr>
            <w:tcW w:type="dxa" w:w="9878"/>
          </w:tcPr>
          <w:p>
            <w:r>
              <w:t>examination</w:t>
            </w:r>
          </w:p>
        </w:tc>
      </w:tr>
      <w:tr>
        <w:tc>
          <w:tcPr>
            <w:tcW w:type="dxa" w:w="4234"/>
          </w:tcPr>
          <w:p>
            <w:r>
              <w:t>Tiers</w:t>
            </w:r>
          </w:p>
        </w:tc>
        <w:tc>
          <w:tcPr>
            <w:tcW w:type="dxa" w:w="9878"/>
          </w:tcPr>
          <w:p>
            <w:r>
              <w:t>medical student, mrcs, frcs, fellowship</w:t>
            </w:r>
          </w:p>
        </w:tc>
      </w:tr>
      <w:tr>
        <w:tc>
          <w:tcPr>
            <w:tcW w:type="dxa" w:w="4234"/>
          </w:tcPr>
          <w:p>
            <w:r>
              <w:t>Words</w:t>
            </w:r>
          </w:p>
        </w:tc>
        <w:tc>
          <w:tcPr>
            <w:tcW w:type="dxa" w:w="9878"/>
          </w:tcPr>
          <w:p>
            <w:r>
              <w:t>9,927</w:t>
            </w:r>
          </w:p>
        </w:tc>
      </w:tr>
      <w:tr>
        <w:tc>
          <w:tcPr>
            <w:tcW w:type="dxa" w:w="4234"/>
          </w:tcPr>
          <w:p>
            <w:r>
              <w:t>Style gate</w:t>
            </w:r>
          </w:p>
        </w:tc>
        <w:tc>
          <w:tcPr>
            <w:tcW w:type="dxa" w:w="9878"/>
          </w:tcPr>
          <w:p>
            <w:r>
              <w:t>all pages pass, 0 warnings</w:t>
            </w:r>
          </w:p>
        </w:tc>
      </w:tr>
      <w:tr>
        <w:tc>
          <w:tcPr>
            <w:tcW w:type="dxa" w:w="4234"/>
          </w:tcPr>
          <w:p>
            <w:r>
              <w:t>Evidence verification</w:t>
            </w:r>
          </w:p>
        </w:tc>
        <w:tc>
          <w:tcPr>
            <w:tcW w:type="dxa" w:w="9878"/>
          </w:tcPr>
          <w:p>
            <w:r>
              <w:t>did not run on any page</w:t>
            </w:r>
          </w:p>
        </w:tc>
      </w:tr>
      <w:tr>
        <w:tc>
          <w:tcPr>
            <w:tcW w:type="dxa" w:w="4234"/>
          </w:tcPr>
          <w:p>
            <w:r>
              <w:t>Measurements to check</w:t>
            </w:r>
          </w:p>
        </w:tc>
        <w:tc>
          <w:tcPr>
            <w:tcW w:type="dxa" w:w="9878"/>
          </w:tcPr>
          <w:p>
            <w:r>
              <w:t>0</w:t>
            </w:r>
          </w:p>
        </w:tc>
      </w:tr>
      <w:tr>
        <w:tc>
          <w:tcPr>
            <w:tcW w:type="dxa" w:w="4234"/>
          </w:tcPr>
          <w:p>
            <w:r>
              <w:t>Recommendations to sign</w:t>
            </w:r>
          </w:p>
        </w:tc>
        <w:tc>
          <w:tcPr>
            <w:tcW w:type="dxa" w:w="9878"/>
          </w:tcPr>
          <w:p>
            <w:r>
              <w:t>12</w:t>
            </w:r>
          </w:p>
        </w:tc>
      </w:tr>
    </w:tbl>
    <w:p/>
    <w:p>
      <w:pPr>
        <w:pStyle w:val="Heading1"/>
      </w:pPr>
      <w:r>
        <w:t>What has not happened</w:t>
      </w:r>
    </w:p>
    <w:p>
      <w:r>
        <w:t>No source was retrieved for any page in this chapter. The build environment has no access to PubMed, Cochrane, a journal or a textbook, so the pipeline's fact checking stage could not run. Every page carries NOT_RUN_TOOLS_UNAVAILABLE in its verified handoff.</w:t>
      </w:r>
    </w:p>
    <w:p>
      <w:r>
        <w:t>This pack therefore stands in for the verification stage as well as for the review stage. A claim here has been checked by nobody.</w:t>
      </w:r>
    </w:p>
    <w:p>
      <w:pPr>
        <w:pStyle w:val="Heading1"/>
      </w:pPr>
      <w:r>
        <w:t>The pages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1129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4234"/>
            <w:shd w:val="clear" w:fill="16382D"/>
          </w:tcPr>
          <w:p>
            <w:r/>
            <w:r>
              <w:rPr>
                <w:b/>
                <w:color w:val="FFFFFF"/>
              </w:rPr>
              <w:t>Title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Tiers</w:t>
            </w:r>
          </w:p>
        </w:tc>
        <w:tc>
          <w:tcPr>
            <w:tcW w:type="dxa" w:w="1129"/>
            <w:shd w:val="clear" w:fill="16382D"/>
          </w:tcPr>
          <w:p>
            <w:r/>
            <w:r>
              <w:rPr>
                <w:b/>
                <w:color w:val="FFFFFF"/>
              </w:rPr>
              <w:t>Words</w:t>
            </w:r>
          </w:p>
        </w:tc>
        <w:tc>
          <w:tcPr>
            <w:tcW w:type="dxa" w:w="6633"/>
            <w:shd w:val="clear" w:fill="16382D"/>
          </w:tcPr>
          <w:p>
            <w:r/>
            <w:r>
              <w:rPr>
                <w:b/>
                <w:color w:val="FFFFFF"/>
              </w:rPr>
              <w:t>Published as</w:t>
            </w:r>
          </w:p>
        </w:tc>
      </w:tr>
      <w:tr>
        <w:tc>
          <w:tcPr>
            <w:tcW w:type="dxa" w:w="1129"/>
          </w:tcPr>
          <w:p>
            <w:r>
              <w:t>4.1.1</w:t>
            </w:r>
          </w:p>
        </w:tc>
        <w:tc>
          <w:tcPr>
            <w:tcW w:type="dxa" w:w="4234"/>
          </w:tcPr>
          <w:p>
            <w:r>
              <w:t>Why Clinical Examination Matters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1,269</w:t>
            </w:r>
          </w:p>
        </w:tc>
        <w:tc>
          <w:tcPr>
            <w:tcW w:type="dxa" w:w="6633"/>
          </w:tcPr>
          <w:p>
            <w:r>
              <w:t>examination/why-clinical-examination-matters.html</w:t>
            </w:r>
          </w:p>
        </w:tc>
      </w:tr>
      <w:tr>
        <w:tc>
          <w:tcPr>
            <w:tcW w:type="dxa" w:w="1129"/>
          </w:tcPr>
          <w:p>
            <w:r>
              <w:t>4.1.2</w:t>
            </w:r>
          </w:p>
        </w:tc>
        <w:tc>
          <w:tcPr>
            <w:tcW w:type="dxa" w:w="4234"/>
          </w:tcPr>
          <w:p>
            <w:r>
              <w:t>Principles of Knee Assessment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1,184</w:t>
            </w:r>
          </w:p>
        </w:tc>
        <w:tc>
          <w:tcPr>
            <w:tcW w:type="dxa" w:w="6633"/>
          </w:tcPr>
          <w:p>
            <w:r>
              <w:t>examination/principles-of-knee-assessment.html</w:t>
            </w:r>
          </w:p>
        </w:tc>
      </w:tr>
      <w:tr>
        <w:tc>
          <w:tcPr>
            <w:tcW w:type="dxa" w:w="1129"/>
          </w:tcPr>
          <w:p>
            <w:r>
              <w:t>4.1.3</w:t>
            </w:r>
          </w:p>
        </w:tc>
        <w:tc>
          <w:tcPr>
            <w:tcW w:type="dxa" w:w="4234"/>
          </w:tcPr>
          <w:p>
            <w:r>
              <w:t>History Versus Imaging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1,160</w:t>
            </w:r>
          </w:p>
        </w:tc>
        <w:tc>
          <w:tcPr>
            <w:tcW w:type="dxa" w:w="6633"/>
          </w:tcPr>
          <w:p>
            <w:r>
              <w:t>examination/history-versus-imaging.html</w:t>
            </w:r>
          </w:p>
        </w:tc>
      </w:tr>
      <w:tr>
        <w:tc>
          <w:tcPr>
            <w:tcW w:type="dxa" w:w="1129"/>
          </w:tcPr>
          <w:p>
            <w:r>
              <w:t>4.1.4</w:t>
            </w:r>
          </w:p>
        </w:tc>
        <w:tc>
          <w:tcPr>
            <w:tcW w:type="dxa" w:w="4234"/>
          </w:tcPr>
          <w:p>
            <w:r>
              <w:t>Structured Examination Approach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1,295</w:t>
            </w:r>
          </w:p>
        </w:tc>
        <w:tc>
          <w:tcPr>
            <w:tcW w:type="dxa" w:w="6633"/>
          </w:tcPr>
          <w:p>
            <w:r>
              <w:t>examination/structured-examination-approach.html</w:t>
            </w:r>
          </w:p>
        </w:tc>
      </w:tr>
      <w:tr>
        <w:tc>
          <w:tcPr>
            <w:tcW w:type="dxa" w:w="1129"/>
          </w:tcPr>
          <w:p>
            <w:r>
              <w:t>4.1.5</w:t>
            </w:r>
          </w:p>
        </w:tc>
        <w:tc>
          <w:tcPr>
            <w:tcW w:type="dxa" w:w="4234"/>
          </w:tcPr>
          <w:p>
            <w:r>
              <w:t>Common Examination Pitfalls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1,386</w:t>
            </w:r>
          </w:p>
        </w:tc>
        <w:tc>
          <w:tcPr>
            <w:tcW w:type="dxa" w:w="6633"/>
          </w:tcPr>
          <w:p>
            <w:r>
              <w:t>examination/common-examination-pitfalls.html</w:t>
            </w:r>
          </w:p>
        </w:tc>
      </w:tr>
      <w:tr>
        <w:tc>
          <w:tcPr>
            <w:tcW w:type="dxa" w:w="1129"/>
          </w:tcPr>
          <w:p>
            <w:r>
              <w:t>4.1.6</w:t>
            </w:r>
          </w:p>
        </w:tc>
        <w:tc>
          <w:tcPr>
            <w:tcW w:type="dxa" w:w="4234"/>
          </w:tcPr>
          <w:p>
            <w:r>
              <w:t>Examination in the Era of MRI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1,118</w:t>
            </w:r>
          </w:p>
        </w:tc>
        <w:tc>
          <w:tcPr>
            <w:tcW w:type="dxa" w:w="6633"/>
          </w:tcPr>
          <w:p>
            <w:r>
              <w:t>examination/examination-in-the-era-of-mri.html</w:t>
            </w:r>
          </w:p>
        </w:tc>
      </w:tr>
      <w:tr>
        <w:tc>
          <w:tcPr>
            <w:tcW w:type="dxa" w:w="1129"/>
          </w:tcPr>
          <w:p>
            <w:r>
              <w:t>4.1.7</w:t>
            </w:r>
          </w:p>
        </w:tc>
        <w:tc>
          <w:tcPr>
            <w:tcW w:type="dxa" w:w="4234"/>
          </w:tcPr>
          <w:p>
            <w:r>
              <w:t>Examination for Different Audiences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1,199</w:t>
            </w:r>
          </w:p>
        </w:tc>
        <w:tc>
          <w:tcPr>
            <w:tcW w:type="dxa" w:w="6633"/>
          </w:tcPr>
          <w:p>
            <w:r>
              <w:t>examination/examination-for-different-audiences.html</w:t>
            </w:r>
          </w:p>
        </w:tc>
      </w:tr>
      <w:tr>
        <w:tc>
          <w:tcPr>
            <w:tcW w:type="dxa" w:w="1129"/>
          </w:tcPr>
          <w:p>
            <w:r>
              <w:t>4.1.8</w:t>
            </w:r>
          </w:p>
        </w:tc>
        <w:tc>
          <w:tcPr>
            <w:tcW w:type="dxa" w:w="4234"/>
          </w:tcPr>
          <w:p>
            <w:r>
              <w:t>Examination Documentation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1,316</w:t>
            </w:r>
          </w:p>
        </w:tc>
        <w:tc>
          <w:tcPr>
            <w:tcW w:type="dxa" w:w="6633"/>
          </w:tcPr>
          <w:p>
            <w:r>
              <w:t>examination/examination-documentation.html</w:t>
            </w:r>
          </w:p>
        </w:tc>
      </w:tr>
    </w:tbl>
    <w:p/>
    <w:p>
      <w:pPr>
        <w:pStyle w:val="Heading1"/>
      </w:pPr>
      <w:r>
        <w:t>Claims to confirm</w:t>
      </w:r>
    </w:p>
    <w:p>
      <w:r>
        <w:t>The deepest tier's key learning points on each page, which are the chapter's substantive claims. Every other statement in the body needs the same check; these are where to start.</w:t>
      </w:r>
    </w:p>
    <w:p>
      <w:pPr>
        <w:pStyle w:val="Heading2"/>
      </w:pPr>
      <w:r>
        <w:t>4.1.1 Why Clinical Examination Matters</w:t>
      </w:r>
    </w:p>
    <w:p>
      <w:pPr>
        <w:pStyle w:val="ListBullet"/>
      </w:pPr>
      <w:r>
        <w:t>A revision assessment is an examination problem, because the images are full of the previous operation.</w:t>
      </w:r>
    </w:p>
    <w:p>
      <w:pPr>
        <w:pStyle w:val="ListBullet"/>
      </w:pPr>
      <w:r>
        <w:t>Rotational laxity is missed when only anterior translation is tested.</w:t>
      </w:r>
    </w:p>
    <w:p>
      <w:pPr>
        <w:pStyle w:val="ListBullet"/>
      </w:pPr>
      <w:r>
        <w:t>A posterolateral injury is missed when the dial test is done at one flexion angle.</w:t>
      </w:r>
    </w:p>
    <w:p>
      <w:pPr>
        <w:pStyle w:val="ListBullet"/>
      </w:pPr>
      <w:r>
        <w:t>These are failures of completeness rather than of technique, which is why the sequence matters.</w:t>
      </w:r>
    </w:p>
    <w:p>
      <w:pPr>
        <w:pStyle w:val="ListBullet"/>
      </w:pPr>
      <w:r>
        <w:t>Examination under anaesthetic is the most informative laxity assessment and costs an anaesthetic to obtain.</w:t>
      </w:r>
    </w:p>
    <w:p>
      <w:pPr>
        <w:pStyle w:val="Heading2"/>
      </w:pPr>
      <w:r>
        <w:t>4.1.2 Principles of Knee Assessment</w:t>
      </w:r>
    </w:p>
    <w:p>
      <w:pPr>
        <w:pStyle w:val="ListBullet"/>
      </w:pPr>
      <w:r>
        <w:t>In a multiligament knee each test loads an unknown combination of failed structures.</w:t>
      </w:r>
    </w:p>
    <w:p>
      <w:pPr>
        <w:pStyle w:val="ListBullet"/>
      </w:pPr>
      <w:r>
        <w:t>Record what the knee does rather than what you think is torn, because the attribution can be revised and the finding cannot be redone.</w:t>
      </w:r>
    </w:p>
    <w:p>
      <w:pPr>
        <w:pStyle w:val="ListBullet"/>
      </w:pPr>
      <w:r>
        <w:t>Generalised laxity makes every comparison in this section unreliable, side to side included.</w:t>
      </w:r>
    </w:p>
    <w:p>
      <w:pPr>
        <w:pStyle w:val="ListBullet"/>
      </w:pPr>
      <w:r>
        <w:t>In both cases the examination's job moves from diagnosis to documentation.</w:t>
      </w:r>
    </w:p>
    <w:p>
      <w:pPr>
        <w:pStyle w:val="Heading2"/>
      </w:pPr>
      <w:r>
        <w:t>4.1.3 History Versus Imaging</w:t>
      </w:r>
    </w:p>
    <w:p>
      <w:pPr>
        <w:pStyle w:val="ListBullet"/>
      </w:pPr>
      <w:r>
        <w:t>When all three disagree, weighting imaging because it is concrete is wrong more often than right.</w:t>
      </w:r>
    </w:p>
    <w:p>
      <w:pPr>
        <w:pStyle w:val="ListBullet"/>
      </w:pPr>
      <w:r>
        <w:t>Predict from history and examination before reviewing images, so a disagreement is a finding rather than a correction.</w:t>
      </w:r>
    </w:p>
    <w:p>
      <w:pPr>
        <w:pStyle w:val="ListBullet"/>
      </w:pPr>
      <w:r>
        <w:t>In revision assessment the previous operation guarantees abnormal imaging.</w:t>
      </w:r>
    </w:p>
    <w:p>
      <w:pPr>
        <w:pStyle w:val="ListBullet"/>
      </w:pPr>
      <w:r>
        <w:t>None of this is measurable, and nothing on this page is cited.</w:t>
      </w:r>
    </w:p>
    <w:p>
      <w:pPr>
        <w:pStyle w:val="Heading2"/>
      </w:pPr>
      <w:r>
        <w:t>4.1.4 Structured Examination Approach</w:t>
      </w:r>
    </w:p>
    <w:p>
      <w:pPr>
        <w:pStyle w:val="ListBullet"/>
      </w:pPr>
      <w:r>
        <w:t>In referred practice the examination checks a previous one rather than performing a first.</w:t>
      </w:r>
    </w:p>
    <w:p>
      <w:pPr>
        <w:pStyle w:val="ListBullet"/>
      </w:pPr>
      <w:r>
        <w:t>Do the parts most likely skipped: rotation at two angles, the hip, and the other knee.</w:t>
      </w:r>
    </w:p>
    <w:p>
      <w:pPr>
        <w:pStyle w:val="ListBullet"/>
      </w:pPr>
      <w:r>
        <w:t>Examination under anaesthetic is a different instrument, not a more careful version.</w:t>
      </w:r>
    </w:p>
    <w:p>
      <w:pPr>
        <w:pStyle w:val="ListBullet"/>
      </w:pPr>
      <w:r>
        <w:t>Whether the answer is worth an anaesthetic is a judgement the structure does not contain.</w:t>
      </w:r>
    </w:p>
    <w:p>
      <w:pPr>
        <w:pStyle w:val="Heading2"/>
      </w:pPr>
      <w:r>
        <w:t>4.1.5 Common Examination Pitfalls</w:t>
      </w:r>
    </w:p>
    <w:p>
      <w:pPr>
        <w:pStyle w:val="ListBullet"/>
      </w:pPr>
      <w:r>
        <w:t>In referred practice the pitfalls are inherited, and the skill is recognising which one.</w:t>
      </w:r>
    </w:p>
    <w:p>
      <w:pPr>
        <w:pStyle w:val="ListBullet"/>
      </w:pPr>
      <w:r>
        <w:t>Persistent rotational complaints after a well placed graft usually mean rotation was never examined.</w:t>
      </w:r>
    </w:p>
    <w:p>
      <w:pPr>
        <w:pStyle w:val="ListBullet"/>
      </w:pPr>
      <w:r>
        <w:t>A late posterolateral presentation almost always had a dial test at one angle or none.</w:t>
      </w:r>
    </w:p>
    <w:p>
      <w:pPr>
        <w:pStyle w:val="ListBullet"/>
      </w:pPr>
      <w:r>
        <w:t>A contracture is invisible if range was recorded without end feel.</w:t>
      </w:r>
    </w:p>
    <w:p>
      <w:pPr>
        <w:pStyle w:val="ListBullet"/>
      </w:pPr>
      <w:r>
        <w:t>Every claim on this page is a teaching pattern rather than a measured frequency.</w:t>
      </w:r>
    </w:p>
    <w:p>
      <w:pPr>
        <w:pStyle w:val="Heading2"/>
      </w:pPr>
      <w:r>
        <w:t>4.1.6 Examination in the Era of MRI</w:t>
      </w:r>
    </w:p>
    <w:p>
      <w:pPr>
        <w:pStyle w:val="ListBullet"/>
      </w:pPr>
      <w:r>
        <w:t>In the revision knee imaging is least useful and examination most.</w:t>
      </w:r>
    </w:p>
    <w:p>
      <w:pPr>
        <w:pStyle w:val="ListBullet"/>
      </w:pPr>
      <w:r>
        <w:t>Once the decision to operate is made, imaging drives the plan and examination contributes little.</w:t>
      </w:r>
    </w:p>
    <w:p>
      <w:pPr>
        <w:pStyle w:val="ListBullet"/>
      </w:pPr>
      <w:r>
        <w:t>A patient with several findings and an unclear picture is usually better served by a repeat examination than a further scan.</w:t>
      </w:r>
    </w:p>
    <w:p>
      <w:pPr>
        <w:pStyle w:val="ListBullet"/>
      </w:pPr>
      <w:r>
        <w:t>No frequency for any of these errors is cited here, because none could be retrieved.</w:t>
      </w:r>
    </w:p>
    <w:p>
      <w:pPr>
        <w:pStyle w:val="Heading2"/>
      </w:pPr>
      <w:r>
        <w:t>4.1.7 Examination for Different Audiences</w:t>
      </w:r>
    </w:p>
    <w:p>
      <w:pPr>
        <w:pStyle w:val="ListBullet"/>
      </w:pPr>
      <w:r>
        <w:t>In referred practice the examination is distorted by arriving with someone else's diagnosis attached.</w:t>
      </w:r>
    </w:p>
    <w:p>
      <w:pPr>
        <w:pStyle w:val="ListBullet"/>
      </w:pPr>
      <w:r>
        <w:t>Examine before reading the referral in full, which is awkward and is the only clean option.</w:t>
      </w:r>
    </w:p>
    <w:p>
      <w:pPr>
        <w:pStyle w:val="ListBullet"/>
      </w:pPr>
      <w:r>
        <w:t>An expert audience encourages pattern language and discourages the plain record.</w:t>
      </w:r>
    </w:p>
    <w:p>
      <w:pPr>
        <w:pStyle w:val="ListBullet"/>
      </w:pPr>
      <w:r>
        <w:t>A conclusion cannot be rebuilt into evidence; evidence can always be rebuilt into a conclusion.</w:t>
      </w:r>
    </w:p>
    <w:p>
      <w:pPr>
        <w:pStyle w:val="Heading2"/>
      </w:pPr>
      <w:r>
        <w:t>4.1.8 Examination Documentation</w:t>
      </w:r>
    </w:p>
    <w:p>
      <w:pPr>
        <w:pStyle w:val="ListBullet"/>
      </w:pPr>
      <w:r>
        <w:t>In revision practice the old record is often the only evidence of the pre-operative knee.</w:t>
      </w:r>
    </w:p>
    <w:p>
      <w:pPr>
        <w:pStyle w:val="ListBullet"/>
      </w:pPr>
      <w:r>
        <w:t>A pre-operative examination with no rotational assessment makes a later rotational complaint undatable.</w:t>
      </w:r>
    </w:p>
    <w:p>
      <w:pPr>
        <w:pStyle w:val="ListBullet"/>
      </w:pPr>
      <w:r>
        <w:t>Range recorded without end feel makes a contracture impossible to date.</w:t>
      </w:r>
    </w:p>
    <w:p>
      <w:pPr>
        <w:pStyle w:val="ListBullet"/>
      </w:pPr>
      <w:r>
        <w:t>An examination under anaesthetic not labelled as such is non-comparable with every other.</w:t>
      </w:r>
    </w:p>
    <w:p>
      <w:pPr>
        <w:pStyle w:val="ListBullet"/>
      </w:pPr>
      <w:r>
        <w:t>The pre-operative record is part of the operation, because a procedure that cannot be audited cannot be improved.</w:t>
      </w:r>
    </w:p>
    <w:p>
      <w:r>
        <w:br w:type="page"/>
      </w:r>
    </w:p>
    <w:p>
      <w:pPr>
        <w:pStyle w:val="Heading1"/>
      </w:pPr>
      <w:r>
        <w:t>Measurements</w:t>
      </w:r>
    </w:p>
    <w:p>
      <w:r>
        <w:t>No unchecked measurement in this chapter.</w:t>
      </w:r>
    </w:p>
    <w:p>
      <w:pPr>
        <w:pStyle w:val="Heading1"/>
      </w:pPr>
      <w:r>
        <w:t>Recommendations</w:t>
      </w:r>
    </w:p>
    <w:p>
      <w:r>
        <w:t>Each sentence below tells a clinician what to do, on a page that carries no name. Allowed decisions: CONFIRMED, AMENDED, WITHDRAWN, NOT_CLINICAL. New wording for an amended sentence goes in the Note column. The detector over collects on purpose, so a sentence that is teaching rather than clinical direction is marked NOT_CLINICAL.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Ref</w:t>
            </w:r>
          </w:p>
        </w:tc>
        <w:tc>
          <w:tcPr>
            <w:tcW w:type="dxa" w:w="706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5927"/>
            <w:shd w:val="clear" w:fill="16382D"/>
          </w:tcPr>
          <w:p>
            <w:r/>
            <w:r>
              <w:rPr>
                <w:b/>
                <w:color w:val="FFFFFF"/>
              </w:rPr>
              <w:t>Sentence</w:t>
            </w:r>
          </w:p>
        </w:tc>
        <w:tc>
          <w:tcPr>
            <w:tcW w:type="dxa" w:w="1411"/>
            <w:shd w:val="clear" w:fill="16382D"/>
          </w:tcPr>
          <w:p>
            <w:r/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1835"/>
            <w:shd w:val="clear" w:fill="16382D"/>
          </w:tcPr>
          <w:p>
            <w:r/>
            <w:r>
              <w:rPr>
                <w:b/>
                <w:color w:val="FFFFFF"/>
              </w:rPr>
              <w:t>Reviewer</w:t>
            </w:r>
          </w:p>
        </w:tc>
        <w:tc>
          <w:tcPr>
            <w:tcW w:type="dxa" w:w="2258"/>
            <w:shd w:val="clear" w:fill="16382D"/>
          </w:tcPr>
          <w:p>
            <w:r/>
            <w:r>
              <w:rPr>
                <w:b/>
                <w:color w:val="FFFFFF"/>
              </w:rPr>
              <w:t>Note</w:t>
            </w:r>
          </w:p>
        </w:tc>
      </w:tr>
      <w:tr>
        <w:tc>
          <w:tcPr>
            <w:tcW w:type="dxa" w:w="988"/>
          </w:tcPr>
          <w:p>
            <w:r>
              <w:t>4.1.2-P1</w:t>
            </w:r>
          </w:p>
        </w:tc>
        <w:tc>
          <w:tcPr>
            <w:tcW w:type="dxa" w:w="706"/>
          </w:tcPr>
          <w:p>
            <w:r>
              <w:t>4.1.2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Examine the joint above and below.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4.1.2-P2</w:t>
            </w:r>
          </w:p>
        </w:tc>
        <w:tc>
          <w:tcPr>
            <w:tcW w:type="dxa" w:w="706"/>
          </w:tcPr>
          <w:p>
            <w:r>
              <w:t>4.1.2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Stop and position again rather than pressing on through a tense examination, because the information does not improve with persistence.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4.1.3-P1</w:t>
            </w:r>
          </w:p>
        </w:tc>
        <w:tc>
          <w:tcPr>
            <w:tcW w:type="dxa" w:w="706"/>
          </w:tcPr>
          <w:p>
            <w:r>
              <w:t>4.1.3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Imaging in that population finds something in almost everybody, so the scan cannot select who should be treated and the history has to.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4.1.5-P1</w:t>
            </w:r>
          </w:p>
        </w:tc>
        <w:tc>
          <w:tcPr>
            <w:tcW w:type="dxa" w:w="706"/>
          </w:tcPr>
          <w:p>
            <w:r>
              <w:t>4.1.5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Ask what happened rather than what to call it.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4.1.7-P1</w:t>
            </w:r>
          </w:p>
        </w:tc>
        <w:tc>
          <w:tcPr>
            <w:tcW w:type="dxa" w:w="706"/>
          </w:tcPr>
          <w:p>
            <w:r>
              <w:t>4.1.7</w:t>
            </w:r>
          </w:p>
        </w:tc>
        <w:tc>
          <w:tcPr>
            <w:tcW w:type="dxa" w:w="988"/>
          </w:tcPr>
          <w:p>
            <w:r>
              <w:t>None</w:t>
            </w:r>
          </w:p>
        </w:tc>
        <w:tc>
          <w:tcPr>
            <w:tcW w:type="dxa" w:w="5927"/>
          </w:tcPr>
          <w:p>
            <w:r>
              <w:t>What changes and what must not.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4.1.7-P2</w:t>
            </w:r>
          </w:p>
        </w:tc>
        <w:tc>
          <w:tcPr>
            <w:tcW w:type="dxa" w:w="706"/>
          </w:tcPr>
          <w:p>
            <w:r>
              <w:t>4.1.7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Do not skip the parts that feel obvious.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4.1.8-P1</w:t>
            </w:r>
          </w:p>
        </w:tc>
        <w:tc>
          <w:tcPr>
            <w:tcW w:type="dxa" w:w="706"/>
          </w:tcPr>
          <w:p>
            <w:r>
              <w:t>4.1.8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Record what you looked at as well as what you found, because a normal finding is only informative if the reader knows it was sought.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4.1.8-P2</w:t>
            </w:r>
          </w:p>
        </w:tc>
        <w:tc>
          <w:tcPr>
            <w:tcW w:type="dxa" w:w="706"/>
          </w:tcPr>
          <w:p>
            <w:r>
              <w:t>4.1.8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Record the effusion, the range in degrees, and the extensor mechanism on every knee, because all three change and all three matter.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4.1.8-P3</w:t>
            </w:r>
          </w:p>
        </w:tc>
        <w:tc>
          <w:tcPr>
            <w:tcW w:type="dxa" w:w="706"/>
          </w:tcPr>
          <w:p>
            <w:r>
              <w:t>4.1.8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Record laxity as a comparison with the other side, with an endpoint, and with the flexion angle the test was done at.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4.1.8-P4</w:t>
            </w:r>
          </w:p>
        </w:tc>
        <w:tc>
          <w:tcPr>
            <w:tcW w:type="dxa" w:w="706"/>
          </w:tcPr>
          <w:p>
            <w:r>
              <w:t>4.1.8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Record negatives explicitly where they matter.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4.1.8-P5</w:t>
            </w:r>
          </w:p>
        </w:tc>
        <w:tc>
          <w:tcPr>
            <w:tcW w:type="dxa" w:w="706"/>
          </w:tcPr>
          <w:p>
            <w:r>
              <w:t>4.1.8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Grade two laxity is not comparable with anything.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4.1.8-P6</w:t>
            </w:r>
          </w:p>
        </w:tc>
        <w:tc>
          <w:tcPr>
            <w:tcW w:type="dxa" w:w="706"/>
          </w:tcPr>
          <w:p>
            <w:r>
              <w:t>4.1.8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Record the second and the first can be revised.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</w:tbl>
    <w:p/>
    <w:p>
      <w:pPr>
        <w:pStyle w:val="Heading1"/>
      </w:pPr>
      <w:r>
        <w:t>How to return this</w:t>
      </w:r>
    </w:p>
    <w:p>
      <w:r>
        <w:t>Send the file back. Each decision is read into the page's own register with:</w:t>
      </w:r>
    </w:p>
    <w:p>
      <w:pPr>
        <w:ind w:left="576"/>
      </w:pPr>
      <w:r>
        <w:rPr>
          <w:rFonts w:ascii="Courier New" w:hAnsi="Courier New"/>
        </w:rPr>
        <w:t>python3 tools/review_pack.py --ingest docs/review/packs/chapter-4.1.docx</w:t>
      </w:r>
    </w:p>
    <w:p>
      <w:r>
        <w:t>A row left blank stays outstanding and comes back in the next pack. One malformed row stops the whole file, so nothing is written half way.</w:t>
      </w:r>
    </w:p>
    <w:p>
      <w:r>
        <w:t>The style gate then enforces the result: a page carrying a recommendation that is not in its register fails POS-001, and a figure that is not in its register fails FIG-002, so a signed chapter cannot drift back to unsigned without the gate saying so.</w:t>
      </w:r>
    </w:p>
    <w:p>
      <w:r>
        <w:t>This pack does not change a page. A confirmed recommendation needs nothing; an amended one needs the prose edited, and the Note column is what the editor works from.</w:t>
      </w:r>
    </w:p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6382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6382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6382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