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Consultant review pack</w:t>
      </w:r>
    </w:p>
    <w:p>
      <w:r>
        <w:rPr>
          <w:b/>
          <w:sz w:val="26"/>
        </w:rPr>
        <w:t>Chapter 4.23 Special Situations</w:t>
      </w:r>
    </w:p>
    <w:p>
      <w:r>
        <w:t>Generated from the pages themselves by tools/review_pack.py. Fill the Decision column and your name; every other cell is rewritten when the pack is regenerated.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234"/>
            <w:shd w:val="clear" w:fill="16382D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9878"/>
            <w:shd w:val="clear" w:fill="16382D"/>
          </w:tcPr>
          <w:p>
            <w:r/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234"/>
          </w:tcPr>
          <w:p>
            <w:r>
              <w:t>Section</w:t>
            </w:r>
          </w:p>
        </w:tc>
        <w:tc>
          <w:tcPr>
            <w:tcW w:type="dxa" w:w="9878"/>
          </w:tcPr>
          <w:p>
            <w:r>
              <w:t>4</w:t>
            </w:r>
          </w:p>
        </w:tc>
      </w:tr>
      <w:tr>
        <w:tc>
          <w:tcPr>
            <w:tcW w:type="dxa" w:w="4234"/>
          </w:tcPr>
          <w:p>
            <w:r>
              <w:t>Chapter</w:t>
            </w:r>
          </w:p>
        </w:tc>
        <w:tc>
          <w:tcPr>
            <w:tcW w:type="dxa" w:w="9878"/>
          </w:tcPr>
          <w:p>
            <w:r>
              <w:t>4.23 Special Situations</w:t>
            </w:r>
          </w:p>
        </w:tc>
      </w:tr>
      <w:tr>
        <w:tc>
          <w:tcPr>
            <w:tcW w:type="dxa" w:w="4234"/>
          </w:tcPr>
          <w:p>
            <w:r>
              <w:t>Pages</w:t>
            </w:r>
          </w:p>
        </w:tc>
        <w:tc>
          <w:tcPr>
            <w:tcW w:type="dxa" w:w="9878"/>
          </w:tcPr>
          <w:p>
            <w:r>
              <w:t>7</w:t>
            </w:r>
          </w:p>
        </w:tc>
      </w:tr>
      <w:tr>
        <w:tc>
          <w:tcPr>
            <w:tcW w:type="dxa" w:w="4234"/>
          </w:tcPr>
          <w:p>
            <w:r>
              <w:t>Page type</w:t>
            </w:r>
          </w:p>
        </w:tc>
        <w:tc>
          <w:tcPr>
            <w:tcW w:type="dxa" w:w="9878"/>
          </w:tcPr>
          <w:p>
            <w:r>
              <w:t>examination</w:t>
            </w:r>
          </w:p>
        </w:tc>
      </w:tr>
      <w:tr>
        <w:tc>
          <w:tcPr>
            <w:tcW w:type="dxa" w:w="4234"/>
          </w:tcPr>
          <w:p>
            <w:r>
              <w:t>Tiers</w:t>
            </w:r>
          </w:p>
        </w:tc>
        <w:tc>
          <w:tcPr>
            <w:tcW w:type="dxa" w:w="9878"/>
          </w:tcPr>
          <w:p>
            <w:r>
              <w:t>medical student, mrcs, frcs, fellowship</w:t>
            </w:r>
          </w:p>
        </w:tc>
      </w:tr>
      <w:tr>
        <w:tc>
          <w:tcPr>
            <w:tcW w:type="dxa" w:w="4234"/>
          </w:tcPr>
          <w:p>
            <w:r>
              <w:t>Words</w:t>
            </w:r>
          </w:p>
        </w:tc>
        <w:tc>
          <w:tcPr>
            <w:tcW w:type="dxa" w:w="9878"/>
          </w:tcPr>
          <w:p>
            <w:r>
              <w:t>9,394</w:t>
            </w:r>
          </w:p>
        </w:tc>
      </w:tr>
      <w:tr>
        <w:tc>
          <w:tcPr>
            <w:tcW w:type="dxa" w:w="4234"/>
          </w:tcPr>
          <w:p>
            <w:r>
              <w:t>Style gate</w:t>
            </w:r>
          </w:p>
        </w:tc>
        <w:tc>
          <w:tcPr>
            <w:tcW w:type="dxa" w:w="9878"/>
          </w:tcPr>
          <w:p>
            <w:r>
              <w:t>all pages pass, 0 warnings</w:t>
            </w:r>
          </w:p>
        </w:tc>
      </w:tr>
      <w:tr>
        <w:tc>
          <w:tcPr>
            <w:tcW w:type="dxa" w:w="4234"/>
          </w:tcPr>
          <w:p>
            <w:r>
              <w:t>Evidence verification</w:t>
            </w:r>
          </w:p>
        </w:tc>
        <w:tc>
          <w:tcPr>
            <w:tcW w:type="dxa" w:w="9878"/>
          </w:tcPr>
          <w:p>
            <w:r>
              <w:t>did not run on any page</w:t>
            </w:r>
          </w:p>
        </w:tc>
      </w:tr>
      <w:tr>
        <w:tc>
          <w:tcPr>
            <w:tcW w:type="dxa" w:w="4234"/>
          </w:tcPr>
          <w:p>
            <w:r>
              <w:t>Measurements to check</w:t>
            </w:r>
          </w:p>
        </w:tc>
        <w:tc>
          <w:tcPr>
            <w:tcW w:type="dxa" w:w="9878"/>
          </w:tcPr>
          <w:p>
            <w:r>
              <w:t>0</w:t>
            </w:r>
          </w:p>
        </w:tc>
      </w:tr>
      <w:tr>
        <w:tc>
          <w:tcPr>
            <w:tcW w:type="dxa" w:w="4234"/>
          </w:tcPr>
          <w:p>
            <w:r>
              <w:t>Recommendations to sign</w:t>
            </w:r>
          </w:p>
        </w:tc>
        <w:tc>
          <w:tcPr>
            <w:tcW w:type="dxa" w:w="9878"/>
          </w:tcPr>
          <w:p>
            <w:r>
              <w:t>29</w:t>
            </w:r>
          </w:p>
        </w:tc>
      </w:tr>
    </w:tbl>
    <w:p/>
    <w:p>
      <w:pPr>
        <w:pStyle w:val="Heading1"/>
      </w:pPr>
      <w:r>
        <w:t>What has not happened</w:t>
      </w:r>
    </w:p>
    <w:p>
      <w:r>
        <w:t>No source was retrieved for any page in this chapter. The build environment has no access to PubMed, Cochrane, a journal or a textbook, so the pipeline's fact checking stage could not run. Every page carries NOT_RUN_TOOLS_UNAVAILABLE in its verified handoff.</w:t>
      </w:r>
    </w:p>
    <w:p>
      <w:r>
        <w:t>This pack therefore stands in for the verification stage as well as for the review stage. A claim here has been checked by nobody.</w:t>
      </w:r>
    </w:p>
    <w:p>
      <w:pPr>
        <w:pStyle w:val="Heading1"/>
      </w:pPr>
      <w:r>
        <w:t>The pages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1129"/>
            <w:shd w:val="clear" w:fill="16382D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4234"/>
            <w:shd w:val="clear" w:fill="16382D"/>
          </w:tcPr>
          <w:p>
            <w:r/>
            <w:r>
              <w:rPr>
                <w:b/>
                <w:color w:val="FFFFFF"/>
              </w:rPr>
              <w:t>Title</w:t>
            </w:r>
          </w:p>
        </w:tc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Tiers</w:t>
            </w:r>
          </w:p>
        </w:tc>
        <w:tc>
          <w:tcPr>
            <w:tcW w:type="dxa" w:w="1129"/>
            <w:shd w:val="clear" w:fill="16382D"/>
          </w:tcPr>
          <w:p>
            <w:r/>
            <w:r>
              <w:rPr>
                <w:b/>
                <w:color w:val="FFFFFF"/>
              </w:rPr>
              <w:t>Words</w:t>
            </w:r>
          </w:p>
        </w:tc>
        <w:tc>
          <w:tcPr>
            <w:tcW w:type="dxa" w:w="6633"/>
            <w:shd w:val="clear" w:fill="16382D"/>
          </w:tcPr>
          <w:p>
            <w:r/>
            <w:r>
              <w:rPr>
                <w:b/>
                <w:color w:val="FFFFFF"/>
              </w:rPr>
              <w:t>Published as</w:t>
            </w:r>
          </w:p>
        </w:tc>
      </w:tr>
      <w:tr>
        <w:tc>
          <w:tcPr>
            <w:tcW w:type="dxa" w:w="1129"/>
          </w:tcPr>
          <w:p>
            <w:r>
              <w:t>4.23.1</w:t>
            </w:r>
          </w:p>
        </w:tc>
        <w:tc>
          <w:tcPr>
            <w:tcW w:type="dxa" w:w="4234"/>
          </w:tcPr>
          <w:p>
            <w:r>
              <w:t>Examination Under Anaesthesia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1,325</w:t>
            </w:r>
          </w:p>
        </w:tc>
        <w:tc>
          <w:tcPr>
            <w:tcW w:type="dxa" w:w="6633"/>
          </w:tcPr>
          <w:p>
            <w:r>
              <w:t>examination/special-examination-under-anaesthesia.html</w:t>
            </w:r>
          </w:p>
        </w:tc>
      </w:tr>
      <w:tr>
        <w:tc>
          <w:tcPr>
            <w:tcW w:type="dxa" w:w="1129"/>
          </w:tcPr>
          <w:p>
            <w:r>
              <w:t>4.23.2</w:t>
            </w:r>
          </w:p>
        </w:tc>
        <w:tc>
          <w:tcPr>
            <w:tcW w:type="dxa" w:w="4234"/>
          </w:tcPr>
          <w:p>
            <w:r>
              <w:t>Elite Athletes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1,364</w:t>
            </w:r>
          </w:p>
        </w:tc>
        <w:tc>
          <w:tcPr>
            <w:tcW w:type="dxa" w:w="6633"/>
          </w:tcPr>
          <w:p>
            <w:r>
              <w:t>examination/elite-athletes.html</w:t>
            </w:r>
          </w:p>
        </w:tc>
      </w:tr>
      <w:tr>
        <w:tc>
          <w:tcPr>
            <w:tcW w:type="dxa" w:w="1129"/>
          </w:tcPr>
          <w:p>
            <w:r>
              <w:t>4.23.3</w:t>
            </w:r>
          </w:p>
        </w:tc>
        <w:tc>
          <w:tcPr>
            <w:tcW w:type="dxa" w:w="4234"/>
          </w:tcPr>
          <w:p>
            <w:r>
              <w:t>Hypermobile Patients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1,316</w:t>
            </w:r>
          </w:p>
        </w:tc>
        <w:tc>
          <w:tcPr>
            <w:tcW w:type="dxa" w:w="6633"/>
          </w:tcPr>
          <w:p>
            <w:r>
              <w:t>examination/hypermobile-patients.html</w:t>
            </w:r>
          </w:p>
        </w:tc>
      </w:tr>
      <w:tr>
        <w:tc>
          <w:tcPr>
            <w:tcW w:type="dxa" w:w="1129"/>
          </w:tcPr>
          <w:p>
            <w:r>
              <w:t>4.23.4</w:t>
            </w:r>
          </w:p>
        </w:tc>
        <w:tc>
          <w:tcPr>
            <w:tcW w:type="dxa" w:w="4234"/>
          </w:tcPr>
          <w:p>
            <w:r>
              <w:t>Obese Patients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1,330</w:t>
            </w:r>
          </w:p>
        </w:tc>
        <w:tc>
          <w:tcPr>
            <w:tcW w:type="dxa" w:w="6633"/>
          </w:tcPr>
          <w:p>
            <w:r>
              <w:t>examination/obese-patients.html</w:t>
            </w:r>
          </w:p>
        </w:tc>
      </w:tr>
      <w:tr>
        <w:tc>
          <w:tcPr>
            <w:tcW w:type="dxa" w:w="1129"/>
          </w:tcPr>
          <w:p>
            <w:r>
              <w:t>4.23.5</w:t>
            </w:r>
          </w:p>
        </w:tc>
        <w:tc>
          <w:tcPr>
            <w:tcW w:type="dxa" w:w="4234"/>
          </w:tcPr>
          <w:p>
            <w:r>
              <w:t>Revision Surgery Patients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1,364</w:t>
            </w:r>
          </w:p>
        </w:tc>
        <w:tc>
          <w:tcPr>
            <w:tcW w:type="dxa" w:w="6633"/>
          </w:tcPr>
          <w:p>
            <w:r>
              <w:t>examination/revision-surgery-patients.html</w:t>
            </w:r>
          </w:p>
        </w:tc>
      </w:tr>
      <w:tr>
        <w:tc>
          <w:tcPr>
            <w:tcW w:type="dxa" w:w="1129"/>
          </w:tcPr>
          <w:p>
            <w:r>
              <w:t>4.23.6</w:t>
            </w:r>
          </w:p>
        </w:tc>
        <w:tc>
          <w:tcPr>
            <w:tcW w:type="dxa" w:w="4234"/>
          </w:tcPr>
          <w:p>
            <w:r>
              <w:t>Complex Multi-ligament Injuries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1,407</w:t>
            </w:r>
          </w:p>
        </w:tc>
        <w:tc>
          <w:tcPr>
            <w:tcW w:type="dxa" w:w="6633"/>
          </w:tcPr>
          <w:p>
            <w:r>
              <w:t>examination/complex-multiligament-injuries.html</w:t>
            </w:r>
          </w:p>
        </w:tc>
      </w:tr>
      <w:tr>
        <w:tc>
          <w:tcPr>
            <w:tcW w:type="dxa" w:w="1129"/>
          </w:tcPr>
          <w:p>
            <w:r>
              <w:t>4.23.7</w:t>
            </w:r>
          </w:p>
        </w:tc>
        <w:tc>
          <w:tcPr>
            <w:tcW w:type="dxa" w:w="4234"/>
          </w:tcPr>
          <w:p>
            <w:r>
              <w:t>Medico-legal Assessment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1,288</w:t>
            </w:r>
          </w:p>
        </w:tc>
        <w:tc>
          <w:tcPr>
            <w:tcW w:type="dxa" w:w="6633"/>
          </w:tcPr>
          <w:p>
            <w:r>
              <w:t>examination/medico-legal-assessment.html</w:t>
            </w:r>
          </w:p>
        </w:tc>
      </w:tr>
    </w:tbl>
    <w:p/>
    <w:p>
      <w:pPr>
        <w:pStyle w:val="Heading1"/>
      </w:pPr>
      <w:r>
        <w:t>Claims to confirm</w:t>
      </w:r>
    </w:p>
    <w:p>
      <w:r>
        <w:t>The deepest tier's key learning points on each page, which are the chapter's substantive claims. Every other statement in the body needs the same check; these are where to start.</w:t>
      </w:r>
    </w:p>
    <w:p>
      <w:pPr>
        <w:pStyle w:val="Heading2"/>
      </w:pPr>
      <w:r>
        <w:t>4.23.1 Examination Under Anaesthesia</w:t>
      </w:r>
    </w:p>
    <w:p>
      <w:pPr>
        <w:pStyle w:val="ListBullet"/>
      </w:pPr>
      <w:r>
        <w:t>It measures the knee the patient does not use.</w:t>
      </w:r>
    </w:p>
    <w:p>
      <w:pPr>
        <w:pStyle w:val="ListBullet"/>
      </w:pPr>
      <w:r>
        <w:t>Grading by hand means two surgeons record different grades.</w:t>
      </w:r>
    </w:p>
    <w:p>
      <w:pPr>
        <w:pStyle w:val="ListBullet"/>
      </w:pPr>
      <w:r>
        <w:t>The contralateral comparison fails when both knees are affected.</w:t>
      </w:r>
    </w:p>
    <w:p>
      <w:pPr>
        <w:pStyle w:val="ListBullet"/>
      </w:pPr>
      <w:r>
        <w:t>Anaesthetic depth is an unrecorded variable.</w:t>
      </w:r>
    </w:p>
    <w:p>
      <w:pPr>
        <w:pStyle w:val="ListBullet"/>
      </w:pPr>
      <w:r>
        <w:t>The findings cannot be repeated, so a disputed result has no appeal.</w:t>
      </w:r>
    </w:p>
    <w:p>
      <w:pPr>
        <w:pStyle w:val="Heading2"/>
      </w:pPr>
      <w:r>
        <w:t>4.23.2 Elite Athletes</w:t>
      </w:r>
    </w:p>
    <w:p>
      <w:pPr>
        <w:pStyle w:val="ListBullet"/>
      </w:pPr>
      <w:r>
        <w:t>Sport produces real asymmetry, so the dominant limb is not a control.</w:t>
      </w:r>
    </w:p>
    <w:p>
      <w:pPr>
        <w:pStyle w:val="ListBullet"/>
      </w:pPr>
      <w:r>
        <w:t>The better the athlete, the less the examination detects.</w:t>
      </w:r>
    </w:p>
    <w:p>
      <w:pPr>
        <w:pStyle w:val="ListBullet"/>
      </w:pPr>
      <w:r>
        <w:t>Functional thresholds come from non elite populations.</w:t>
      </w:r>
    </w:p>
    <w:p>
      <w:pPr>
        <w:pStyle w:val="ListBullet"/>
      </w:pPr>
      <w:r>
        <w:t>The decision has interested parties beyond the patient.</w:t>
      </w:r>
    </w:p>
    <w:p>
      <w:pPr>
        <w:pStyle w:val="ListBullet"/>
      </w:pPr>
      <w:r>
        <w:t>The examination contributes nothing to weighing a career against a season.</w:t>
      </w:r>
    </w:p>
    <w:p>
      <w:pPr>
        <w:pStyle w:val="Heading2"/>
      </w:pPr>
      <w:r>
        <w:t>4.23.3 Hypermobile Patients</w:t>
      </w:r>
    </w:p>
    <w:p>
      <w:pPr>
        <w:pStyle w:val="ListBullet"/>
      </w:pPr>
      <w:r>
        <w:t>Laxity grades are defined against a normal this patient does not have.</w:t>
      </w:r>
    </w:p>
    <w:p>
      <w:pPr>
        <w:pStyle w:val="ListBullet"/>
      </w:pPr>
      <w:r>
        <w:t>The contralateral comparison fails, removing the usual fallback.</w:t>
      </w:r>
    </w:p>
    <w:p>
      <w:pPr>
        <w:pStyle w:val="ListBullet"/>
      </w:pPr>
      <w:r>
        <w:t>The hypermobility threshold is a convention rather than a boundary.</w:t>
      </w:r>
    </w:p>
    <w:p>
      <w:pPr>
        <w:pStyle w:val="ListBullet"/>
      </w:pPr>
      <w:r>
        <w:t>A connective tissue disorder changes surgical risk and is not found at the knee.</w:t>
      </w:r>
    </w:p>
    <w:p>
      <w:pPr>
        <w:pStyle w:val="ListBullet"/>
      </w:pPr>
      <w:r>
        <w:t>Control and structural contributions are not apportionable here.</w:t>
      </w:r>
    </w:p>
    <w:p>
      <w:pPr>
        <w:pStyle w:val="Heading2"/>
      </w:pPr>
      <w:r>
        <w:t>4.23.4 Obese Patients</w:t>
      </w:r>
    </w:p>
    <w:p>
      <w:pPr>
        <w:pStyle w:val="ListBullet"/>
      </w:pPr>
      <w:r>
        <w:t>A negative finding carries less information and the record rarely says so.</w:t>
      </w:r>
    </w:p>
    <w:p>
      <w:pPr>
        <w:pStyle w:val="ListBullet"/>
      </w:pPr>
      <w:r>
        <w:t>Clinical alignment is least reliable where it matters most.</w:t>
      </w:r>
    </w:p>
    <w:p>
      <w:pPr>
        <w:pStyle w:val="ListBullet"/>
      </w:pPr>
      <w:r>
        <w:t>The functional record is proportionally more important here.</w:t>
      </w:r>
    </w:p>
    <w:p>
      <w:pPr>
        <w:pStyle w:val="ListBullet"/>
      </w:pPr>
      <w:r>
        <w:t>The knee's contribution to reduced walking is harder to isolate.</w:t>
      </w:r>
    </w:p>
    <w:p>
      <w:pPr>
        <w:pStyle w:val="ListBullet"/>
      </w:pPr>
      <w:r>
        <w:t>The soft tissue envelope is part of the assessment.</w:t>
      </w:r>
    </w:p>
    <w:p>
      <w:pPr>
        <w:pStyle w:val="Heading2"/>
      </w:pPr>
      <w:r>
        <w:t>4.23.5 Revision Surgery Patients</w:t>
      </w:r>
    </w:p>
    <w:p>
      <w:pPr>
        <w:pStyle w:val="ListBullet"/>
      </w:pPr>
      <w:r>
        <w:t>There is no valid normal for either knee, so only a change is interpretable.</w:t>
      </w:r>
    </w:p>
    <w:p>
      <w:pPr>
        <w:pStyle w:val="ListBullet"/>
      </w:pPr>
      <w:r>
        <w:t>Pain has more candidate sources than the examination can separate.</w:t>
      </w:r>
    </w:p>
    <w:p>
      <w:pPr>
        <w:pStyle w:val="ListBullet"/>
      </w:pPr>
      <w:r>
        <w:t>The history the findings are read against is itself reconstructed.</w:t>
      </w:r>
    </w:p>
    <w:p>
      <w:pPr>
        <w:pStyle w:val="ListBullet"/>
      </w:pPr>
      <w:r>
        <w:t>Expectation after repeated disappointment predicts the reported result.</w:t>
      </w:r>
    </w:p>
    <w:p>
      <w:pPr>
        <w:pStyle w:val="ListBullet"/>
      </w:pPr>
      <w:r>
        <w:t>The decision is often whether to stop operating.</w:t>
      </w:r>
    </w:p>
    <w:p>
      <w:pPr>
        <w:pStyle w:val="Heading2"/>
      </w:pPr>
      <w:r>
        <w:t>4.23.6 Complex Multi-ligament Injuries</w:t>
      </w:r>
    </w:p>
    <w:p>
      <w:pPr>
        <w:pStyle w:val="ListBullet"/>
      </w:pPr>
      <w:r>
        <w:t>The acute examination triages and the definitive one is deferred.</w:t>
      </w:r>
    </w:p>
    <w:p>
      <w:pPr>
        <w:pStyle w:val="ListBullet"/>
      </w:pPr>
      <w:r>
        <w:t>The pattern is inferred from a set of individually unreliable findings.</w:t>
      </w:r>
    </w:p>
    <w:p>
      <w:pPr>
        <w:pStyle w:val="ListBullet"/>
      </w:pPr>
      <w:r>
        <w:t>Vascular status changes over hours, so serial examination is the standard.</w:t>
      </w:r>
    </w:p>
    <w:p>
      <w:pPr>
        <w:pStyle w:val="ListBullet"/>
      </w:pPr>
      <w:r>
        <w:t>The initial nerve examination sets the baseline for every later one.</w:t>
      </w:r>
    </w:p>
    <w:p>
      <w:pPr>
        <w:pStyle w:val="ListBullet"/>
      </w:pPr>
      <w:r>
        <w:t>The pattern is operatively defined and clinically approximated.</w:t>
      </w:r>
    </w:p>
    <w:p>
      <w:pPr>
        <w:pStyle w:val="Heading2"/>
      </w:pPr>
      <w:r>
        <w:t>4.23.7 Medico-legal Assessment</w:t>
      </w:r>
    </w:p>
    <w:p>
      <w:pPr>
        <w:pStyle w:val="ListBullet"/>
      </w:pPr>
      <w:r>
        <w:t>Grades, end points and correctability are judgements by hand.</w:t>
      </w:r>
    </w:p>
    <w:p>
      <w:pPr>
        <w:pStyle w:val="ListBullet"/>
      </w:pPr>
      <w:r>
        <w:t>The examination cannot date a finding.</w:t>
      </w:r>
    </w:p>
    <w:p>
      <w:pPr>
        <w:pStyle w:val="ListBullet"/>
      </w:pPr>
      <w:r>
        <w:t>Effort dependent findings are noted rather than adjudicated.</w:t>
      </w:r>
    </w:p>
    <w:p>
      <w:pPr>
        <w:pStyle w:val="ListBullet"/>
      </w:pPr>
      <w:r>
        <w:t>Stated uncertainty is a strength of the document.</w:t>
      </w:r>
    </w:p>
    <w:p>
      <w:pPr>
        <w:pStyle w:val="ListBullet"/>
      </w:pPr>
      <w:r>
        <w:t>The limits are the clinic's limits, written down.</w:t>
      </w:r>
    </w:p>
    <w:p>
      <w:r>
        <w:br w:type="page"/>
      </w:r>
    </w:p>
    <w:p>
      <w:pPr>
        <w:pStyle w:val="Heading1"/>
      </w:pPr>
      <w:r>
        <w:t>Measurements</w:t>
      </w:r>
    </w:p>
    <w:p>
      <w:r>
        <w:t>No unchecked measurement in this chapter.</w:t>
      </w:r>
    </w:p>
    <w:p>
      <w:pPr>
        <w:pStyle w:val="Heading1"/>
      </w:pPr>
      <w:r>
        <w:t>Recommendations</w:t>
      </w:r>
    </w:p>
    <w:p>
      <w:r>
        <w:t>Each sentence below tells a clinician what to do, on a page that carries no name. Allowed decisions: CONFIRMED, AMENDED, WITHDRAWN, NOT_CLINICAL. New wording for an amended sentence goes in the Note column. The detector over collects on purpose, so a sentence that is teaching rather than clinical direction is marked NOT_CLINICAL.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Ref</w:t>
            </w:r>
          </w:p>
        </w:tc>
        <w:tc>
          <w:tcPr>
            <w:tcW w:type="dxa" w:w="706"/>
            <w:shd w:val="clear" w:fill="16382D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5927"/>
            <w:shd w:val="clear" w:fill="16382D"/>
          </w:tcPr>
          <w:p>
            <w:r/>
            <w:r>
              <w:rPr>
                <w:b/>
                <w:color w:val="FFFFFF"/>
              </w:rPr>
              <w:t>Sentence</w:t>
            </w:r>
          </w:p>
        </w:tc>
        <w:tc>
          <w:tcPr>
            <w:tcW w:type="dxa" w:w="1411"/>
            <w:shd w:val="clear" w:fill="16382D"/>
          </w:tcPr>
          <w:p>
            <w:r/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1835"/>
            <w:shd w:val="clear" w:fill="16382D"/>
          </w:tcPr>
          <w:p>
            <w:r/>
            <w:r>
              <w:rPr>
                <w:b/>
                <w:color w:val="FFFFFF"/>
              </w:rPr>
              <w:t>Reviewer</w:t>
            </w:r>
          </w:p>
        </w:tc>
        <w:tc>
          <w:tcPr>
            <w:tcW w:type="dxa" w:w="2258"/>
            <w:shd w:val="clear" w:fill="16382D"/>
          </w:tcPr>
          <w:p>
            <w:r/>
            <w:r>
              <w:rPr>
                <w:b/>
                <w:color w:val="FFFFFF"/>
              </w:rPr>
              <w:t>Note</w:t>
            </w:r>
          </w:p>
        </w:tc>
      </w:tr>
      <w:tr>
        <w:tc>
          <w:tcPr>
            <w:tcW w:type="dxa" w:w="988"/>
          </w:tcPr>
          <w:p>
            <w:r>
              <w:t>4.23.1-P1</w:t>
            </w:r>
          </w:p>
        </w:tc>
        <w:tc>
          <w:tcPr>
            <w:tcW w:type="dxa" w:w="706"/>
          </w:tcPr>
          <w:p>
            <w:r>
              <w:t>4.23.1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Record the awake examination first, since the comparison is part of the point.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4.23.1-P2</w:t>
            </w:r>
          </w:p>
        </w:tc>
        <w:tc>
          <w:tcPr>
            <w:tcW w:type="dxa" w:w="706"/>
          </w:tcPr>
          <w:p>
            <w:r>
              <w:t>4.23.1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Examine both knees, because the contralateral side under the same anaesthetic is the only valid reference.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4.23.1-P3</w:t>
            </w:r>
          </w:p>
        </w:tc>
        <w:tc>
          <w:tcPr>
            <w:tcW w:type="dxa" w:w="706"/>
          </w:tcPr>
          <w:p>
            <w:r>
              <w:t>4.23.1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Record every finding at the time, because none of it can be repeated later.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4.23.2-P1</w:t>
            </w:r>
          </w:p>
        </w:tc>
        <w:tc>
          <w:tcPr>
            <w:tcW w:type="dxa" w:w="706"/>
          </w:tcPr>
          <w:p>
            <w:r>
              <w:t>4.23.2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Record the comparison with the other limb, accepting that an athlete's limbs may be asymmetrical by sport.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4.23.2-P2</w:t>
            </w:r>
          </w:p>
        </w:tc>
        <w:tc>
          <w:tcPr>
            <w:tcW w:type="dxa" w:w="706"/>
          </w:tcPr>
          <w:p>
            <w:r>
              <w:t>4.23.2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Record the pressure the athlete is under as context rather than as a finding.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4.23.3-P1</w:t>
            </w:r>
          </w:p>
        </w:tc>
        <w:tc>
          <w:tcPr>
            <w:tcW w:type="dxa" w:w="706"/>
          </w:tcPr>
          <w:p>
            <w:r>
              <w:t>4.23.3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generalised hypermobility formally rather than by impression, using the standard multi joint assessment.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4.23.3-P2</w:t>
            </w:r>
          </w:p>
        </w:tc>
        <w:tc>
          <w:tcPr>
            <w:tcW w:type="dxa" w:w="706"/>
          </w:tcPr>
          <w:p>
            <w:r>
              <w:t>4.23.3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Ask about family history, since hypermobility is often familial.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4.23.3-P3</w:t>
            </w:r>
          </w:p>
        </w:tc>
        <w:tc>
          <w:tcPr>
            <w:tcW w:type="dxa" w:w="706"/>
          </w:tcPr>
          <w:p>
            <w:r>
              <w:t>4.23.3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Ask about symptoms separately from findings, because the symptom is what decides whether anything follows.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4.23.3-P4</w:t>
            </w:r>
          </w:p>
        </w:tc>
        <w:tc>
          <w:tcPr>
            <w:tcW w:type="dxa" w:w="706"/>
          </w:tcPr>
          <w:p>
            <w:r>
              <w:t>4.23.3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Examine both knees and several other joints, since the pattern is what establishes generalised laxity.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4.23.3-P5</w:t>
            </w:r>
          </w:p>
        </w:tc>
        <w:tc>
          <w:tcPr>
            <w:tcW w:type="dxa" w:w="706"/>
          </w:tcPr>
          <w:p>
            <w:r>
              <w:t>4.23.3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Record knee hyperextension, which is usually present.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4.23.3-P6</w:t>
            </w:r>
          </w:p>
        </w:tc>
        <w:tc>
          <w:tcPr>
            <w:tcW w:type="dxa" w:w="706"/>
          </w:tcPr>
          <w:p>
            <w:r>
              <w:t>4.23.3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Record the patellar translation, which is commonly increased.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4.23.4-P1</w:t>
            </w:r>
          </w:p>
        </w:tc>
        <w:tc>
          <w:tcPr>
            <w:tcW w:type="dxa" w:w="706"/>
          </w:tcPr>
          <w:p>
            <w:r>
              <w:t>4.23.4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alignment standing, accepting that the soft tissue obscures the contour and that the stance may be wider.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4.23.4-P2</w:t>
            </w:r>
          </w:p>
        </w:tc>
        <w:tc>
          <w:tcPr>
            <w:tcW w:type="dxa" w:w="706"/>
          </w:tcPr>
          <w:p>
            <w:r>
              <w:t>4.23.4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effusion, accepting that the bulge sign is harder and the tap is more reliable here.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4.23.4-P3</w:t>
            </w:r>
          </w:p>
        </w:tc>
        <w:tc>
          <w:tcPr>
            <w:tcW w:type="dxa" w:w="706"/>
          </w:tcPr>
          <w:p>
            <w:r>
              <w:t>4.23.4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Record which parts of the examination were limited and why.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4.23.5-P1</w:t>
            </w:r>
          </w:p>
        </w:tc>
        <w:tc>
          <w:tcPr>
            <w:tcW w:type="dxa" w:w="706"/>
          </w:tcPr>
          <w:p>
            <w:r>
              <w:t>4.23.5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soft tissue envelope, because it limits what any further operation can do.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4.23.5-P2</w:t>
            </w:r>
          </w:p>
        </w:tc>
        <w:tc>
          <w:tcPr>
            <w:tcW w:type="dxa" w:w="706"/>
          </w:tcPr>
          <w:p>
            <w:r>
              <w:t>4.23.5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Record the range on both sides, since both are likely to be abnormal.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4.23.5-P3</w:t>
            </w:r>
          </w:p>
        </w:tc>
        <w:tc>
          <w:tcPr>
            <w:tcW w:type="dxa" w:w="706"/>
          </w:tcPr>
          <w:p>
            <w:r>
              <w:t>4.23.5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Record the alignment on both sides.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4.23.5-P4</w:t>
            </w:r>
          </w:p>
        </w:tc>
        <w:tc>
          <w:tcPr>
            <w:tcW w:type="dxa" w:w="706"/>
          </w:tcPr>
          <w:p>
            <w:r>
              <w:t>4.23.5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Record the function and what has changed recently, because the change is the only thing in the examination that is new.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4.23.5-P5</w:t>
            </w:r>
          </w:p>
        </w:tc>
        <w:tc>
          <w:tcPr>
            <w:tcW w:type="dxa" w:w="706"/>
          </w:tcPr>
          <w:p>
            <w:r>
              <w:t>4.23.5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Record the patient's expectation and their account of previous results.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4.23.6-P1</w:t>
            </w:r>
          </w:p>
        </w:tc>
        <w:tc>
          <w:tcPr>
            <w:tcW w:type="dxa" w:w="706"/>
          </w:tcPr>
          <w:p>
            <w:r>
              <w:t>4.23.6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limb's perfusion first, because a dislocated or reduced knee can have an arterial injury with palpable pulses.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4.23.6-P2</w:t>
            </w:r>
          </w:p>
        </w:tc>
        <w:tc>
          <w:tcPr>
            <w:tcW w:type="dxa" w:w="706"/>
          </w:tcPr>
          <w:p>
            <w:r>
              <w:t>4.23.6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common peroneal nerve, since it is injured in a substantial share of these patterns.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4.23.6-P3</w:t>
            </w:r>
          </w:p>
        </w:tc>
        <w:tc>
          <w:tcPr>
            <w:tcW w:type="dxa" w:w="706"/>
          </w:tcPr>
          <w:p>
            <w:r>
              <w:t>4.23.6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rotational instability, because the posterolateral and posteromedial corners decide much of the plan.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4.23.6-P4</w:t>
            </w:r>
          </w:p>
        </w:tc>
        <w:tc>
          <w:tcPr>
            <w:tcW w:type="dxa" w:w="706"/>
          </w:tcPr>
          <w:p>
            <w:r>
              <w:t>4.23.6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Record the whole pattern rather than the most obvious finding.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4.23.7-P1</w:t>
            </w:r>
          </w:p>
        </w:tc>
        <w:tc>
          <w:tcPr>
            <w:tcW w:type="dxa" w:w="706"/>
          </w:tcPr>
          <w:p>
            <w:r>
              <w:t>4.23.7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Record the mechanism as described, and record it as the patient's description rather than as an established fact.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4.23.7-P2</w:t>
            </w:r>
          </w:p>
        </w:tc>
        <w:tc>
          <w:tcPr>
            <w:tcW w:type="dxa" w:w="706"/>
          </w:tcPr>
          <w:p>
            <w:r>
              <w:t>4.23.7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Examine both knees in full, since the comparison is part of the record.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4.23.7-P3</w:t>
            </w:r>
          </w:p>
        </w:tc>
        <w:tc>
          <w:tcPr>
            <w:tcW w:type="dxa" w:w="706"/>
          </w:tcPr>
          <w:p>
            <w:r>
              <w:t>4.23.7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Record every measurement rather than a summary, including the range in degrees and the side to side differences.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4.23.7-P4</w:t>
            </w:r>
          </w:p>
        </w:tc>
        <w:tc>
          <w:tcPr>
            <w:tcW w:type="dxa" w:w="706"/>
          </w:tcPr>
          <w:p>
            <w:r>
              <w:t>4.23.7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Record the negative findings explicitly, because a silence is read as an omission.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4.23.7-P5</w:t>
            </w:r>
          </w:p>
        </w:tc>
        <w:tc>
          <w:tcPr>
            <w:tcW w:type="dxa" w:w="706"/>
          </w:tcPr>
          <w:p>
            <w:r>
              <w:t>4.23.7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Record anything that limited the examination, and why.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4.23.7-P6</w:t>
            </w:r>
          </w:p>
        </w:tc>
        <w:tc>
          <w:tcPr>
            <w:tcW w:type="dxa" w:w="706"/>
          </w:tcPr>
          <w:p>
            <w:r>
              <w:t>4.23.7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Record the function in the patient's own terms and separately from your assessment of it.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</w:tbl>
    <w:p/>
    <w:p>
      <w:pPr>
        <w:pStyle w:val="Heading1"/>
      </w:pPr>
      <w:r>
        <w:t>How to return this</w:t>
      </w:r>
    </w:p>
    <w:p>
      <w:r>
        <w:t>Send the file back. Each decision is read into the page's own register with:</w:t>
      </w:r>
    </w:p>
    <w:p>
      <w:pPr>
        <w:ind w:left="576"/>
      </w:pPr>
      <w:r>
        <w:rPr>
          <w:rFonts w:ascii="Courier New" w:hAnsi="Courier New"/>
        </w:rPr>
        <w:t>python3 tools/review_pack.py --ingest docs/review/packs/chapter-4.23.docx</w:t>
      </w:r>
    </w:p>
    <w:p>
      <w:r>
        <w:t>A row left blank stays outstanding and comes back in the next pack. One malformed row stops the whole file, so nothing is written half way.</w:t>
      </w:r>
    </w:p>
    <w:p>
      <w:r>
        <w:t>The style gate then enforces the result: a page carrying a recommendation that is not in its register fails POS-001, and a figure that is not in its register fails FIG-002, so a signed chapter cannot drift back to unsigned without the gate saying so.</w:t>
      </w:r>
    </w:p>
    <w:p>
      <w:r>
        <w:t>This pack does not change a page. A confirmed recommendation needs nothing; an amended one needs the prose edited, and the Note column is what the editor works from.</w:t>
      </w:r>
    </w:p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6382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6382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6382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