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8"/>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w:t>
      </w:r>
      <w:r>
        <w:rPr>
          <w:rFonts w:ascii="Courier New" w:hAnsi="Courier New" w:cs="Courier New"/>
          <w:sz w:val="24"/>
          <w:szCs w:val="24"/>
        </w:rPr>
        <w:lastRenderedPageBreak/>
        <w:t>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4524781" w14:textId="77777777"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w:t>
      </w:r>
      <w:r>
        <w:rPr>
          <w:rFonts w:ascii="Courier New" w:hAnsi="Courier New" w:cs="Courier New"/>
          <w:sz w:val="24"/>
          <w:szCs w:val="24"/>
        </w:rPr>
        <w:lastRenderedPageBreak/>
        <w:t xml:space="preserve">desktop, tablet, and mobile. Supabase serves as the backend-as-a-service, hosting the PostgreSQL database, authentication, and Row-Level Security (RLS) policies; the database schema is built step by step by 30 migration scripts. Curricula are exported to PDF with @react-pdf/renderer. </w:t>
      </w:r>
    </w:p>
    <w:p w14:paraId="2C9280F0" w14:textId="37D93EFD"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7E0C8E" w14:paraId="3BB54645" w14:textId="77777777" w:rsidTr="007E0C8E">
        <w:trPr>
          <w:cantSplit/>
          <w:tblHeader/>
        </w:trPr>
        <w:tc>
          <w:tcPr>
            <w:tcW w:w="2000"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2000"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2000"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3B676369" w14:textId="77777777" w:rsidTr="007E0C8E">
        <w:trPr>
          <w:cantSplit/>
        </w:trPr>
        <w:tc>
          <w:tcPr>
            <w:tcW w:w="2000" w:type="dxa"/>
          </w:tcPr>
          <w:p w14:paraId="4689DCB6"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31E50E6E"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7E0C8E" w14:paraId="4FFE67E5" w14:textId="77777777" w:rsidTr="007E0C8E">
        <w:trPr>
          <w:cantSplit/>
        </w:trPr>
        <w:tc>
          <w:tcPr>
            <w:tcW w:w="2000"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2000"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five statuses: Completed, Available, Pending,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co-requisite, year standing, and "all subjects completed" — closing the exact gap identified in SOP 1 and 2, </w:t>
      </w:r>
      <w:r>
        <w:rPr>
          <w:rFonts w:ascii="Courier New" w:hAnsi="Courier New" w:cs="Courier New"/>
          <w:sz w:val="24"/>
          <w:szCs w:val="24"/>
        </w:rPr>
        <w:lastRenderedPageBreak/>
        <w:t>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w:t>
      </w:r>
      <w:r>
        <w:rPr>
          <w:rFonts w:ascii="Courier New" w:hAnsi="Courier New" w:cs="Courier New"/>
          <w:sz w:val="24"/>
          <w:szCs w:val="24"/>
        </w:rPr>
        <w:lastRenderedPageBreak/>
        <w:t>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lastRenderedPageBreak/>
              <w:t>Year level</w:t>
            </w:r>
          </w:p>
        </w:tc>
        <w:tc>
          <w:tcPr>
            <w:tcW w:w="5232"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w:t>
      </w:r>
      <w:r>
        <w:rPr>
          <w:rFonts w:ascii="Courier New" w:hAnsi="Courier New" w:cs="Courier New"/>
          <w:sz w:val="24"/>
          <w:szCs w:val="24"/>
        </w:rPr>
        <w:lastRenderedPageBreak/>
        <w:t>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w:t>
      </w:r>
      <w:r>
        <w:rPr>
          <w:rFonts w:ascii="Courier New" w:hAnsi="Courier New" w:cs="Courier New"/>
          <w:sz w:val="24"/>
          <w:szCs w:val="24"/>
        </w:rPr>
        <w:lastRenderedPageBreak/>
        <w:t>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t>
      </w:r>
      <w:r>
        <w:rPr>
          <w:rFonts w:ascii="Courier New" w:hAnsi="Courier New" w:cs="Courier New"/>
          <w:sz w:val="24"/>
          <w:szCs w:val="24"/>
        </w:rPr>
        <w:lastRenderedPageBreak/>
        <w:t>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w:t>
      </w:r>
      <w:r>
        <w:rPr>
          <w:rFonts w:ascii="Courier New" w:hAnsi="Courier New" w:cs="Courier New"/>
          <w:sz w:val="24"/>
          <w:szCs w:val="24"/>
        </w:rPr>
        <w:lastRenderedPageBreak/>
        <w:t>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 and it is not connected to the KSU MIS. Its logic is limited to descriptive </w:t>
      </w:r>
      <w:r>
        <w:rPr>
          <w:rFonts w:ascii="Courier New" w:hAnsi="Courier New" w:cs="Courier New"/>
          <w:sz w:val="24"/>
          <w:szCs w:val="24"/>
        </w:rPr>
        <w:lastRenderedPageBreak/>
        <w:t>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w:t>
      </w:r>
      <w:r>
        <w:rPr>
          <w:rFonts w:ascii="Courier New" w:hAnsi="Courier New" w:cs="Courier New"/>
          <w:sz w:val="24"/>
          <w:szCs w:val="24"/>
        </w:rPr>
        <w:lastRenderedPageBreak/>
        <w:t>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9"/>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0"/>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1"/>
                    <a:stretch>
                      <a:fillRect/>
                    </a:stretch>
                  </pic:blipFill>
                  <pic:spPr>
                    <a:xfrm>
                      <a:off x="0" y="0"/>
                      <a:ext cx="5486400" cy="5072809"/>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 xml:space="preserve">Figure 4.5</w:t>
      </w:r>
      <w:r>
        <w:rPr>
          <w:rFonts w:ascii="Courier New" w:hAnsi="Courier New" w:cs="Courier New"/>
          <w:sz w:val="24"/>
          <w:szCs w:val="24"/>
        </w:rPr>
        <w:t xml:space="preserve">. They follow one new student from the chairperson's log in to the student's audit report, and were captured from the running system with sample BSIT data.</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process starts when the Program Chairperson logs in with a KSU staff account (</w:t>
      </w:r>
      <w:r>
        <w:rPr>
          <w:rFonts w:ascii="Courier New" w:hAnsi="Courier New" w:cs="Courier New"/>
          <w:b/>
          <w:bCs/>
          <w:sz w:val="24"/>
          <w:szCs w:val="24"/>
        </w:rPr>
        <w:t xml:space="preserve">Figure 4.7</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1"/>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Students page by name or ID number (</w:t>
      </w:r>
      <w:r>
        <w:rPr>
          <w:rFonts w:ascii="Courier New" w:hAnsi="Courier New" w:cs="Courier New"/>
          <w:b/>
          <w:bCs/>
          <w:sz w:val="24"/>
          <w:szCs w:val="24"/>
        </w:rPr>
        <w:t xml:space="preserve">Figure 4.8</w:t>
      </w:r>
      <w:r>
        <w:rPr>
          <w:rFonts w:ascii="Courier New" w:hAnsi="Courier New" w:cs="Courier New"/>
          <w:sz w:val="24"/>
          <w:szCs w:val="24"/>
        </w:rPr>
        <w:t xml:space="preserve">). No student matches the search, so the student is new and has to be registered.</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2"/>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 new student is registered one at a time on the Register Student page by entering the ID number, the full name, the curriculum version and the year level (</w:t>
      </w:r>
      <w:r>
        <w:rPr>
          <w:rFonts w:ascii="Courier New" w:hAnsi="Courier New" w:cs="Courier New"/>
          <w:b/>
          <w:bCs/>
          <w:sz w:val="24"/>
          <w:szCs w:val="24"/>
        </w:rPr>
        <w:t xml:space="preserve">Figure 4.9</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673904" cy="2273300"/>
            <wp:effectExtent l="0" t="0" r="0" b="0"/>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3"/>
                    <a:stretch>
                      <a:fillRect/>
                    </a:stretch>
                  </pic:blipFill>
                  <pic:spPr>
                    <a:xfrm>
                      <a:off x="0" y="0"/>
                      <a:ext cx="3673904" cy="2273300"/>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Students can also be registered by batch by importing a class list (</w:t>
      </w:r>
      <w:r>
        <w:rPr>
          <w:rFonts w:ascii="Courier New" w:hAnsi="Courier New" w:cs="Courier New"/>
          <w:b/>
          <w:bCs/>
          <w:sz w:val="24"/>
          <w:szCs w:val="24"/>
        </w:rPr>
        <w:t xml:space="preserve">Figure 4.10</w:t>
      </w:r>
      <w:r>
        <w:rPr>
          <w:rFonts w:ascii="Courier New" w:hAnsi="Courier New" w:cs="Courier New"/>
          <w:sz w:val="24"/>
          <w:szCs w:val="24"/>
        </w:rPr>
        <w:t xml:space="preserve">). The chairperson chooses the curriculum version and an Excel, CSV or KSU-MIS export file (</w:t>
      </w:r>
      <w:r>
        <w:rPr>
          <w:rFonts w:ascii="Courier New" w:hAnsi="Courier New" w:cs="Courier New"/>
          <w:b/>
          <w:bCs/>
          <w:sz w:val="24"/>
          <w:szCs w:val="24"/>
        </w:rPr>
        <w:t xml:space="preserve">Figure 4.10a</w:t>
      </w:r>
      <w:r>
        <w:rPr>
          <w:rFonts w:ascii="Courier New" w:hAnsi="Courier New" w:cs="Courier New"/>
          <w:sz w:val="24"/>
          <w:szCs w:val="24"/>
        </w:rPr>
        <w:t xml:space="preserve">), and the system reports how many students were imported and lists any row it skipped, such as a student who is not yet officially enrolled (</w:t>
      </w:r>
      <w:r>
        <w:rPr>
          <w:rFonts w:ascii="Courier New" w:hAnsi="Courier New" w:cs="Courier New"/>
          <w:b/>
          <w:bCs/>
          <w:sz w:val="24"/>
          <w:szCs w:val="24"/>
        </w:rPr>
        <w:t xml:space="preserve">Figure 4.10b</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4"/>
                    <a:stretch>
                      <a:fillRect/>
                    </a:stretch>
                  </pic:blipFill>
                  <pic:spPr>
                    <a:xfrm>
                      <a:off x="0" y="0"/>
                      <a:ext cx="4654980" cy="2880360"/>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5"/>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With the student registered, the chairperson enters the student's grade history on the Enter Grades page (</w:t>
      </w:r>
      <w:r>
        <w:rPr>
          <w:rFonts w:ascii="Courier New" w:hAnsi="Courier New" w:cs="Courier New"/>
          <w:b/>
          <w:bCs/>
          <w:sz w:val="24"/>
          <w:szCs w:val="24"/>
        </w:rPr>
        <w:t xml:space="preserve">Figure 4.11</w:t>
      </w:r>
      <w:r>
        <w:rPr>
          <w:rFonts w:ascii="Courier New" w:hAnsi="Courier New" w:cs="Courier New"/>
          <w:sz w:val="24"/>
          <w:szCs w:val="24"/>
        </w:rPr>
        <w:t xml:space="preserve">). The chairperson chooses the year level, the curriculum semester and the term in which the grades were earned (</w:t>
      </w:r>
      <w:r>
        <w:rPr>
          <w:rFonts w:ascii="Courier New" w:hAnsi="Courier New" w:cs="Courier New"/>
          <w:b/>
          <w:bCs/>
          <w:sz w:val="24"/>
          <w:szCs w:val="24"/>
        </w:rPr>
        <w:t xml:space="preserve">Figure 4.11a</w:t>
      </w:r>
      <w:r>
        <w:rPr>
          <w:rFonts w:ascii="Courier New" w:hAnsi="Courier New" w:cs="Courier New"/>
          <w:sz w:val="24"/>
          <w:szCs w:val="24"/>
        </w:rPr>
        <w:t xml:space="preserve">), picks the grade of each subject from the KSU grade values (</w:t>
      </w:r>
      <w:r>
        <w:rPr>
          <w:rFonts w:ascii="Courier New" w:hAnsi="Courier New" w:cs="Courier New"/>
          <w:b/>
          <w:bCs/>
          <w:sz w:val="24"/>
          <w:szCs w:val="24"/>
        </w:rPr>
        <w:t xml:space="preserve">Figure 4.11b</w:t>
      </w:r>
      <w:r>
        <w:rPr>
          <w:rFonts w:ascii="Courier New" w:hAnsi="Courier New" w:cs="Courier New"/>
          <w:sz w:val="24"/>
          <w:szCs w:val="24"/>
        </w:rPr>
        <w:t xml:space="preserve">), and confirms the grades before they are saved (</w:t>
      </w:r>
      <w:r>
        <w:rPr>
          <w:rFonts w:ascii="Courier New" w:hAnsi="Courier New" w:cs="Courier New"/>
          <w:b/>
          <w:bCs/>
          <w:sz w:val="24"/>
          <w:szCs w:val="24"/>
        </w:rPr>
        <w:t xml:space="preserve">Figure 4.11c</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6"/>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7"/>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8"/>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grades are saved, the Audit Engine audits the student's record against the curriculum, and the chairperson views the result as the student's audit report (</w:t>
      </w:r>
      <w:r>
        <w:rPr>
          <w:rFonts w:ascii="Courier New" w:hAnsi="Courier New" w:cs="Courier New"/>
          <w:b/>
          <w:bCs/>
          <w:sz w:val="24"/>
          <w:szCs w:val="24"/>
        </w:rPr>
        <w:t xml:space="preserve">Figure 4.12</w:t>
      </w:r>
      <w:r>
        <w:rPr>
          <w:rFonts w:ascii="Courier New" w:hAnsi="Courier New" w:cs="Courier New"/>
          <w:sz w:val="24"/>
          <w:szCs w:val="24"/>
        </w:rPr>
        <w:t xml:space="preserve">). Each subject is listed with its grade, the term in which it was taken and its status: a passed subject is Completed, while a failed one is Available to be retaken (</w:t>
      </w:r>
      <w:r>
        <w:rPr>
          <w:rFonts w:ascii="Courier New" w:hAnsi="Courier New" w:cs="Courier New"/>
          <w:b/>
          <w:bCs/>
          <w:sz w:val="24"/>
          <w:szCs w:val="24"/>
        </w:rPr>
        <w:t xml:space="preserve">Figure 4.12a</w:t>
      </w:r>
      <w:r>
        <w:rPr>
          <w:rFonts w:ascii="Courier New" w:hAnsi="Courier New" w:cs="Courier New"/>
          <w:sz w:val="24"/>
          <w:szCs w:val="24"/>
        </w:rPr>
        <w:t xml:space="preserve">).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 xml:space="preserve">Figure 4.12b</w:t>
      </w:r>
      <w:r>
        <w:rPr>
          <w:rFonts w:ascii="Courier New" w:hAnsi="Courier New" w:cs="Courier New"/>
          <w:sz w:val="24"/>
          <w:szCs w:val="24"/>
        </w:rPr>
        <w:t xml:space="preserve">). For a student who took a subject before passing its prerequisite, the subject is marked as a Violation with the reason (</w:t>
      </w:r>
      <w:r>
        <w:rPr>
          <w:rFonts w:ascii="Courier New" w:hAnsi="Courier New" w:cs="Courier New"/>
          <w:b/>
          <w:bCs/>
          <w:sz w:val="24"/>
          <w:szCs w:val="24"/>
        </w:rPr>
        <w:t xml:space="preserve">Figure 4.12c</w:t>
      </w:r>
      <w:r>
        <w:rPr>
          <w:rFonts w:ascii="Courier New" w:hAnsi="Courier New" w:cs="Courier New"/>
          <w:sz w:val="24"/>
          <w:szCs w:val="24"/>
        </w:rPr>
        <w:t xml:space="preserve">). The audit report can also be printed as a student evaluation (</w:t>
      </w:r>
      <w:r>
        <w:rPr>
          <w:rFonts w:ascii="Courier New" w:hAnsi="Courier New" w:cs="Courier New"/>
          <w:b/>
          <w:bCs/>
          <w:sz w:val="24"/>
          <w:szCs w:val="24"/>
        </w:rPr>
        <w:t xml:space="preserve">Figure 4.12d</w:t>
      </w:r>
      <w:r>
        <w:rPr>
          <w:rFonts w:ascii="Courier New" w:hAnsi="Courier New" w:cs="Courier New"/>
          <w:sz w:val="24"/>
          <w:szCs w:val="24"/>
        </w:rPr>
        <w:t xml:space="preserve">), which ends the process.</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9"/>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10"/>
                    <a:stretch>
                      <a:fillRect/>
                    </a:stretch>
                  </pic:blipFill>
                  <pic:spPr>
                    <a:xfrm>
                      <a:off x="0" y="0"/>
                      <a:ext cx="4593406" cy="2842260"/>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11"/>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12"/>
                    <a:stretch>
                      <a:fillRect/>
                    </a:stretch>
                  </pic:blipFill>
                  <pic:spPr>
                    <a:xfrm>
                      <a:off x="0" y="0"/>
                      <a:ext cx="3807218"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functional requirements state what Auditrix must do for its users. The system shall provide the following:</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 xml:space="preserve">Let the Dean and the Program Chairperson log in with their staff accounts, require a new chairperson to replace the temporary password at the first log in, and let each user edit their name and password in Account Settings.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 xml:space="preserve">Register students one at a time or by batch from an Excel or CSV file or the KSU-MIS export, and find students by name or ID number with filters by year level and status.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 xml:space="preserve">Record grades per term using the KSU grade values, including INC and its completion, keep a later grade from being replaced by an earlier one, and keep a logbook of every grade entered or changed.</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 xml:space="preserve">Audit every subject of the student's curriculum against its prerequisites, co-requisites, year standing and "all subjects completed" requirements, and give each subject one of the five statuses with the reason.</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 xml:space="preserve">Work out each student's year level from the units passed, allow the chairperson to set it by hand, and classify each student as regular or irregular for the current semester.</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 xml:space="preserve">Show each student's audit report, flag the subjects taken out of order, and print the student evaluation.</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 xml:space="preserve">Keep curriculum versions with their subjects and requirements, import a curriculum with a preview of the changes, export a version to CSV or PDF, and keep a history of the changes.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 xml:space="preserve">Record shifts, transfers and drops with a history for each student, lock the records of dropped and transferred-out students, and reopen a record when a student returns.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 xml:space="preserve">Summarize each program and list what needs attention, such as students with violations, and let the Dean set the current semester and compare the programs of the college.</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w:t>
      </w:r>
      <w:r>
        <w:rPr>
          <w:rFonts w:ascii="Courier New" w:hAnsi="Courier New" w:cs="Courier New"/>
          <w:sz w:val="24"/>
          <w:szCs w:val="24"/>
        </w:rPr>
        <w:lastRenderedPageBreak/>
        <w:t>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sectPr w:rsidR="003B1F7A" w:rsidSect="00D42FC3">
      <w:headerReference w:type="default" r:id="rId75"/>
      <w:headerReference w:type="first" r:id="rId76"/>
      <w:footerReference w:type="default" r:id="rId20"/>
      <w:footerReference w:type="first" r:id="rId20"/>
      <w:pgSz w:w="12242" w:h="15842"/>
      <w:pgMar w:top="1440" w:right="1440" w:bottom="1440" w:left="2160" w:header="709" w:footer="709" w:gutter="0"/>
      <w:pgNumType w:start="53"/>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93C94" w14:textId="77777777" w:rsidR="00DE24E7" w:rsidRDefault="00DE24E7">
      <w:pPr>
        <w:spacing w:after="0" w:line="240" w:lineRule="auto"/>
      </w:pPr>
      <w:r>
        <w:separator/>
      </w:r>
    </w:p>
  </w:endnote>
  <w:endnote w:type="continuationSeparator" w:id="0">
    <w:p w14:paraId="17142936" w14:textId="77777777" w:rsidR="00DE24E7" w:rsidRDefault="00DE2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E2BD" w14:textId="77777777" w:rsidR="00DE24E7" w:rsidRDefault="00DE24E7">
      <w:pPr>
        <w:spacing w:after="0" w:line="240" w:lineRule="auto"/>
      </w:pPr>
      <w:r>
        <w:separator/>
      </w:r>
    </w:p>
  </w:footnote>
  <w:footnote w:type="continuationSeparator" w:id="0">
    <w:p w14:paraId="6CE12DE9" w14:textId="77777777" w:rsidR="00DE24E7" w:rsidRDefault="00DE2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3CAEE823"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3675FDAE" wp14:editId="6791D41A">
                  <wp:simplePos x="0" y="0"/>
                  <wp:positionH relativeFrom="page">
                    <wp:align>right</wp:align>
                  </wp:positionH>
                  <wp:positionV relativeFrom="paragraph">
                    <wp:posOffset>204470</wp:posOffset>
                  </wp:positionV>
                  <wp:extent cx="7772400" cy="0"/>
                  <wp:effectExtent l="0" t="19050" r="19050" b="19050"/>
                  <wp:wrapNone/>
                  <wp:docPr id="155135417" name="Straight Connector 15513541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07F56B" id="Straight Connector 155135417" o:spid="_x0000_s1026" style="position:absolute;z-index:25168896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9360"/>
            <w:tab w:val="left" w:pos="2256"/>
            <w:tab w:val="center" w:pos="4320"/>
            <w:tab w:val="right" w:pos="8642"/>
          </w:tabs>
          <w:rPr>
            <w:rFonts w:ascii="Courier New" w:hAnsi="Courier New" w:cs="Courier New"/>
            <w:sz w:val="24"/>
          </w:rPr>
        </w:pPr>
      </w:p>
      <w:p w14:paraId="56522ED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77240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CDE64B3" w14:textId="75224DEE"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390DAA57" wp14:editId="5C4C8FA4">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7ACA3337"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862078B"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0DF48F17" wp14:editId="7A220B44">
                  <wp:simplePos x="0" y="0"/>
                  <wp:positionH relativeFrom="page">
                    <wp:align>right</wp:align>
                  </wp:positionH>
                  <wp:positionV relativeFrom="paragraph">
                    <wp:posOffset>204470</wp:posOffset>
                  </wp:positionV>
                  <wp:extent cx="7772400" cy="0"/>
                  <wp:effectExtent l="0" t="19050" r="19050" b="19050"/>
                  <wp:wrapNone/>
                  <wp:docPr id="337017749" name="Straight Connector 3370177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400936" id="Straight Connector 337017749" o:spid="_x0000_s1026" style="position:absolute;z-index:251693056;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74435FA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77240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9360"/>
            <w:tab w:val="left" w:pos="2256"/>
            <w:tab w:val="center" w:pos="4320"/>
            <w:tab w:val="right" w:pos="8642"/>
          </w:tabs>
          <w:rPr>
            <w:rFonts w:ascii="Courier New" w:hAnsi="Courier New" w:cs="Courier New"/>
            <w:sz w:val="24"/>
          </w:rPr>
        </w:pPr>
      </w:p>
      <w:p w14:paraId="56CA9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7A245BD2" wp14:editId="5FE37CC6">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634CF20D"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4B8BDCC9">
                  <wp:simplePos x="0" y="0"/>
                  <wp:positionH relativeFrom="page">
                    <wp:align>right</wp:align>
                  </wp:positionH>
                  <wp:positionV relativeFrom="paragraph">
                    <wp:posOffset>204470</wp:posOffset>
                  </wp:positionV>
                  <wp:extent cx="777240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03B5B2" id="Straight Connector 1406826386" o:spid="_x0000_s1026" style="position:absolute;z-index:25169715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B3F2876" w14:textId="59158F5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4100272F"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3536B0F1" wp14:editId="0E2ECE7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77240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09B791E8"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701248" behindDoc="0" locked="0" layoutInCell="1" allowOverlap="1" wp14:anchorId="54E436A4" wp14:editId="52110845">
                  <wp:simplePos x="0" y="0"/>
                  <wp:positionH relativeFrom="page">
                    <wp:align>right</wp:align>
                  </wp:positionH>
                  <wp:positionV relativeFrom="paragraph">
                    <wp:posOffset>204470</wp:posOffset>
                  </wp:positionV>
                  <wp:extent cx="7772400" cy="0"/>
                  <wp:effectExtent l="0" t="19050" r="19050" b="19050"/>
                  <wp:wrapNone/>
                  <wp:docPr id="1482701660" name="Straight Connector 148270166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BBEBDA" id="Straight Connector 1482701660" o:spid="_x0000_s1026" style="position:absolute;z-index:25170124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9360"/>
            <w:tab w:val="left" w:pos="2256"/>
            <w:tab w:val="center" w:pos="4320"/>
            <w:tab w:val="right" w:pos="8642"/>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77240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9360"/>
            <w:tab w:val="left" w:pos="2256"/>
            <w:tab w:val="center" w:pos="4320"/>
            <w:tab w:val="right" w:pos="8642"/>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16" Type="http://schemas.microsoft.com/office/2011/relationships/commentsExtended" Target="commentsExtended.xml"/><Relationship Id="rId11" Type="http://schemas.openxmlformats.org/officeDocument/2006/relationships/header" Target="header2.xml"/><Relationship Id="rId24" Type="http://schemas.openxmlformats.org/officeDocument/2006/relationships/header" Target="header7.xml"/><Relationship Id="rId79"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4.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header" Target="header9.xml"/><Relationship Id="rId30" Type="http://schemas.openxmlformats.org/officeDocument/2006/relationships/image" Target="media/image5.png"/><Relationship Id="rId77"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microsoft.com/office/2016/09/relationships/commentsIds" Target="commentsIds.xml"/><Relationship Id="rId20" Type="http://schemas.openxmlformats.org/officeDocument/2006/relationships/footer" Target="footer4.xml"/><Relationship Id="rId75"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eader" Target="header6.xml"/><Relationship Id="rId28" Type="http://schemas.openxmlformats.org/officeDocument/2006/relationships/image" Target="media/image3.png"/><Relationship Id="rId10" Type="http://schemas.openxmlformats.org/officeDocument/2006/relationships/footer" Target="footer1.xml"/><Relationship Id="rId31" Type="http://schemas.openxmlformats.org/officeDocument/2006/relationships/image" Target="media/image6.png"/><Relationship Id="rId78" Type="http://schemas.microsoft.com/office/2011/relationships/people" Target="peop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8/08/relationships/commentsExtensible" Target="commentsExtensible.xml"/><Relationship Id="rId76" Type="http://schemas.openxmlformats.org/officeDocument/2006/relationships/header" Target="header11.xml"/><Relationship Id="rId7" Type="http://schemas.openxmlformats.org/officeDocument/2006/relationships/footnotes" Target="footnotes.xml"/><Relationship Id="rId2" Type="http://schemas.openxmlformats.org/officeDocument/2006/relationships/customXml" Target="../customXml/item2.xml"/><Relationship Id="rId29" Type="http://schemas.openxmlformats.org/officeDocument/2006/relationships/image" Target="media/image4.png"/><Relationship Id="rIdStory01" Type="http://schemas.openxmlformats.org/officeDocument/2006/relationships/image" Target="media/story01.png"/><Relationship Id="rIdStory02" Type="http://schemas.openxmlformats.org/officeDocument/2006/relationships/image" Target="media/story02.png"/><Relationship Id="rIdStory03" Type="http://schemas.openxmlformats.org/officeDocument/2006/relationships/image" Target="media/story03.png"/><Relationship Id="rIdStory04" Type="http://schemas.openxmlformats.org/officeDocument/2006/relationships/image" Target="media/story04.png"/><Relationship Id="rIdStory05" Type="http://schemas.openxmlformats.org/officeDocument/2006/relationships/image" Target="media/story05.png"/><Relationship Id="rIdStory06" Type="http://schemas.openxmlformats.org/officeDocument/2006/relationships/image" Target="media/story06.png"/><Relationship Id="rIdStory07" Type="http://schemas.openxmlformats.org/officeDocument/2006/relationships/image" Target="media/story07.png"/><Relationship Id="rIdStory08" Type="http://schemas.openxmlformats.org/officeDocument/2006/relationships/image" Target="media/story08.png"/><Relationship Id="rIdStory09" Type="http://schemas.openxmlformats.org/officeDocument/2006/relationships/image" Target="media/story09.png"/><Relationship Id="rIdStory10" Type="http://schemas.openxmlformats.org/officeDocument/2006/relationships/image" Target="media/story10.png"/><Relationship Id="rIdStory11" Type="http://schemas.openxmlformats.org/officeDocument/2006/relationships/image" Target="media/story11.png"/><Relationship Id="rIdStory12" Type="http://schemas.openxmlformats.org/officeDocument/2006/relationships/image" Target="media/story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3453</TotalTime>
  <Pages>1</Pages>
  <Words>15485</Words>
  <Characters>88265</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23</cp:revision>
  <cp:lastPrinted>2026-03-23T12:07:00Z</cp:lastPrinted>
  <dcterms:created xsi:type="dcterms:W3CDTF">2026-03-29T10:34:00Z</dcterms:created>
  <dcterms:modified xsi:type="dcterms:W3CDTF">2026-10-15T12:01:00Z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