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iv</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82</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86</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84</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88</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70</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81</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82</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will be conducted using a printed (paper-based) questionnaire structured around the ISO/IEC 25010 framework. This questionnaire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traces the three problems above to eight root causes,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