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966F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68C208E8"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76DC979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Auditrix, to the ISO/IEC 25010 software quality standard. The results of the testing done on the developed system are presented before SOP No. 4.</w:t>
      </w:r>
    </w:p>
    <w:p w14:paraId="07AFE6C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02361ED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7148F15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65EB5E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4A74301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666684ED"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06066160"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21E211A7" w14:textId="77777777">
        <w:trPr>
          <w:cantSplit/>
          <w:tblHeader/>
        </w:trPr>
        <w:tc>
          <w:tcPr>
            <w:tcW w:w="2877" w:type="dxa"/>
          </w:tcPr>
          <w:p w14:paraId="3DD25B38"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4A0247C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5488DF0E"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345A9696" w14:textId="77777777">
        <w:trPr>
          <w:cantSplit/>
        </w:trPr>
        <w:tc>
          <w:tcPr>
            <w:tcW w:w="2877" w:type="dxa"/>
          </w:tcPr>
          <w:p w14:paraId="78CBE6E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4166A88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A5B1C5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15B5CA95" w14:textId="77777777">
        <w:trPr>
          <w:cantSplit/>
        </w:trPr>
        <w:tc>
          <w:tcPr>
            <w:tcW w:w="2877" w:type="dxa"/>
          </w:tcPr>
          <w:p w14:paraId="124FCAB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1A1FA5B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4B2641C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5BA5C338" w14:textId="77777777">
        <w:trPr>
          <w:cantSplit/>
        </w:trPr>
        <w:tc>
          <w:tcPr>
            <w:tcW w:w="2877" w:type="dxa"/>
          </w:tcPr>
          <w:p w14:paraId="7A29697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21BF713E"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486812C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70CE07AF"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2B09C813"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314D5DE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0017B74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Blindspots.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28DE717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78B399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1D2138F4"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4"/>
                    <a:stretch>
                      <a:fillRect/>
                    </a:stretch>
                  </pic:blipFill>
                  <pic:spPr>
                    <a:xfrm>
                      <a:off x="0" y="0"/>
                      <a:ext cx="5486400" cy="3017520"/>
                    </a:xfrm>
                    <a:prstGeom prst="rect">
                      <a:avLst/>
                    </a:prstGeom>
                  </pic:spPr>
                </pic:pic>
              </a:graphicData>
            </a:graphic>
          </wp:inline>
        </w:drawing>
      </w:r>
    </w:p>
    <w:p w14:paraId="1E92A1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Blindspots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A4AF34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5DBAB3E6"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developed Auditrix,</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BSCpE, BSIT</w:t>
      </w:r>
      <w:r w:rsidR="00B20169">
        <w:rPr>
          <w:rFonts w:ascii="Courier New" w:hAnsi="Courier New" w:cs="Courier New"/>
          <w:sz w:val="24"/>
          <w:szCs w:val="24"/>
        </w:rPr>
        <w:t>,</w:t>
      </w:r>
      <w:r>
        <w:rPr>
          <w:rFonts w:ascii="Courier New" w:hAnsi="Courier New" w:cs="Courier New"/>
          <w:sz w:val="24"/>
          <w:szCs w:val="24"/>
        </w:rPr>
        <w:t xml:space="preserve"> and BSCE programs of the CEIT. The system was built using the Iterative and Incremental Development (IID) model, allowing the Audit Engine's logic to be reviewed early and refined across three functional increments: (1) curriculum, </w:t>
      </w:r>
      <w:r>
        <w:rPr>
          <w:rFonts w:ascii="Courier New" w:hAnsi="Courier New" w:cs="Courier New"/>
          <w:sz w:val="24"/>
          <w:szCs w:val="24"/>
        </w:rPr>
        <w:lastRenderedPageBreak/>
        <w:t>student and grade records with a basic audit; (2) curriculum versions, imports, student movements and the redesigned interface; and (3) the term-based audit, automatic year levels, and the regular and irregular classification.</w:t>
      </w:r>
    </w:p>
    <w:p w14:paraId="3BE5B110" w14:textId="0DDFCCA6"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system runs on Next.js 16 (App Router and server actions) with React 19 and TypeScript, styled with Tailwind CSS 4 in a KSU green theme designed for responsiveness across desktop, tablet, and mobile. Supabase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52D547A1" w14:textId="75C684DB"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At the core of Auditrix is a TypeScript-based audit engine that checks every subject of the student's curriculum against the student's grade records and gives each subject 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1A2DB7B4" w14:textId="77777777">
        <w:trPr>
          <w:cantSplit/>
          <w:tblHeader/>
        </w:trPr>
        <w:tc>
          <w:tcPr>
            <w:tcW w:w="2000" w:type="dxa"/>
          </w:tcPr>
          <w:p w14:paraId="5B29BFEE"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Status</w:t>
            </w:r>
          </w:p>
        </w:tc>
        <w:tc>
          <w:tcPr>
            <w:tcW w:w="6632" w:type="dxa"/>
          </w:tcPr>
          <w:p w14:paraId="6BB5027F"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748CEC65" w14:textId="77777777">
        <w:trPr>
          <w:cantSplit/>
        </w:trPr>
        <w:tc>
          <w:tcPr>
            <w:tcW w:w="2000" w:type="dxa"/>
          </w:tcPr>
          <w:p w14:paraId="66ED27B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3319819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364E1F75" w14:textId="77777777">
        <w:trPr>
          <w:cantSplit/>
        </w:trPr>
        <w:tc>
          <w:tcPr>
            <w:tcW w:w="2000" w:type="dxa"/>
          </w:tcPr>
          <w:p w14:paraId="5D55D287"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407A7E5A"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5D8A0A2F" w14:textId="77777777">
        <w:trPr>
          <w:cantSplit/>
        </w:trPr>
        <w:tc>
          <w:tcPr>
            <w:tcW w:w="2000" w:type="dxa"/>
          </w:tcPr>
          <w:p w14:paraId="6E19A065"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682B3B2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2FF967A6" w14:textId="77777777">
        <w:trPr>
          <w:cantSplit/>
        </w:trPr>
        <w:tc>
          <w:tcPr>
            <w:tcW w:w="2000" w:type="dxa"/>
          </w:tcPr>
          <w:p w14:paraId="13B588F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36532D3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2B52C21D" w14:textId="77777777">
        <w:trPr>
          <w:cantSplit/>
        </w:trPr>
        <w:tc>
          <w:tcPr>
            <w:tcW w:w="2000" w:type="dxa"/>
          </w:tcPr>
          <w:p w14:paraId="0E0A23A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60650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193CA49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561DB186"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record until the subject is retaken after its requirements are met. This design replaced the system's first checker, </w:t>
      </w:r>
      <w:r>
        <w:rPr>
          <w:rFonts w:ascii="Courier New" w:hAnsi="Courier New" w:cs="Courier New"/>
          <w:sz w:val="24"/>
          <w:szCs w:val="24"/>
        </w:rPr>
        <w:lastRenderedPageBreak/>
        <w:t>which stored a permanent flag at the moment of entry; the reasons for the change are discussed under Testing of the System.</w:t>
      </w:r>
    </w:p>
    <w:p w14:paraId="7398B5C4"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684250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568CE3F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counts as passed only from the term in which it was resolved. A subject taken out of order earns no credit: it does not </w:t>
      </w:r>
      <w:r>
        <w:rPr>
          <w:rFonts w:ascii="Courier New" w:hAnsi="Courier New" w:cs="Courier New"/>
          <w:sz w:val="24"/>
          <w:szCs w:val="24"/>
        </w:rPr>
        <w:lastRenderedPageBreak/>
        <w:t>satisfy later prerequisites, does not count toward units or year level, and has to be retaken. If a prerequisite's grade from an earlier term is still in progress, the subject is Pending rather than a violation.</w:t>
      </w:r>
    </w:p>
    <w:p w14:paraId="783690D4"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Auditrix</w:t>
      </w:r>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2F65152D" w14:textId="6B9B8188"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college to a new semester. The year level given at registration or import is used as a starting point until the </w:t>
      </w:r>
      <w:r>
        <w:rPr>
          <w:rFonts w:ascii="Courier New" w:hAnsi="Courier New" w:cs="Courier New"/>
          <w:sz w:val="24"/>
          <w:szCs w:val="24"/>
        </w:rPr>
        <w:lastRenderedPageBreak/>
        <w:t>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75AB5487" w14:textId="77777777">
        <w:trPr>
          <w:cantSplit/>
          <w:tblHeader/>
        </w:trPr>
        <w:tc>
          <w:tcPr>
            <w:tcW w:w="3400" w:type="dxa"/>
          </w:tcPr>
          <w:p w14:paraId="53EA1BBD"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57370AE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78D85014" w14:textId="77777777">
        <w:trPr>
          <w:cantSplit/>
        </w:trPr>
        <w:tc>
          <w:tcPr>
            <w:tcW w:w="3400" w:type="dxa"/>
          </w:tcPr>
          <w:p w14:paraId="48D6B9DA"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70A4AEF1"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02DD0017" w14:textId="77777777">
        <w:trPr>
          <w:cantSplit/>
        </w:trPr>
        <w:tc>
          <w:tcPr>
            <w:tcW w:w="3400" w:type="dxa"/>
          </w:tcPr>
          <w:p w14:paraId="1D850B46"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140E4796"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14B9B2CA" w14:textId="77777777">
        <w:trPr>
          <w:cantSplit/>
        </w:trPr>
        <w:tc>
          <w:tcPr>
            <w:tcW w:w="3400" w:type="dxa"/>
          </w:tcPr>
          <w:p w14:paraId="7359277A"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3E4C6B35"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1B0CA598" w14:textId="77777777">
        <w:trPr>
          <w:cantSplit/>
        </w:trPr>
        <w:tc>
          <w:tcPr>
            <w:tcW w:w="3400" w:type="dxa"/>
          </w:tcPr>
          <w:p w14:paraId="330C9D64"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05FECD0A"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4F396B18"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8CE5E5E" w14:textId="3E7B0172"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50073681" w14:textId="70D31416"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irregular when enrolled in less; the missing subjects are listed. The prescribed load is taken to be the curriculum's </w:t>
      </w:r>
      <w:r>
        <w:rPr>
          <w:rFonts w:ascii="Courier New" w:hAnsi="Courier New" w:cs="Courier New"/>
          <w:sz w:val="24"/>
          <w:szCs w:val="24"/>
        </w:rPr>
        <w:lastRenderedPageBreak/>
        <w:t>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and the student is not counted either way. At the start of a semester, the chairperson marks the subjects each student is taking as In progress, so the status is known before any grades come in.</w:t>
      </w:r>
    </w:p>
    <w:p w14:paraId="3FC2E474" w14:textId="0E2420DA"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In progress. Several subjects can be ticked and marked In progress at once; ticking all leaves out the subjects the student cannot take yet (e.g., "Can't take yet. Needs: MATH 111"), which can still be ticked one by one if the student is enrolled in them anyway. Only changed grades are saved, and changing an existing grade is treated as a correction that asks for confirmation. A final grade for an </w:t>
      </w:r>
      <w:r>
        <w:rPr>
          <w:rFonts w:ascii="Courier New" w:hAnsi="Courier New" w:cs="Courier New"/>
          <w:sz w:val="24"/>
          <w:szCs w:val="24"/>
        </w:rPr>
        <w:lastRenderedPageBreak/>
        <w:t>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32C31E1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BSCpE 2019 and 2023), and a new version can copy an existing one. Each subject has a code, title, units, year level and semester (including midyear), and its requirements. Curricula can be imported from an Excel (.xlsx or .xls) or CSV file, in a format designed by the researchers, with a preview of what will be added, changed or removed before saving, exported to CSV or PDF, and every change is kept in a per-version change history showing who changed what, and when.</w:t>
      </w:r>
    </w:p>
    <w:p w14:paraId="448221F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Students and student movements.</w:t>
      </w:r>
      <w:r>
        <w:rPr>
          <w:rFonts w:ascii="Courier New" w:hAnsi="Courier New" w:cs="Courier New"/>
          <w:sz w:val="24"/>
          <w:szCs w:val="24"/>
        </w:rPr>
        <w:t xml:space="preserve"> Students are registered one at a time or imported from an Excel (.xlsx or .xls)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4F5E64B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Dashboard.</w:t>
      </w:r>
      <w:r>
        <w:rPr>
          <w:rFonts w:ascii="Courier New" w:hAnsi="Courier New" w:cs="Courier New"/>
          <w:sz w:val="24"/>
          <w:szCs w:val="24"/>
        </w:rPr>
        <w:t xml:space="preserve"> A "Needs attention" banner at the top lists what to act on, such as students with violations, students </w:t>
      </w:r>
      <w:r>
        <w:rPr>
          <w:rFonts w:ascii="Courier New" w:hAnsi="Courier New" w:cs="Courier New"/>
          <w:sz w:val="24"/>
          <w:szCs w:val="24"/>
        </w:rPr>
        <w:lastRenderedPageBreak/>
        <w:t>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4B763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Supabase RLS scopes visibility by role: Program Chairpersons see only the data of their own program, while Deans see their whole college. Operations that must all succeed together, such as creating a program with its chairperson account, replacing a chairperson, or accepting a shifting student, run as single </w:t>
      </w:r>
      <w:r>
        <w:rPr>
          <w:rFonts w:ascii="Courier New" w:hAnsi="Courier New" w:cs="Courier New"/>
          <w:sz w:val="24"/>
          <w:szCs w:val="24"/>
        </w:rPr>
        <w:lastRenderedPageBreak/>
        <w:t>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3103B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75CC466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38B6B23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53DEDF89"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28326D8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31A096F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Term-based grade entry with KSU grade values, In progress marking for several subjects at once, INC completion, </w:t>
      </w:r>
      <w:r>
        <w:rPr>
          <w:rFonts w:ascii="Courier New" w:hAnsi="Courier New" w:cs="Courier New"/>
          <w:sz w:val="24"/>
          <w:szCs w:val="24"/>
        </w:rPr>
        <w:lastRenderedPageBreak/>
        <w:t>earlier-term protection and a database-written grade logbook</w:t>
      </w:r>
    </w:p>
    <w:p w14:paraId="78CBF05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Curriculum management with versioning (e.g., BSCpE 2019 vs. BSCpE 2023), change history, and import with preview</w:t>
      </w:r>
    </w:p>
    <w:p w14:paraId="42D05AC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4E37530B" w14:textId="5668D84E"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3B79A3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447557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2006D76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64B4444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The system does not include subsystems for the Registrar, Accounting, or Library, and it is not connected to the KSU MIS. Its logic is limited to descriptive auditing (identifying compliance with existing rules); it does not perform predictive analytics, graduation monitoring, or AI-driven enrollment counseling.</w:t>
      </w:r>
    </w:p>
    <w:p w14:paraId="72AB53D7"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74F3A182" w14:textId="77777777">
        <w:trPr>
          <w:cantSplit/>
          <w:tblHeader/>
        </w:trPr>
        <w:tc>
          <w:tcPr>
            <w:tcW w:w="2877" w:type="dxa"/>
          </w:tcPr>
          <w:p w14:paraId="31BC645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2361C2D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787D2B50"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6B23DC22" w14:textId="77777777">
        <w:trPr>
          <w:cantSplit/>
        </w:trPr>
        <w:tc>
          <w:tcPr>
            <w:tcW w:w="2877" w:type="dxa"/>
          </w:tcPr>
          <w:p w14:paraId="4187E5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1578468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4237A0E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62D581E5" w14:textId="77777777">
        <w:trPr>
          <w:cantSplit/>
        </w:trPr>
        <w:tc>
          <w:tcPr>
            <w:tcW w:w="2877" w:type="dxa"/>
          </w:tcPr>
          <w:p w14:paraId="59C102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5C9C301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6EEF0667"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1D5A0042" w14:textId="77777777">
        <w:trPr>
          <w:cantSplit/>
        </w:trPr>
        <w:tc>
          <w:tcPr>
            <w:tcW w:w="2877" w:type="dxa"/>
          </w:tcPr>
          <w:p w14:paraId="33E51E5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77CA860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2F850693"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4D0A906C"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4830CFC2"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14708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w:t>
      </w:r>
      <w:r>
        <w:rPr>
          <w:rFonts w:ascii="Courier New" w:hAnsi="Courier New" w:cs="Courier New"/>
          <w:sz w:val="24"/>
          <w:szCs w:val="24"/>
        </w:rPr>
        <w:lastRenderedPageBreak/>
        <w:t>a locked record. The Dean oversees the college: viewing the dashboard of every program and comparing the programs, setting the current semester, creating programs with their 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139F1C79"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6100C68F" w14:textId="159AEA01"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In progress, which are first checked for valid KSU grade values and for conflicts with a later recorded term, the audit engine looks at the student's record for each subject. A subject with no record is Available if its requirements have been passed, Pending if it is waiting for a requirement's final grade, and Unavailable otherwise, with the missing </w:t>
      </w:r>
      <w:r>
        <w:rPr>
          <w:rFonts w:ascii="Courier New" w:hAnsi="Courier New" w:cs="Courier New"/>
          <w:sz w:val="24"/>
          <w:szCs w:val="24"/>
        </w:rPr>
        <w:lastRenderedPageBreak/>
        <w:t>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w:t>
      </w:r>
      <w:r w:rsidR="001711E6">
        <w:rPr>
          <w:rFonts w:ascii="Courier New" w:hAnsi="Courier New" w:cs="Courier New"/>
          <w:sz w:val="24"/>
          <w:szCs w:val="24"/>
        </w:rPr>
        <w:t>,</w:t>
      </w:r>
      <w:r>
        <w:rPr>
          <w:rFonts w:ascii="Courier New" w:hAnsi="Courier New" w:cs="Courier New"/>
          <w:sz w:val="24"/>
          <w:szCs w:val="24"/>
        </w:rPr>
        <w:t xml:space="preserve">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5A13FD03" w14:textId="77777777" w:rsidR="005D7A48" w:rsidRDefault="000451DF">
      <w:pPr>
        <w:spacing w:line="240" w:lineRule="auto"/>
        <w:jc w:val="center"/>
        <w:rPr>
          <w:rFonts w:ascii="Courier New" w:hAnsi="Courier New" w:cs="Courier New"/>
          <w:sz w:val="24"/>
          <w:szCs w:val="24"/>
        </w:rPr>
      </w:pPr>
      <w:r>
        <w:rPr>
          <w:noProof/>
        </w:rPr>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0311F6A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In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632F7759"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Figure 4.7. User Interface of Auditrix</w:t>
      </w:r>
      <w:r>
        <w:fldChar w:fldCharType="begin"/>
      </w:r>
      <w:r>
        <w:instrText xml:space="preserve"> TC "Figure 4.7. User Interface of Auditrix" \f f \l 1 </w:instrText>
      </w:r>
      <w:r>
        <w:fldChar w:fldCharType="end"/>
      </w:r>
    </w:p>
    <w:p w14:paraId="4BDE38A0"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0AC2409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2F026AA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31927E7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5933C17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54BEEA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5C0ACC4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22AA40F9"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6D103AB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1637C5C5"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88B61E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5738581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74AACAF0"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3E0647F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2799455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55B6D878"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12049AE4"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7E54C63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629B63E9"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7B9F73AB"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1544633A"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34314F4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272F387B"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17E4271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62BA5085"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4.7l. First Log In — password change with the rules checklist</w:t>
      </w:r>
      <w:r>
        <w:fldChar w:fldCharType="begin"/>
      </w:r>
      <w:r>
        <w:instrText xml:space="preserve"> TC "Figure 4.7l. First Log In — password change with the rules checklist" \f f \l 1 </w:instrText>
      </w:r>
      <w:r>
        <w:fldChar w:fldCharType="end"/>
      </w:r>
    </w:p>
    <w:p w14:paraId="26BCB04B"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6BCF614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2FC3E84A"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BEB91FF"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09B33DD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12AC89E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3C575A16"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6187F1F3"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7E27CBB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0D3C5A8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2F2571E4"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4A8EFA9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6A3046A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591244CF"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2CE6AD7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89A6AA8"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6FA652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4C157791"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Testing of the System</w:t>
      </w:r>
      <w:r>
        <w:fldChar w:fldCharType="begin"/>
      </w:r>
      <w:r>
        <w:instrText xml:space="preserve"> TC "Testing of the System" \f c \l 2 </w:instrText>
      </w:r>
      <w:r>
        <w:fldChar w:fldCharType="end"/>
      </w:r>
    </w:p>
    <w:p w14:paraId="6E98D3E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780764F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163 automated tests were written using the test runner built into Node.js, and all 163 pass. The tests need no database or network: the server actions are tested with Supabase replaced by an in-memory fake. Table 4.3 summarizes what they check.</w:t>
      </w:r>
    </w:p>
    <w:tbl>
      <w:tblPr>
        <w:tblStyle w:val="TableGrid"/>
        <w:tblW w:w="0" w:type="auto"/>
        <w:tblLook w:val="04A0" w:firstRow="1" w:lastRow="0" w:firstColumn="1" w:lastColumn="0" w:noHBand="0" w:noVBand="1"/>
      </w:tblPr>
      <w:tblGrid>
        <w:gridCol w:w="2400"/>
        <w:gridCol w:w="6232"/>
      </w:tblGrid>
      <w:tr w:rsidR="003B1F7A" w14:paraId="6E6EC1FE" w14:textId="77777777">
        <w:trPr>
          <w:cantSplit/>
          <w:tblHeader/>
        </w:trPr>
        <w:tc>
          <w:tcPr>
            <w:tcW w:w="2400" w:type="dxa"/>
          </w:tcPr>
          <w:p w14:paraId="4EBA5723"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5DADC51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1629C3D9" w14:textId="77777777">
        <w:trPr>
          <w:cantSplit/>
        </w:trPr>
        <w:tc>
          <w:tcPr>
            <w:tcW w:w="2400" w:type="dxa"/>
          </w:tcPr>
          <w:p w14:paraId="2A1527C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08A3FCE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B8DA16E" w14:textId="77777777">
        <w:trPr>
          <w:cantSplit/>
        </w:trPr>
        <w:tc>
          <w:tcPr>
            <w:tcW w:w="2400" w:type="dxa"/>
          </w:tcPr>
          <w:p w14:paraId="5B4B097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68B6E57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68A0C270" w14:textId="77777777">
        <w:trPr>
          <w:cantSplit/>
        </w:trPr>
        <w:tc>
          <w:tcPr>
            <w:tcW w:w="2400" w:type="dxa"/>
          </w:tcPr>
          <w:p w14:paraId="1376D05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5022F86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24530907" w14:textId="77777777">
        <w:trPr>
          <w:cantSplit/>
        </w:trPr>
        <w:tc>
          <w:tcPr>
            <w:tcW w:w="2400" w:type="dxa"/>
          </w:tcPr>
          <w:p w14:paraId="7A502AE9"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708B1FE2"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5ACCBA51" w14:textId="77777777">
        <w:trPr>
          <w:cantSplit/>
        </w:trPr>
        <w:tc>
          <w:tcPr>
            <w:tcW w:w="2400" w:type="dxa"/>
          </w:tcPr>
          <w:p w14:paraId="208E28F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08C7246A"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.xls parsing and the import preview plan; reading CSV, Excel workbooks (.xlsx), KSU-MIS .xls and Excel re-saved .xls; old Excel 97-2003 and damaged files; student template and .xlsx import</w:t>
            </w:r>
          </w:p>
        </w:tc>
      </w:tr>
      <w:tr w:rsidR="003B1F7A" w14:paraId="3AA9B9CD" w14:textId="77777777">
        <w:trPr>
          <w:cantSplit/>
        </w:trPr>
        <w:tc>
          <w:tcPr>
            <w:tcW w:w="2400" w:type="dxa"/>
          </w:tcPr>
          <w:p w14:paraId="7B149E0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60FF3BE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46D053BB" w14:textId="77777777">
        <w:trPr>
          <w:cantSplit/>
        </w:trPr>
        <w:tc>
          <w:tcPr>
            <w:tcW w:w="2400" w:type="dxa"/>
          </w:tcPr>
          <w:p w14:paraId="1C49BFB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44DC6CC"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4128FBA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4.3. Summary of the Automated Tests</w:t>
      </w:r>
      <w:r>
        <w:fldChar w:fldCharType="begin"/>
      </w:r>
      <w:r>
        <w:instrText xml:space="preserve"> TC "Table 4.3. Summary of the Automated Tests" \f t \l 1 </w:instrText>
      </w:r>
      <w:r>
        <w:fldChar w:fldCharType="end"/>
      </w:r>
    </w:p>
    <w:p w14:paraId="5C4C3EBE"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w:t>
      </w:r>
      <w:r>
        <w:rPr>
          <w:rFonts w:ascii="Courier New" w:hAnsi="Courier New" w:cs="Courier New"/>
          <w:sz w:val="24"/>
          <w:szCs w:val="24"/>
        </w:rPr>
        <w:lastRenderedPageBreak/>
        <w:t>their reasons, INC completion, the out-of-order warning after saving grades, setting the current semester, automatic year levels moving up with grades and semesters, chairperson overrides, regular and irregular counts, .xls and .xlsx imports, the earlier-term warning, and the password checklist. All scenarios passed after the defects found were fixed.</w:t>
      </w:r>
    </w:p>
    <w:p w14:paraId="740FD48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E58AF76"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4B4FFDBC"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56C5F42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03347ABA"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0F54DD08"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re-saving a flagged grade after the prerequisite was entered erased the violation.</w:t>
      </w:r>
    </w:p>
    <w:p w14:paraId="45B03CDF"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0F06826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07C459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Auditrix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4707E440" w14:textId="77777777">
        <w:trPr>
          <w:cantSplit/>
          <w:tblHeader/>
        </w:trPr>
        <w:tc>
          <w:tcPr>
            <w:tcW w:w="2400" w:type="dxa"/>
          </w:tcPr>
          <w:p w14:paraId="129BAF3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799E7ABE"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4FD7C515"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23B08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556CFB91" w14:textId="77777777">
        <w:trPr>
          <w:cantSplit/>
        </w:trPr>
        <w:tc>
          <w:tcPr>
            <w:tcW w:w="2400" w:type="dxa"/>
          </w:tcPr>
          <w:p w14:paraId="14CC3D0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7A4CE2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72AD1AB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5E7B73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0804FFE" w14:textId="77777777">
        <w:trPr>
          <w:cantSplit/>
        </w:trPr>
        <w:tc>
          <w:tcPr>
            <w:tcW w:w="2400" w:type="dxa"/>
          </w:tcPr>
          <w:p w14:paraId="50FBDF3D"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69B000C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201A8F1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5EF183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67CB407" w14:textId="77777777">
        <w:trPr>
          <w:cantSplit/>
        </w:trPr>
        <w:tc>
          <w:tcPr>
            <w:tcW w:w="2400" w:type="dxa"/>
          </w:tcPr>
          <w:p w14:paraId="4589999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4AD6194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1294E0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4803BA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08A09C5" w14:textId="77777777">
        <w:trPr>
          <w:cantSplit/>
        </w:trPr>
        <w:tc>
          <w:tcPr>
            <w:tcW w:w="2400" w:type="dxa"/>
          </w:tcPr>
          <w:p w14:paraId="29136C4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692CA8E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7158244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D74450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42061E" w14:textId="77777777">
        <w:trPr>
          <w:cantSplit/>
        </w:trPr>
        <w:tc>
          <w:tcPr>
            <w:tcW w:w="2400" w:type="dxa"/>
          </w:tcPr>
          <w:p w14:paraId="5AA5A2A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1F5EDE6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1587E70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9B77C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1855FC86" w14:textId="77777777">
        <w:trPr>
          <w:cantSplit/>
        </w:trPr>
        <w:tc>
          <w:tcPr>
            <w:tcW w:w="2400" w:type="dxa"/>
          </w:tcPr>
          <w:p w14:paraId="12F1867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56BF52D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04DA38B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2BE44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37D250F" w14:textId="77777777">
        <w:trPr>
          <w:cantSplit/>
        </w:trPr>
        <w:tc>
          <w:tcPr>
            <w:tcW w:w="2400" w:type="dxa"/>
          </w:tcPr>
          <w:p w14:paraId="35C5725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72C0C01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6795DA3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7AE1621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D6CBE89" w14:textId="77777777">
        <w:trPr>
          <w:cantSplit/>
        </w:trPr>
        <w:tc>
          <w:tcPr>
            <w:tcW w:w="2400" w:type="dxa"/>
          </w:tcPr>
          <w:p w14:paraId="630391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1AF0FE2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2A52787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38E4D28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0F7873" w14:textId="77777777">
        <w:trPr>
          <w:cantSplit/>
        </w:trPr>
        <w:tc>
          <w:tcPr>
            <w:tcW w:w="2400" w:type="dxa"/>
          </w:tcPr>
          <w:p w14:paraId="0FD66A89"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300" w:type="dxa"/>
          </w:tcPr>
          <w:p w14:paraId="2FC1B84D"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35C83418"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C83598E"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50272C81"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4.4. Extent of Compliance of Auditrix with ISO/IEC 25010</w:t>
      </w:r>
      <w:r>
        <w:fldChar w:fldCharType="begin"/>
      </w:r>
      <w:r>
        <w:instrText xml:space="preserve"> TC "Table 4.4. Extent of Compliance of Auditrix with ISO/IEC 25010" \f t \l 1 </w:instrText>
      </w:r>
      <w:r>
        <w:fldChar w:fldCharType="end"/>
      </w:r>
    </w:p>
    <w:sectPr w:rsidR="003B1F7A" w:rsidSect="00D42FC3">
      <w:headerReference w:type="default" r:id="rId71"/>
      <w:headerReference w:type="first" r:id="rId72"/>
      <w:pgSz w:w="12242" w:h="15842"/>
      <w:pgMar w:top="1440" w:right="1440" w:bottom="1440" w:left="2160" w:header="709" w:footer="709" w:gutter="0"/>
      <w:pgNumType w:start="56"/>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D6E35" w14:textId="77777777" w:rsidR="00082A58" w:rsidRDefault="00082A58">
      <w:pPr>
        <w:spacing w:after="0" w:line="240" w:lineRule="auto"/>
      </w:pPr>
      <w:r>
        <w:separator/>
      </w:r>
    </w:p>
  </w:endnote>
  <w:endnote w:type="continuationSeparator" w:id="0">
    <w:p w14:paraId="01B23FD6" w14:textId="77777777" w:rsidR="00082A58" w:rsidRDefault="00082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5F06FCF9"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2A23D1F2"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28EA9"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3A46B" w14:textId="77777777" w:rsidR="00281C3E" w:rsidRDefault="00000000">
    <w:pP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49449467"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0CAFD73C"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297A5"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BB2340" w14:textId="77777777" w:rsidR="00082A58" w:rsidRDefault="00082A58">
      <w:pPr>
        <w:spacing w:after="0" w:line="240" w:lineRule="auto"/>
      </w:pPr>
      <w:r>
        <w:separator/>
      </w:r>
    </w:p>
  </w:footnote>
  <w:footnote w:type="continuationSeparator" w:id="0">
    <w:p w14:paraId="61561378" w14:textId="77777777" w:rsidR="00082A58" w:rsidRDefault="00082A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6CA0614D"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673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185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776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980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5FC1C8D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8421840"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0AA921AD" w14:textId="77777777" w:rsidR="00094483" w:rsidRDefault="00000000">
        <w:pPr>
          <w:pStyle w:val="Header"/>
          <w:jc w:val="right"/>
          <w:rPr>
            <w:rFonts w:ascii="Courier New" w:hAnsi="Courier New" w:cs="Courier New"/>
          </w:rPr>
        </w:pPr>
      </w:p>
    </w:sdtContent>
  </w:sdt>
  <w:p w14:paraId="157D95D5"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3BA76C33" w14:textId="77777777" w:rsidR="00094483" w:rsidRDefault="00094483">
        <w:pPr>
          <w:pStyle w:val="Header"/>
          <w:rPr>
            <w:rFonts w:ascii="Courier New" w:hAnsi="Courier New" w:cs="Courier New"/>
            <w:sz w:val="20"/>
            <w:szCs w:val="20"/>
          </w:rPr>
        </w:pPr>
      </w:p>
      <w:p w14:paraId="20EEC5E8" w14:textId="77777777" w:rsidR="00094483" w:rsidRDefault="00000000">
        <w:pPr>
          <w:pStyle w:val="Header"/>
          <w:jc w:val="right"/>
          <w:rPr>
            <w:rFonts w:ascii="Courier New" w:hAnsi="Courier New" w:cs="Courier New"/>
          </w:rPr>
        </w:pPr>
      </w:p>
    </w:sdtContent>
  </w:sdt>
  <w:p w14:paraId="032B25E8"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09D1006A"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571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288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878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083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32099C47"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5BD2B5B"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College of Engineering and Information Technol</w:t>
        </w:r>
        <w:r w:rsidR="00065C3A">
          <w:rPr>
            <w:rFonts w:ascii="Courier New" w:hAnsi="Courier New" w:cs="Courier New"/>
            <w:sz w:val="24"/>
            <w:szCs w:val="24"/>
            <w:lang w:val="en-US"/>
          </w:rPr>
          <w:t>og</w:t>
        </w:r>
      </w:p>
      <w:p w14:paraId="35351A8D" w14:textId="77777777" w:rsidR="00094483" w:rsidRDefault="00000000">
        <w:pPr>
          <w:pStyle w:val="Header"/>
          <w:jc w:val="right"/>
          <w:rPr>
            <w:rFonts w:ascii="Courier New" w:hAnsi="Courier New" w:cs="Courier New"/>
          </w:rPr>
        </w:pPr>
      </w:p>
    </w:sdtContent>
  </w:sdt>
  <w:p w14:paraId="1698BA7D"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020AEFC2"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89CA730"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2CC6C1BF"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00376C1" w14:textId="77777777" w:rsidR="00D42FC3" w:rsidRPr="00693157" w:rsidRDefault="00D42FC3">
        <w:pPr>
          <w:pStyle w:val="Header"/>
          <w:jc w:val="right"/>
          <w:rPr>
            <w:rFonts w:ascii="Courier New" w:hAnsi="Courier New" w:cs="Courier New"/>
            <w:sz w:val="20"/>
            <w:szCs w:val="20"/>
          </w:rPr>
        </w:pP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7FEFB70E"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46163DEB"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5E522FA5"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r>
          <w:rPr>
            <w:rFonts w:ascii="Courier New" w:hAnsi="Courier New" w:cs="Courier New"/>
            <w:sz w:val="24"/>
          </w:rPr>
          <w:tab/>
        </w:r>
      </w:p>
      <w:p w14:paraId="11FAAD87" w14:textId="77777777" w:rsidR="00043F26" w:rsidRDefault="00000000">
        <w:pPr>
          <w:pStyle w:val="Header"/>
          <w:jc w:val="right"/>
          <w:rPr>
            <w:rFonts w:ascii="Courier New" w:hAnsi="Courier New" w:cs="Courier New"/>
          </w:rPr>
        </w:pPr>
      </w:p>
    </w:sdtContent>
  </w:sdt>
  <w:p w14:paraId="58DFCCB0"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6188677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8F69CF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37F0B448"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840EDFF" w14:textId="77777777" w:rsidR="00693157" w:rsidRPr="00693157" w:rsidRDefault="004702A7">
        <w:pPr>
          <w:pStyle w:val="Header"/>
          <w:jc w:val="right"/>
          <w:rPr>
            <w:rFonts w:ascii="Courier New" w:hAnsi="Courier New" w:cs="Courier New"/>
            <w:sz w:val="20"/>
            <w:szCs w:val="20"/>
          </w:rPr>
        </w:pP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5DF7202F"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2436E5A6"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6914D2F1"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EED45E2"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F9EE33D" w14:textId="77777777" w:rsidR="00693157" w:rsidRPr="00693157" w:rsidRDefault="00000000">
        <w:pPr>
          <w:pStyle w:val="Header"/>
          <w:jc w:val="right"/>
          <w:rPr>
            <w:rFonts w:ascii="Courier New" w:hAnsi="Courier New" w:cs="Courier New"/>
            <w:sz w:val="20"/>
            <w:szCs w:val="20"/>
          </w:rPr>
        </w:pPr>
      </w:p>
    </w:sdtContent>
  </w:sdt>
  <w:p w14:paraId="1D8089D5"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DF77417"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155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950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392D55E5"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1B450D3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43195E82" w14:textId="77777777" w:rsidR="00693157" w:rsidRPr="00693157" w:rsidRDefault="004702A7">
        <w:pPr>
          <w:pStyle w:val="Header"/>
          <w:jc w:val="right"/>
          <w:rPr>
            <w:rFonts w:ascii="Courier New" w:hAnsi="Courier New" w:cs="Courier New"/>
            <w:sz w:val="20"/>
            <w:szCs w:val="20"/>
          </w:rPr>
        </w:pP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3F4B8568"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006DE53A"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2FF81EB"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6F27CF6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54CFFF1" w14:textId="77777777" w:rsidR="00693157" w:rsidRPr="00693157" w:rsidRDefault="00000000">
        <w:pPr>
          <w:pStyle w:val="Header"/>
          <w:jc w:val="right"/>
          <w:rPr>
            <w:rFonts w:ascii="Courier New" w:hAnsi="Courier New" w:cs="Courier New"/>
            <w:sz w:val="20"/>
            <w:szCs w:val="20"/>
          </w:rPr>
        </w:pPr>
      </w:p>
    </w:sdtContent>
  </w:sdt>
  <w:p w14:paraId="5603AE78"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66566237"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974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769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B02D497"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56A25AF4"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2D882207" w14:textId="77777777" w:rsidR="000F43AB" w:rsidRPr="00693157" w:rsidRDefault="00FE5B08">
        <w:pPr>
          <w:pStyle w:val="Header"/>
          <w:jc w:val="right"/>
          <w:rPr>
            <w:rFonts w:ascii="Courier New" w:hAnsi="Courier New" w:cs="Courier New"/>
            <w:sz w:val="20"/>
            <w:szCs w:val="20"/>
          </w:rPr>
        </w:pP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A8E22C9"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A97CF22"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257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CF226EB"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t>Bulanao, Tabuk City, Kalinga</w:t>
        </w:r>
      </w:p>
      <w:p w14:paraId="40CBB780"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624B70D4" w14:textId="77777777" w:rsidR="003F68EB" w:rsidRPr="00693157" w:rsidRDefault="00000000">
        <w:pPr>
          <w:pStyle w:val="Header"/>
          <w:jc w:val="right"/>
          <w:rPr>
            <w:rFonts w:ascii="Courier New" w:hAnsi="Courier New" w:cs="Courier New"/>
            <w:sz w:val="20"/>
            <w:szCs w:val="20"/>
          </w:rPr>
        </w:pPr>
      </w:p>
    </w:sdtContent>
  </w:sdt>
  <w:p w14:paraId="0334723A"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2944"/>
    <w:rsid w:val="00034DEB"/>
    <w:rsid w:val="0003738E"/>
    <w:rsid w:val="00043F26"/>
    <w:rsid w:val="0004484A"/>
    <w:rsid w:val="000451DF"/>
    <w:rsid w:val="00062C4C"/>
    <w:rsid w:val="000654E5"/>
    <w:rsid w:val="00065C3A"/>
    <w:rsid w:val="000715FA"/>
    <w:rsid w:val="00082A58"/>
    <w:rsid w:val="00094483"/>
    <w:rsid w:val="000A4438"/>
    <w:rsid w:val="000E6F57"/>
    <w:rsid w:val="000F4102"/>
    <w:rsid w:val="000F43AB"/>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3EDB"/>
    <w:rsid w:val="001D40D5"/>
    <w:rsid w:val="001F5D5D"/>
    <w:rsid w:val="001F669E"/>
    <w:rsid w:val="00204DE1"/>
    <w:rsid w:val="0020697A"/>
    <w:rsid w:val="002204CD"/>
    <w:rsid w:val="00227703"/>
    <w:rsid w:val="00231FF2"/>
    <w:rsid w:val="00233D79"/>
    <w:rsid w:val="00235569"/>
    <w:rsid w:val="00257ACB"/>
    <w:rsid w:val="00281C3E"/>
    <w:rsid w:val="00285B84"/>
    <w:rsid w:val="00286D38"/>
    <w:rsid w:val="002A7E86"/>
    <w:rsid w:val="002B71E5"/>
    <w:rsid w:val="002E2B4E"/>
    <w:rsid w:val="00322AEC"/>
    <w:rsid w:val="003435D5"/>
    <w:rsid w:val="00354190"/>
    <w:rsid w:val="00354C19"/>
    <w:rsid w:val="003551F3"/>
    <w:rsid w:val="0036085E"/>
    <w:rsid w:val="00364019"/>
    <w:rsid w:val="00364634"/>
    <w:rsid w:val="00370016"/>
    <w:rsid w:val="003770D4"/>
    <w:rsid w:val="0039142D"/>
    <w:rsid w:val="00392FEA"/>
    <w:rsid w:val="003A1908"/>
    <w:rsid w:val="003A2BB0"/>
    <w:rsid w:val="003B1F7A"/>
    <w:rsid w:val="003D1856"/>
    <w:rsid w:val="003D4C44"/>
    <w:rsid w:val="003F68EB"/>
    <w:rsid w:val="004349CC"/>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7A68"/>
    <w:rsid w:val="00634791"/>
    <w:rsid w:val="00655175"/>
    <w:rsid w:val="006659AC"/>
    <w:rsid w:val="006773FB"/>
    <w:rsid w:val="00693157"/>
    <w:rsid w:val="006A4101"/>
    <w:rsid w:val="006B2967"/>
    <w:rsid w:val="006B7748"/>
    <w:rsid w:val="006B7976"/>
    <w:rsid w:val="006C014C"/>
    <w:rsid w:val="006C6F62"/>
    <w:rsid w:val="006C7CEC"/>
    <w:rsid w:val="006D1993"/>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54016"/>
    <w:rsid w:val="00AC0C73"/>
    <w:rsid w:val="00AC4A58"/>
    <w:rsid w:val="00AD25F6"/>
    <w:rsid w:val="00AE31CB"/>
    <w:rsid w:val="00B117A3"/>
    <w:rsid w:val="00B20169"/>
    <w:rsid w:val="00B2330C"/>
    <w:rsid w:val="00B2742E"/>
    <w:rsid w:val="00B52031"/>
    <w:rsid w:val="00B848A7"/>
    <w:rsid w:val="00BB43F5"/>
    <w:rsid w:val="00BB5EB3"/>
    <w:rsid w:val="00BD55B1"/>
    <w:rsid w:val="00BE3A9D"/>
    <w:rsid w:val="00C0604D"/>
    <w:rsid w:val="00C06B83"/>
    <w:rsid w:val="00C11FF9"/>
    <w:rsid w:val="00C147CF"/>
    <w:rsid w:val="00C23807"/>
    <w:rsid w:val="00C31890"/>
    <w:rsid w:val="00C3444F"/>
    <w:rsid w:val="00C43180"/>
    <w:rsid w:val="00C65FE8"/>
    <w:rsid w:val="00CF0EBE"/>
    <w:rsid w:val="00D01BB6"/>
    <w:rsid w:val="00D07971"/>
    <w:rsid w:val="00D42FC3"/>
    <w:rsid w:val="00D44825"/>
    <w:rsid w:val="00D56796"/>
    <w:rsid w:val="00D63916"/>
    <w:rsid w:val="00D73966"/>
    <w:rsid w:val="00D814AD"/>
    <w:rsid w:val="00D822A5"/>
    <w:rsid w:val="00DA53FA"/>
    <w:rsid w:val="00DC1152"/>
    <w:rsid w:val="00DC1246"/>
    <w:rsid w:val="00DF44F3"/>
    <w:rsid w:val="00E17630"/>
    <w:rsid w:val="00E24983"/>
    <w:rsid w:val="00E30FC2"/>
    <w:rsid w:val="00E32852"/>
    <w:rsid w:val="00E7325B"/>
    <w:rsid w:val="00E8527F"/>
    <w:rsid w:val="00E91CB9"/>
    <w:rsid w:val="00EB59C2"/>
    <w:rsid w:val="00EB74D8"/>
    <w:rsid w:val="00EC7D3C"/>
    <w:rsid w:val="00ED515B"/>
    <w:rsid w:val="00EF4242"/>
    <w:rsid w:val="00F014D8"/>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FDA93"/>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42" Type="http://schemas.openxmlformats.org/officeDocument/2006/relationships/image" Target="media/image21.png"/><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74"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8" Type="http://schemas.openxmlformats.org/officeDocument/2006/relationships/endnotes" Target="endnotes.xm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20" Type="http://schemas.openxmlformats.org/officeDocument/2006/relationships/header" Target="header7.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7.png"/><Relationship Id="rId36" Type="http://schemas.openxmlformats.org/officeDocument/2006/relationships/image" Target="media/image15.png"/><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8.png"/><Relationship Id="rId34" Type="http://schemas.openxmlformats.org/officeDocument/2006/relationships/image" Target="media/image13.png"/><Relationship Id="rId7" Type="http://schemas.openxmlformats.org/officeDocument/2006/relationships/footnotes" Target="footnotes.xml"/><Relationship Id="rId71"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1684</TotalTime>
  <Pages>102</Pages>
  <Words>15158</Words>
  <Characters>86401</Characters>
  <Application>Microsoft Office Word</Application>
  <DocSecurity>0</DocSecurity>
  <Lines>720</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9</cp:revision>
  <cp:lastPrinted>2026-03-23T12:07:00Z</cp:lastPrinted>
  <dcterms:created xsi:type="dcterms:W3CDTF">2026-03-29T10:34:00Z</dcterms:created>
  <dcterms:modified xsi:type="dcterms:W3CDTF">2026-10-13T12:50:00Z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