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19CF2" w14:textId="77777777" w:rsidR="00094483" w:rsidRDefault="00094483">
      <w:pPr>
        <w:spacing w:after="0" w:line="240" w:lineRule="auto"/>
        <w:jc w:val="center"/>
        <w:rPr>
          <w:rFonts w:ascii="Courier New" w:hAnsi="Courier New" w:cs="Courier New"/>
          <w:b/>
          <w:bCs/>
          <w:sz w:val="24"/>
          <w:szCs w:val="24"/>
          <w:lang w:val="en-US"/>
        </w:rPr>
      </w:pPr>
    </w:p>
    <w:p w14:paraId="3D2EC209" w14:textId="77777777" w:rsidR="00094483" w:rsidRDefault="00000000">
      <w:pPr>
        <w:keepNext/>
        <w:spacing w:after="0" w:line="240" w:lineRule="auto"/>
        <w:jc w:val="center"/>
        <w:rPr>
          <w:rFonts w:ascii="Courier New" w:hAnsi="Courier New" w:cs="Courier New"/>
          <w:b/>
          <w:bCs/>
          <w:sz w:val="24"/>
          <w:szCs w:val="24"/>
          <w:lang w:val="en-US"/>
        </w:rPr>
      </w:pPr>
      <w:r>
        <w:rPr>
          <w:rFonts w:ascii="Courier New" w:hAnsi="Courier New" w:cs="Courier New"/>
          <w:b/>
          <w:bCs/>
          <w:sz w:val="24"/>
          <w:szCs w:val="24"/>
          <w:lang w:val="en-US"/>
        </w:rPr>
        <w:t>Auditrix - A Curriculum Audit System for KSU</w:t>
      </w:r>
    </w:p>
    <w:p w14:paraId="45D6B01B" w14:textId="77777777" w:rsidR="00094483" w:rsidRDefault="00094483">
      <w:pPr>
        <w:spacing w:line="240" w:lineRule="auto"/>
        <w:jc w:val="center"/>
        <w:rPr>
          <w:rFonts w:ascii="Courier New" w:hAnsi="Courier New" w:cs="Courier New"/>
          <w:b/>
          <w:bCs/>
          <w:sz w:val="24"/>
          <w:szCs w:val="24"/>
          <w:lang w:val="en-US"/>
        </w:rPr>
      </w:pPr>
    </w:p>
    <w:p w14:paraId="582ED7AB" w14:textId="77777777" w:rsidR="00094483" w:rsidRDefault="00094483">
      <w:pPr>
        <w:spacing w:line="240" w:lineRule="auto"/>
        <w:jc w:val="center"/>
        <w:rPr>
          <w:rFonts w:ascii="Courier New" w:hAnsi="Courier New" w:cs="Courier New"/>
          <w:b/>
          <w:bCs/>
          <w:sz w:val="24"/>
          <w:szCs w:val="24"/>
          <w:lang w:val="en-US"/>
        </w:rPr>
      </w:pPr>
    </w:p>
    <w:p w14:paraId="1814AF7D" w14:textId="77777777" w:rsidR="00094483" w:rsidRDefault="00094483">
      <w:pPr>
        <w:spacing w:line="240" w:lineRule="auto"/>
        <w:jc w:val="center"/>
        <w:rPr>
          <w:rFonts w:ascii="Courier New" w:hAnsi="Courier New" w:cs="Courier New"/>
          <w:b/>
          <w:bCs/>
          <w:sz w:val="24"/>
          <w:szCs w:val="24"/>
          <w:lang w:val="en-US"/>
        </w:rPr>
      </w:pPr>
    </w:p>
    <w:p w14:paraId="6C9D0541" w14:textId="77777777" w:rsidR="00094483" w:rsidRDefault="00094483">
      <w:pPr>
        <w:spacing w:line="240" w:lineRule="auto"/>
        <w:jc w:val="center"/>
        <w:rPr>
          <w:rFonts w:ascii="Courier New" w:hAnsi="Courier New" w:cs="Courier New"/>
          <w:b/>
          <w:bCs/>
          <w:sz w:val="24"/>
          <w:szCs w:val="24"/>
          <w:lang w:val="en-US"/>
        </w:rPr>
      </w:pPr>
    </w:p>
    <w:p w14:paraId="5EDF8D51"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413D3C42"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653D9607" w14:textId="77777777" w:rsidR="00094483" w:rsidRDefault="00094483">
      <w:pPr>
        <w:spacing w:line="240" w:lineRule="auto"/>
        <w:jc w:val="center"/>
        <w:rPr>
          <w:rFonts w:ascii="Courier New" w:hAnsi="Courier New" w:cs="Courier New"/>
          <w:sz w:val="24"/>
          <w:szCs w:val="24"/>
        </w:rPr>
      </w:pPr>
    </w:p>
    <w:p w14:paraId="06B17385" w14:textId="77777777" w:rsidR="00094483" w:rsidRDefault="00094483">
      <w:pPr>
        <w:spacing w:line="240" w:lineRule="auto"/>
        <w:jc w:val="center"/>
        <w:rPr>
          <w:rFonts w:ascii="Courier New" w:hAnsi="Courier New" w:cs="Courier New"/>
          <w:sz w:val="24"/>
          <w:szCs w:val="24"/>
        </w:rPr>
      </w:pPr>
    </w:p>
    <w:p w14:paraId="60A97B26" w14:textId="77777777" w:rsidR="00094483" w:rsidRDefault="00094483">
      <w:pPr>
        <w:spacing w:line="240" w:lineRule="auto"/>
        <w:jc w:val="center"/>
        <w:rPr>
          <w:rFonts w:ascii="Courier New" w:hAnsi="Courier New" w:cs="Courier New"/>
          <w:sz w:val="24"/>
          <w:szCs w:val="24"/>
        </w:rPr>
      </w:pPr>
    </w:p>
    <w:p w14:paraId="60E645BB" w14:textId="77777777" w:rsidR="00094483" w:rsidRDefault="00094483">
      <w:pPr>
        <w:spacing w:line="240" w:lineRule="auto"/>
        <w:jc w:val="center"/>
        <w:rPr>
          <w:rFonts w:ascii="Courier New" w:hAnsi="Courier New" w:cs="Courier New"/>
          <w:sz w:val="24"/>
          <w:szCs w:val="24"/>
        </w:rPr>
      </w:pPr>
    </w:p>
    <w:p w14:paraId="7D0E0A78" w14:textId="77777777" w:rsidR="00094483" w:rsidRDefault="00094483">
      <w:pPr>
        <w:spacing w:line="240" w:lineRule="auto"/>
        <w:jc w:val="center"/>
        <w:rPr>
          <w:rFonts w:ascii="Courier New" w:hAnsi="Courier New" w:cs="Courier New"/>
          <w:sz w:val="24"/>
          <w:szCs w:val="24"/>
        </w:rPr>
      </w:pPr>
    </w:p>
    <w:p w14:paraId="1EB4A13F" w14:textId="77777777" w:rsidR="00094483" w:rsidRDefault="00094483">
      <w:pPr>
        <w:spacing w:line="240" w:lineRule="auto"/>
        <w:jc w:val="center"/>
        <w:rPr>
          <w:rFonts w:ascii="Courier New" w:hAnsi="Courier New" w:cs="Courier New"/>
          <w:sz w:val="24"/>
          <w:szCs w:val="24"/>
        </w:rPr>
      </w:pPr>
    </w:p>
    <w:p w14:paraId="129AA6E9"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5201F4E3" w14:textId="77777777" w:rsidR="00094483" w:rsidRDefault="00094483">
      <w:pPr>
        <w:spacing w:line="240" w:lineRule="auto"/>
        <w:jc w:val="center"/>
        <w:rPr>
          <w:rFonts w:ascii="Courier New" w:hAnsi="Courier New" w:cs="Courier New"/>
          <w:sz w:val="24"/>
          <w:szCs w:val="24"/>
        </w:rPr>
      </w:pPr>
    </w:p>
    <w:p w14:paraId="301C83CE" w14:textId="77777777" w:rsidR="00094483" w:rsidRDefault="00094483">
      <w:pPr>
        <w:spacing w:line="240" w:lineRule="auto"/>
        <w:jc w:val="center"/>
        <w:rPr>
          <w:rFonts w:ascii="Courier New" w:hAnsi="Courier New" w:cs="Courier New"/>
          <w:sz w:val="24"/>
          <w:szCs w:val="24"/>
        </w:rPr>
      </w:pPr>
    </w:p>
    <w:p w14:paraId="50F9396C" w14:textId="77777777" w:rsidR="00094483" w:rsidRDefault="00094483">
      <w:pPr>
        <w:spacing w:line="240" w:lineRule="auto"/>
        <w:jc w:val="center"/>
        <w:rPr>
          <w:rFonts w:ascii="Courier New" w:hAnsi="Courier New" w:cs="Courier New"/>
          <w:sz w:val="24"/>
          <w:szCs w:val="24"/>
        </w:rPr>
      </w:pPr>
    </w:p>
    <w:p w14:paraId="041CB7EF" w14:textId="77777777" w:rsidR="00094483" w:rsidRDefault="00094483">
      <w:pPr>
        <w:spacing w:line="240" w:lineRule="auto"/>
        <w:jc w:val="center"/>
        <w:rPr>
          <w:rFonts w:ascii="Courier New" w:hAnsi="Courier New" w:cs="Courier New"/>
          <w:sz w:val="24"/>
          <w:szCs w:val="24"/>
        </w:rPr>
      </w:pPr>
    </w:p>
    <w:p w14:paraId="5CC8FB2D" w14:textId="77777777" w:rsidR="00094483" w:rsidRDefault="00094483">
      <w:pPr>
        <w:spacing w:line="240" w:lineRule="auto"/>
        <w:jc w:val="center"/>
        <w:rPr>
          <w:rFonts w:ascii="Courier New" w:hAnsi="Courier New" w:cs="Courier New"/>
          <w:sz w:val="24"/>
          <w:szCs w:val="24"/>
        </w:rPr>
      </w:pPr>
    </w:p>
    <w:p w14:paraId="2558E5C2" w14:textId="77777777" w:rsidR="00094483" w:rsidRDefault="00094483">
      <w:pPr>
        <w:spacing w:line="240" w:lineRule="auto"/>
        <w:jc w:val="center"/>
        <w:rPr>
          <w:rFonts w:ascii="Courier New" w:hAnsi="Courier New" w:cs="Courier New"/>
          <w:sz w:val="24"/>
          <w:szCs w:val="24"/>
        </w:rPr>
      </w:pPr>
    </w:p>
    <w:p w14:paraId="5E731958"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Jhonrey Binaraba</w:t>
      </w:r>
    </w:p>
    <w:p w14:paraId="00A024F5"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1AB67245"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Kenneth Christian Tockiapao</w:t>
      </w:r>
    </w:p>
    <w:p w14:paraId="644A7B6F" w14:textId="77777777" w:rsidR="00094483" w:rsidRDefault="00094483">
      <w:pPr>
        <w:spacing w:after="0" w:line="240" w:lineRule="auto"/>
        <w:jc w:val="center"/>
        <w:rPr>
          <w:rFonts w:ascii="Courier New" w:hAnsi="Courier New" w:cs="Courier New"/>
          <w:sz w:val="24"/>
          <w:szCs w:val="24"/>
        </w:rPr>
      </w:pPr>
    </w:p>
    <w:p w14:paraId="186E49C6" w14:textId="77777777" w:rsidR="00094483" w:rsidRDefault="00094483">
      <w:pPr>
        <w:spacing w:after="0" w:line="240" w:lineRule="auto"/>
        <w:jc w:val="center"/>
        <w:rPr>
          <w:rFonts w:ascii="Courier New" w:hAnsi="Courier New" w:cs="Courier New"/>
          <w:sz w:val="24"/>
          <w:szCs w:val="24"/>
        </w:rPr>
      </w:pPr>
    </w:p>
    <w:p w14:paraId="5A10F710" w14:textId="77777777" w:rsidR="00094483" w:rsidRDefault="00094483">
      <w:pPr>
        <w:spacing w:after="0" w:line="240" w:lineRule="auto"/>
        <w:jc w:val="center"/>
        <w:rPr>
          <w:rFonts w:ascii="Courier New" w:hAnsi="Courier New" w:cs="Courier New"/>
          <w:sz w:val="24"/>
          <w:szCs w:val="24"/>
        </w:rPr>
      </w:pPr>
    </w:p>
    <w:p w14:paraId="57E2FB40" w14:textId="77777777" w:rsidR="00094483" w:rsidRDefault="00094483">
      <w:pPr>
        <w:spacing w:after="0" w:line="240" w:lineRule="auto"/>
        <w:rPr>
          <w:rFonts w:ascii="Courier New" w:hAnsi="Courier New" w:cs="Courier New"/>
          <w:b/>
          <w:sz w:val="24"/>
          <w:szCs w:val="24"/>
        </w:rPr>
      </w:pPr>
    </w:p>
    <w:p w14:paraId="39CDA94E" w14:textId="77777777" w:rsidR="00094483" w:rsidRDefault="007E56A2">
      <w:pPr>
        <w:spacing w:after="0" w:line="240" w:lineRule="auto"/>
        <w:jc w:val="center"/>
        <w:rPr>
          <w:rFonts w:ascii="Courier New" w:hAnsi="Courier New" w:cs="Courier New"/>
          <w:bCs/>
          <w:sz w:val="24"/>
          <w:szCs w:val="24"/>
        </w:rPr>
        <w:sectPr w:rsidR="00094483">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14:paraId="21E4F41F" w14:textId="77777777" w:rsidR="002F1030" w:rsidRDefault="00000000">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ABSTRACT</w:t>
      </w:r>
    </w:p>
    <w:p w14:paraId="38E2DCFE" w14:textId="77777777" w:rsidR="002F1030"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DEDICATION</w:t>
      </w:r>
    </w:p>
    <w:p w14:paraId="520E33CA" w14:textId="77777777" w:rsidR="002F1030"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ACKNOWLEDGEMENTS</w:t>
      </w:r>
    </w:p>
    <w:p w14:paraId="57405DB4" w14:textId="77777777" w:rsidR="00281C3E"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TABLE OF CONTENTS</w:t>
      </w:r>
    </w:p>
    <w:p w14:paraId="5B57ADE9"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b/>
          <w:bCs/>
          <w:sz w:val="24"/>
          <w:szCs w:val="24"/>
        </w:rPr>
        <w:t>TITLE PAGE</w:t>
      </w:r>
      <w:r>
        <w:rPr>
          <w:rFonts w:ascii="Courier New" w:hAnsi="Courier New" w:cs="Courier New"/>
          <w:sz w:val="24"/>
          <w:szCs w:val="24"/>
        </w:rPr>
        <w:t xml:space="preserve">  . . . . . . . . . . . . . . . . . . . . .</w:t>
      </w:r>
      <w:r>
        <w:rPr>
          <w:rFonts w:ascii="Courier New" w:hAnsi="Courier New" w:cs="Courier New"/>
          <w:sz w:val="24"/>
          <w:szCs w:val="24"/>
        </w:rPr>
        <w:tab/>
        <w:t>i</w:t>
      </w:r>
    </w:p>
    <w:p w14:paraId="4DB7B696"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b/>
          <w:bCs/>
          <w:sz w:val="24"/>
          <w:szCs w:val="24"/>
        </w:rPr>
        <w:t>ABSTRACT</w:t>
      </w:r>
      <w:r>
        <w:rPr>
          <w:rFonts w:ascii="Courier New" w:hAnsi="Courier New" w:cs="Courier New"/>
          <w:sz w:val="24"/>
          <w:szCs w:val="24"/>
        </w:rPr>
        <w:t xml:space="preserve">  . . . . . . . . . . . . . . . . . . . . . .</w:t>
      </w:r>
      <w:r>
        <w:rPr>
          <w:rFonts w:ascii="Courier New" w:hAnsi="Courier New" w:cs="Courier New"/>
          <w:sz w:val="24"/>
          <w:szCs w:val="24"/>
        </w:rPr>
        <w:tab/>
        <w:t>ii</w:t>
      </w:r>
    </w:p>
    <w:p w14:paraId="1BE46466"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b/>
          <w:bCs/>
          <w:sz w:val="24"/>
          <w:szCs w:val="24"/>
        </w:rPr>
        <w:t>DEDICATION</w:t>
      </w:r>
      <w:r>
        <w:rPr>
          <w:rFonts w:ascii="Courier New" w:hAnsi="Courier New" w:cs="Courier New"/>
          <w:sz w:val="24"/>
          <w:szCs w:val="24"/>
        </w:rPr>
        <w:t xml:space="preserve">  . . . . . . . . . . . . . . . . . . . . .</w:t>
      </w:r>
      <w:r>
        <w:rPr>
          <w:rFonts w:ascii="Courier New" w:hAnsi="Courier New" w:cs="Courier New"/>
          <w:sz w:val="24"/>
          <w:szCs w:val="24"/>
        </w:rPr>
        <w:tab/>
        <w:t>iii</w:t>
      </w:r>
    </w:p>
    <w:p w14:paraId="23EC509B"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b/>
          <w:bCs/>
          <w:sz w:val="24"/>
          <w:szCs w:val="24"/>
        </w:rPr>
        <w:t>ACKNOWLEDGEMENTS</w:t>
      </w:r>
      <w:r>
        <w:rPr>
          <w:rFonts w:ascii="Courier New" w:hAnsi="Courier New" w:cs="Courier New"/>
          <w:sz w:val="24"/>
          <w:szCs w:val="24"/>
        </w:rPr>
        <w:t xml:space="preserve">  . . . . . . . . . . . . . . . . . .</w:t>
      </w:r>
      <w:r>
        <w:rPr>
          <w:rFonts w:ascii="Courier New" w:hAnsi="Courier New" w:cs="Courier New"/>
          <w:sz w:val="24"/>
          <w:szCs w:val="24"/>
        </w:rPr>
        <w:tab/>
        <w:t>iv</w:t>
      </w:r>
    </w:p>
    <w:p w14:paraId="3BDD22F3"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b/>
          <w:bCs/>
          <w:sz w:val="24"/>
          <w:szCs w:val="24"/>
        </w:rPr>
        <w:t>TABLE OF CONTENTS</w:t>
      </w:r>
      <w:r>
        <w:rPr>
          <w:rFonts w:ascii="Courier New" w:hAnsi="Courier New" w:cs="Courier New"/>
          <w:sz w:val="24"/>
          <w:szCs w:val="24"/>
        </w:rPr>
        <w:t xml:space="preserve"> . . . . . . . . . . . . . . . . . .</w:t>
      </w:r>
      <w:r>
        <w:rPr>
          <w:rFonts w:ascii="Courier New" w:hAnsi="Courier New" w:cs="Courier New"/>
          <w:sz w:val="24"/>
          <w:szCs w:val="24"/>
        </w:rPr>
        <w:tab/>
        <w:t>v</w:t>
      </w:r>
    </w:p>
    <w:p w14:paraId="2D92998C"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b/>
          <w:bCs/>
          <w:sz w:val="24"/>
          <w:szCs w:val="24"/>
        </w:rPr>
        <w:t>LIST OF TABLES</w:t>
      </w:r>
      <w:r>
        <w:rPr>
          <w:rFonts w:ascii="Courier New" w:hAnsi="Courier New" w:cs="Courier New"/>
          <w:sz w:val="24"/>
          <w:szCs w:val="24"/>
        </w:rPr>
        <w:t xml:space="preserve">  . . . . . . . . . . . . . . . . . . .</w:t>
      </w:r>
      <w:r>
        <w:rPr>
          <w:rFonts w:ascii="Courier New" w:hAnsi="Courier New" w:cs="Courier New"/>
          <w:sz w:val="24"/>
          <w:szCs w:val="24"/>
        </w:rPr>
        <w:tab/>
        <w:t>vi</w:t>
      </w:r>
    </w:p>
    <w:p w14:paraId="6C195E75"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b/>
          <w:bCs/>
          <w:sz w:val="24"/>
          <w:szCs w:val="24"/>
        </w:rPr>
        <w:t>LIST OF FIGURES</w:t>
      </w:r>
      <w:r>
        <w:rPr>
          <w:rFonts w:ascii="Courier New" w:hAnsi="Courier New" w:cs="Courier New"/>
          <w:sz w:val="24"/>
          <w:szCs w:val="24"/>
        </w:rPr>
        <w:t xml:space="preserve"> . . . . . . . . . . . . . . . . . . .</w:t>
      </w:r>
      <w:r>
        <w:rPr>
          <w:rFonts w:ascii="Courier New" w:hAnsi="Courier New" w:cs="Courier New"/>
          <w:sz w:val="24"/>
          <w:szCs w:val="24"/>
        </w:rPr>
        <w:tab/>
        <w:t>vii</w:t>
      </w:r>
    </w:p>
    <w:p w14:paraId="24499D1A" w14:textId="77777777" w:rsidR="002F1030" w:rsidRDefault="00000000">
      <w:pPr>
        <w:keepLines/>
        <w:tabs>
          <w:tab w:val="right" w:pos="8640"/>
        </w:tabs>
        <w:spacing w:before="120" w:after="120" w:line="360" w:lineRule="auto"/>
        <w:rPr>
          <w:rFonts w:ascii="Courier New" w:hAnsi="Courier New" w:cs="Courier New"/>
          <w:sz w:val="24"/>
          <w:szCs w:val="24"/>
        </w:rPr>
      </w:pPr>
      <w:r>
        <w:rPr>
          <w:rFonts w:ascii="Courier New" w:hAnsi="Courier New" w:cs="Courier New"/>
          <w:b/>
          <w:bCs/>
          <w:sz w:val="24"/>
          <w:szCs w:val="24"/>
        </w:rPr>
        <w:t>CHAPTER 1. INTRODUCTION</w:t>
      </w:r>
      <w:r>
        <w:rPr>
          <w:rFonts w:ascii="Courier New" w:hAnsi="Courier New" w:cs="Courier New"/>
          <w:sz w:val="24"/>
          <w:szCs w:val="24"/>
        </w:rPr>
        <w:t xml:space="preserve"> . . . . . . . . . . . . . . .</w:t>
      </w:r>
      <w:r>
        <w:rPr>
          <w:rFonts w:ascii="Courier New" w:hAnsi="Courier New" w:cs="Courier New"/>
          <w:sz w:val="24"/>
          <w:szCs w:val="24"/>
        </w:rPr>
        <w:tab/>
        <w:t>1</w:t>
      </w:r>
    </w:p>
    <w:p w14:paraId="371CA5D1"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Background of the Study  . . . . . . . . . . . .</w:t>
      </w:r>
      <w:r>
        <w:rPr>
          <w:rFonts w:ascii="Courier New" w:hAnsi="Courier New" w:cs="Courier New"/>
          <w:sz w:val="24"/>
          <w:szCs w:val="24"/>
        </w:rPr>
        <w:tab/>
        <w:t>1</w:t>
      </w:r>
    </w:p>
    <w:p w14:paraId="611225AE"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State of the Art . . . . . . . . . . . . . . . .</w:t>
      </w:r>
      <w:r>
        <w:rPr>
          <w:rFonts w:ascii="Courier New" w:hAnsi="Courier New" w:cs="Courier New"/>
          <w:sz w:val="24"/>
          <w:szCs w:val="24"/>
        </w:rPr>
        <w:tab/>
        <w:t>7</w:t>
      </w:r>
    </w:p>
    <w:p w14:paraId="103C6D7D"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Company Profile  . . . . . . . . . . . . . . . .</w:t>
      </w:r>
      <w:r>
        <w:rPr>
          <w:rFonts w:ascii="Courier New" w:hAnsi="Courier New" w:cs="Courier New"/>
          <w:sz w:val="24"/>
          <w:szCs w:val="24"/>
        </w:rPr>
        <w:tab/>
        <w:t>8</w:t>
      </w:r>
    </w:p>
    <w:p w14:paraId="79410FC0"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Statement of the Problem . . . . . . . . . . . .</w:t>
      </w:r>
      <w:r>
        <w:rPr>
          <w:rFonts w:ascii="Courier New" w:hAnsi="Courier New" w:cs="Courier New"/>
          <w:sz w:val="24"/>
          <w:szCs w:val="24"/>
        </w:rPr>
        <w:tab/>
        <w:t>10</w:t>
      </w:r>
    </w:p>
    <w:p w14:paraId="5006338F"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Objectives of the Study  . . . . . . . . . . . .</w:t>
      </w:r>
      <w:r>
        <w:rPr>
          <w:rFonts w:ascii="Courier New" w:hAnsi="Courier New" w:cs="Courier New"/>
          <w:sz w:val="24"/>
          <w:szCs w:val="24"/>
        </w:rPr>
        <w:tab/>
        <w:t>11</w:t>
      </w:r>
    </w:p>
    <w:p w14:paraId="18F4C3B4"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Significance of the Study  . . . . . . . . . . .</w:t>
      </w:r>
      <w:r>
        <w:rPr>
          <w:rFonts w:ascii="Courier New" w:hAnsi="Courier New" w:cs="Courier New"/>
          <w:sz w:val="24"/>
          <w:szCs w:val="24"/>
        </w:rPr>
        <w:tab/>
        <w:t>12</w:t>
      </w:r>
    </w:p>
    <w:p w14:paraId="01048033"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Scope and Delimitations  . . . . . . . . . . . .</w:t>
      </w:r>
      <w:r>
        <w:rPr>
          <w:rFonts w:ascii="Courier New" w:hAnsi="Courier New" w:cs="Courier New"/>
          <w:sz w:val="24"/>
          <w:szCs w:val="24"/>
        </w:rPr>
        <w:tab/>
        <w:t>15</w:t>
      </w:r>
    </w:p>
    <w:p w14:paraId="24B6D3A9"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Definition of Terms  . . . . . . . . . . . . . .</w:t>
      </w:r>
      <w:r>
        <w:rPr>
          <w:rFonts w:ascii="Courier New" w:hAnsi="Courier New" w:cs="Courier New"/>
          <w:sz w:val="24"/>
          <w:szCs w:val="24"/>
        </w:rPr>
        <w:tab/>
        <w:t>18</w:t>
      </w:r>
    </w:p>
    <w:p w14:paraId="14E2B78A" w14:textId="77777777" w:rsidR="002F1030" w:rsidRDefault="00000000">
      <w:pPr>
        <w:keepLines/>
        <w:tabs>
          <w:tab w:val="right" w:pos="8640"/>
        </w:tabs>
        <w:spacing w:before="120" w:after="120" w:line="360" w:lineRule="auto"/>
        <w:rPr>
          <w:rFonts w:ascii="Courier New" w:hAnsi="Courier New" w:cs="Courier New"/>
          <w:sz w:val="24"/>
          <w:szCs w:val="24"/>
        </w:rPr>
      </w:pPr>
      <w:r>
        <w:rPr>
          <w:rFonts w:ascii="Courier New" w:hAnsi="Courier New" w:cs="Courier New"/>
          <w:b/>
          <w:bCs/>
          <w:sz w:val="24"/>
          <w:szCs w:val="24"/>
        </w:rPr>
        <w:t>CHAPTER 2. REVIEW OF RELATED LITERATURE</w:t>
      </w:r>
      <w:r>
        <w:rPr>
          <w:rFonts w:ascii="Courier New" w:hAnsi="Courier New" w:cs="Courier New"/>
          <w:sz w:val="24"/>
          <w:szCs w:val="24"/>
        </w:rPr>
        <w:t xml:space="preserve"> . . . . . . .</w:t>
      </w:r>
      <w:r>
        <w:rPr>
          <w:rFonts w:ascii="Courier New" w:hAnsi="Courier New" w:cs="Courier New"/>
          <w:sz w:val="24"/>
          <w:szCs w:val="24"/>
        </w:rPr>
        <w:tab/>
        <w:t>24</w:t>
      </w:r>
    </w:p>
    <w:p w14:paraId="58A7F080"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Global Literature  . . . . . . . . . . . . . . .</w:t>
      </w:r>
      <w:r>
        <w:rPr>
          <w:rFonts w:ascii="Courier New" w:hAnsi="Courier New" w:cs="Courier New"/>
          <w:sz w:val="24"/>
          <w:szCs w:val="24"/>
        </w:rPr>
        <w:tab/>
        <w:t>24</w:t>
      </w:r>
    </w:p>
    <w:p w14:paraId="3DC24C02"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Local Literature . . . . . . . . . . . . . . . .</w:t>
      </w:r>
      <w:r>
        <w:rPr>
          <w:rFonts w:ascii="Courier New" w:hAnsi="Courier New" w:cs="Courier New"/>
          <w:sz w:val="24"/>
          <w:szCs w:val="24"/>
        </w:rPr>
        <w:tab/>
        <w:t>30</w:t>
      </w:r>
    </w:p>
    <w:p w14:paraId="61EAC14A" w14:textId="77777777" w:rsidR="002F1030" w:rsidRDefault="00000000">
      <w:pPr>
        <w:keepLines/>
        <w:tabs>
          <w:tab w:val="right" w:pos="8640"/>
        </w:tabs>
        <w:spacing w:before="120" w:after="120" w:line="360" w:lineRule="auto"/>
        <w:rPr>
          <w:rFonts w:ascii="Courier New" w:hAnsi="Courier New" w:cs="Courier New"/>
          <w:sz w:val="24"/>
          <w:szCs w:val="24"/>
        </w:rPr>
      </w:pPr>
      <w:r>
        <w:rPr>
          <w:rFonts w:ascii="Courier New" w:hAnsi="Courier New" w:cs="Courier New"/>
          <w:b/>
          <w:bCs/>
          <w:sz w:val="24"/>
          <w:szCs w:val="24"/>
        </w:rPr>
        <w:t>CHAPTER 3. DESIGN AND METHODOLOGY</w:t>
      </w:r>
      <w:r>
        <w:rPr>
          <w:rFonts w:ascii="Courier New" w:hAnsi="Courier New" w:cs="Courier New"/>
          <w:sz w:val="24"/>
          <w:szCs w:val="24"/>
        </w:rPr>
        <w:t xml:space="preserve"> . . . . . . . . . .</w:t>
      </w:r>
      <w:r>
        <w:rPr>
          <w:rFonts w:ascii="Courier New" w:hAnsi="Courier New" w:cs="Courier New"/>
          <w:sz w:val="24"/>
          <w:szCs w:val="24"/>
        </w:rPr>
        <w:tab/>
        <w:t>39</w:t>
      </w:r>
    </w:p>
    <w:p w14:paraId="0606288D"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Software Development Methodology . . . . . . . .</w:t>
      </w:r>
      <w:r>
        <w:rPr>
          <w:rFonts w:ascii="Courier New" w:hAnsi="Courier New" w:cs="Courier New"/>
          <w:sz w:val="24"/>
          <w:szCs w:val="24"/>
        </w:rPr>
        <w:tab/>
        <w:t>39</w:t>
      </w:r>
    </w:p>
    <w:p w14:paraId="354E5595"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Locale and Population of the Study . . . . . . .</w:t>
      </w:r>
      <w:r>
        <w:rPr>
          <w:rFonts w:ascii="Courier New" w:hAnsi="Courier New" w:cs="Courier New"/>
          <w:sz w:val="24"/>
          <w:szCs w:val="24"/>
        </w:rPr>
        <w:tab/>
        <w:t>45</w:t>
      </w:r>
    </w:p>
    <w:p w14:paraId="1935FCFD"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lastRenderedPageBreak/>
        <w:t>Data Gathering Techniques  . . . . . . . . . . .</w:t>
      </w:r>
      <w:r>
        <w:rPr>
          <w:rFonts w:ascii="Courier New" w:hAnsi="Courier New" w:cs="Courier New"/>
          <w:sz w:val="24"/>
          <w:szCs w:val="24"/>
        </w:rPr>
        <w:tab/>
        <w:t>46</w:t>
      </w:r>
    </w:p>
    <w:p w14:paraId="473730CE"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Data Gathering Tools . . . . . . . . . . . . . .</w:t>
      </w:r>
      <w:r>
        <w:rPr>
          <w:rFonts w:ascii="Courier New" w:hAnsi="Courier New" w:cs="Courier New"/>
          <w:sz w:val="24"/>
          <w:szCs w:val="24"/>
        </w:rPr>
        <w:tab/>
        <w:t>47</w:t>
      </w:r>
    </w:p>
    <w:p w14:paraId="2B581FD6"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Sources of the Data  . . . . . . . . . . . . . .</w:t>
      </w:r>
      <w:r>
        <w:rPr>
          <w:rFonts w:ascii="Courier New" w:hAnsi="Courier New" w:cs="Courier New"/>
          <w:sz w:val="24"/>
          <w:szCs w:val="24"/>
        </w:rPr>
        <w:tab/>
        <w:t>48</w:t>
      </w:r>
    </w:p>
    <w:p w14:paraId="6ECA15C7"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Data Analysis  . . . . . . . . . . . . . . . . .</w:t>
      </w:r>
      <w:r>
        <w:rPr>
          <w:rFonts w:ascii="Courier New" w:hAnsi="Courier New" w:cs="Courier New"/>
          <w:sz w:val="24"/>
          <w:szCs w:val="24"/>
        </w:rPr>
        <w:tab/>
        <w:t>49</w:t>
      </w:r>
    </w:p>
    <w:p w14:paraId="59B2669B"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Software Development Tools . . . . . . . . . . .</w:t>
      </w:r>
      <w:r>
        <w:rPr>
          <w:rFonts w:ascii="Courier New" w:hAnsi="Courier New" w:cs="Courier New"/>
          <w:sz w:val="24"/>
          <w:szCs w:val="24"/>
        </w:rPr>
        <w:tab/>
        <w:t>50</w:t>
      </w:r>
    </w:p>
    <w:p w14:paraId="2C173721" w14:textId="77777777" w:rsidR="002F1030" w:rsidRDefault="00000000">
      <w:pPr>
        <w:keepLines/>
        <w:tabs>
          <w:tab w:val="right" w:pos="8640"/>
        </w:tabs>
        <w:spacing w:before="120" w:after="120" w:line="360" w:lineRule="auto"/>
        <w:rPr>
          <w:rFonts w:ascii="Courier New" w:hAnsi="Courier New" w:cs="Courier New"/>
          <w:sz w:val="24"/>
          <w:szCs w:val="24"/>
        </w:rPr>
      </w:pPr>
      <w:r>
        <w:rPr>
          <w:rFonts w:ascii="Courier New" w:hAnsi="Courier New" w:cs="Courier New"/>
          <w:b/>
          <w:bCs/>
          <w:sz w:val="24"/>
          <w:szCs w:val="24"/>
        </w:rPr>
        <w:t>CHAPTER 4. RESULTS AND DISCUSSION</w:t>
      </w:r>
      <w:r>
        <w:rPr>
          <w:rFonts w:ascii="Courier New" w:hAnsi="Courier New" w:cs="Courier New"/>
          <w:sz w:val="24"/>
          <w:szCs w:val="24"/>
        </w:rPr>
        <w:t xml:space="preserve"> . . . . . . . . . .</w:t>
      </w:r>
      <w:r>
        <w:rPr>
          <w:rFonts w:ascii="Courier New" w:hAnsi="Courier New" w:cs="Courier New"/>
          <w:sz w:val="24"/>
          <w:szCs w:val="24"/>
        </w:rPr>
        <w:tab/>
        <w:t>53</w:t>
      </w:r>
    </w:p>
    <w:p w14:paraId="11AAB945"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Process of the Existing System (SOP No. 1) . . .</w:t>
      </w:r>
      <w:r>
        <w:rPr>
          <w:rFonts w:ascii="Courier New" w:hAnsi="Courier New" w:cs="Courier New"/>
          <w:sz w:val="24"/>
          <w:szCs w:val="24"/>
        </w:rPr>
        <w:tab/>
        <w:t>53</w:t>
      </w:r>
    </w:p>
    <w:p w14:paraId="5D923C18"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Problems Encountered in the Current System</w:t>
      </w:r>
      <w:r>
        <w:br/>
      </w:r>
      <w:r>
        <w:rPr>
          <w:rFonts w:ascii="Courier New" w:hAnsi="Courier New" w:cs="Courier New"/>
          <w:sz w:val="24"/>
          <w:szCs w:val="24"/>
        </w:rPr>
        <w:t>(SOP No. 2)  . . . . . . . . . . . . . . . . . .</w:t>
      </w:r>
      <w:r>
        <w:rPr>
          <w:rFonts w:ascii="Courier New" w:hAnsi="Courier New" w:cs="Courier New"/>
          <w:sz w:val="24"/>
          <w:szCs w:val="24"/>
        </w:rPr>
        <w:tab/>
        <w:t>56</w:t>
      </w:r>
    </w:p>
    <w:p w14:paraId="4E184F1E"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Narrative Description of the Proposed System</w:t>
      </w:r>
      <w:r>
        <w:br/>
      </w:r>
      <w:r>
        <w:rPr>
          <w:rFonts w:ascii="Courier New" w:hAnsi="Courier New" w:cs="Courier New"/>
          <w:sz w:val="24"/>
          <w:szCs w:val="24"/>
        </w:rPr>
        <w:t>(SOP No. 3)  . . . . . . . . . . . . . . . . . .</w:t>
      </w:r>
      <w:r>
        <w:rPr>
          <w:rFonts w:ascii="Courier New" w:hAnsi="Courier New" w:cs="Courier New"/>
          <w:sz w:val="24"/>
          <w:szCs w:val="24"/>
        </w:rPr>
        <w:tab/>
        <w:t>58</w:t>
      </w:r>
    </w:p>
    <w:p w14:paraId="15A0090B"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Features of the Proposed System  . . . . . . . .</w:t>
      </w:r>
      <w:r>
        <w:rPr>
          <w:rFonts w:ascii="Courier New" w:hAnsi="Courier New" w:cs="Courier New"/>
          <w:sz w:val="24"/>
          <w:szCs w:val="24"/>
        </w:rPr>
        <w:tab/>
        <w:t>69</w:t>
      </w:r>
    </w:p>
    <w:p w14:paraId="3787A7FD"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Input-Process-Output (IPO) Diagram of the</w:t>
      </w:r>
      <w:r>
        <w:br/>
      </w:r>
      <w:r>
        <w:rPr>
          <w:rFonts w:ascii="Courier New" w:hAnsi="Courier New" w:cs="Courier New"/>
          <w:sz w:val="24"/>
          <w:szCs w:val="24"/>
        </w:rPr>
        <w:t>Proposed System  . . . . . . . . . . . . . . . .</w:t>
      </w:r>
      <w:r>
        <w:rPr>
          <w:rFonts w:ascii="Courier New" w:hAnsi="Courier New" w:cs="Courier New"/>
          <w:sz w:val="24"/>
          <w:szCs w:val="24"/>
        </w:rPr>
        <w:tab/>
        <w:t>71</w:t>
      </w:r>
    </w:p>
    <w:p w14:paraId="0954E4C2"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User Interface of Auditrix . . . . . . . . . . .</w:t>
      </w:r>
      <w:r>
        <w:rPr>
          <w:rFonts w:ascii="Courier New" w:hAnsi="Courier New" w:cs="Courier New"/>
          <w:sz w:val="24"/>
          <w:szCs w:val="24"/>
        </w:rPr>
        <w:tab/>
        <w:t>75</w:t>
      </w:r>
    </w:p>
    <w:p w14:paraId="6E381751"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84</w:t>
      </w:r>
    </w:p>
    <w:p w14:paraId="6A446934"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Non-Functional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86</w:t>
      </w:r>
    </w:p>
    <w:p w14:paraId="4C38A5B7"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Extent of Compliance of the Proposed System</w:t>
      </w:r>
      <w:r>
        <w:br/>
      </w:r>
      <w:r>
        <w:rPr>
          <w:rFonts w:ascii="Courier New" w:hAnsi="Courier New" w:cs="Courier New"/>
          <w:sz w:val="24"/>
          <w:szCs w:val="24"/>
        </w:rPr>
        <w:t>(SOP No. 4)  . . . . . . . . . . . . . . . . . .</w:t>
      </w:r>
      <w:r>
        <w:rPr>
          <w:rFonts w:ascii="Courier New" w:hAnsi="Courier New" w:cs="Courier New"/>
          <w:sz w:val="24"/>
          <w:szCs w:val="24"/>
        </w:rPr>
        <w:tab/>
        <w:t>87</w:t>
      </w:r>
    </w:p>
    <w:p w14:paraId="343A3659" w14:textId="77777777" w:rsidR="002F1030" w:rsidRDefault="00000000">
      <w:pPr>
        <w:keepLines/>
        <w:tabs>
          <w:tab w:val="right" w:pos="8640"/>
        </w:tabs>
        <w:spacing w:before="120" w:after="120" w:line="360" w:lineRule="auto"/>
        <w:rPr>
          <w:rFonts w:ascii="Courier New" w:hAnsi="Courier New" w:cs="Courier New"/>
          <w:sz w:val="24"/>
          <w:szCs w:val="24"/>
        </w:rPr>
      </w:pPr>
      <w:r>
        <w:rPr>
          <w:rFonts w:ascii="Courier New" w:hAnsi="Courier New" w:cs="Courier New"/>
          <w:b/>
          <w:bCs/>
          <w:sz w:val="24"/>
          <w:szCs w:val="24"/>
        </w:rPr>
        <w:t>REFERENCES</w:t>
      </w:r>
      <w:r>
        <w:rPr>
          <w:rFonts w:ascii="Courier New" w:hAnsi="Courier New" w:cs="Courier New"/>
          <w:sz w:val="24"/>
          <w:szCs w:val="24"/>
        </w:rPr>
        <w:t xml:space="preserve">  . . . . . . . . . . . . . . . . . . . . .</w:t>
      </w:r>
      <w:r>
        <w:rPr>
          <w:rFonts w:ascii="Courier New" w:hAnsi="Courier New" w:cs="Courier New"/>
          <w:sz w:val="24"/>
          <w:szCs w:val="24"/>
        </w:rPr>
        <w:tab/>
        <w:t>89</w:t>
      </w:r>
    </w:p>
    <w:p w14:paraId="3843B825" w14:textId="77777777" w:rsidR="00281C3E"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LIST OF TABLES</w:t>
      </w:r>
      <w:r>
        <w:fldChar w:fldCharType="begin"/>
      </w:r>
      <w:r>
        <w:instrText xml:space="preserve"> TC "LIST OF TABLES" \f c \l 1 </w:instrText>
      </w:r>
      <w:r>
        <w:fldChar w:fldCharType="end"/>
      </w:r>
    </w:p>
    <w:p w14:paraId="18FC25AE"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Table 4.1. Status of a Subject in the Student</w:t>
      </w:r>
      <w:r>
        <w:br/>
      </w:r>
      <w:r>
        <w:rPr>
          <w:rFonts w:ascii="Courier New" w:hAnsi="Courier New" w:cs="Courier New"/>
          <w:sz w:val="24"/>
          <w:szCs w:val="24"/>
        </w:rPr>
        <w:t>Audit . . . . . . . . . . . . . . . . . . . . . . . .</w:t>
      </w:r>
      <w:r>
        <w:rPr>
          <w:rFonts w:ascii="Courier New" w:hAnsi="Courier New" w:cs="Courier New"/>
          <w:sz w:val="24"/>
          <w:szCs w:val="24"/>
        </w:rPr>
        <w:tab/>
        <w:t>60</w:t>
      </w:r>
    </w:p>
    <w:p w14:paraId="1C3E4D91"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Table 4.2. Year Level by Share of Curriculum</w:t>
      </w:r>
      <w:r>
        <w:br/>
      </w:r>
      <w:r>
        <w:rPr>
          <w:rFonts w:ascii="Courier New" w:hAnsi="Courier New" w:cs="Courier New"/>
          <w:sz w:val="24"/>
          <w:szCs w:val="24"/>
        </w:rPr>
        <w:t>Units Passed  . . . . . . . . . . . . . . . . . . . .</w:t>
      </w:r>
      <w:r>
        <w:rPr>
          <w:rFonts w:ascii="Courier New" w:hAnsi="Courier New" w:cs="Courier New"/>
          <w:sz w:val="24"/>
          <w:szCs w:val="24"/>
        </w:rPr>
        <w:tab/>
        <w:t>64</w:t>
      </w:r>
    </w:p>
    <w:p w14:paraId="366BFE23"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Table 4.3. Extent of Compliance of Auditrix with</w:t>
      </w:r>
      <w:r>
        <w:br/>
      </w:r>
      <w:r>
        <w:rPr>
          <w:rFonts w:ascii="Courier New" w:hAnsi="Courier New" w:cs="Courier New"/>
          <w:sz w:val="24"/>
          <w:szCs w:val="24"/>
        </w:rPr>
        <w:t>ISO/IEC 25010 . . . . . . . . . . . . . . . . . . . .</w:t>
      </w:r>
      <w:r>
        <w:rPr>
          <w:rFonts w:ascii="Courier New" w:hAnsi="Courier New" w:cs="Courier New"/>
          <w:sz w:val="24"/>
          <w:szCs w:val="24"/>
        </w:rPr>
        <w:tab/>
        <w:t>88</w:t>
      </w:r>
    </w:p>
    <w:p w14:paraId="68014D3E" w14:textId="77777777" w:rsidR="00281C3E"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t>LIST OF FIGURES</w:t>
      </w:r>
      <w:r>
        <w:fldChar w:fldCharType="begin"/>
      </w:r>
      <w:r>
        <w:instrText xml:space="preserve"> TC "LIST OF FIGURES" \f c \l 1 </w:instrText>
      </w:r>
      <w:r>
        <w:fldChar w:fldCharType="end"/>
      </w:r>
    </w:p>
    <w:p w14:paraId="14FD3D23"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1. Iterative and Incremental SDLC  . . . . . .</w:t>
      </w:r>
      <w:r>
        <w:rPr>
          <w:rFonts w:ascii="Courier New" w:hAnsi="Courier New" w:cs="Courier New"/>
          <w:sz w:val="24"/>
          <w:szCs w:val="24"/>
        </w:rPr>
        <w:tab/>
        <w:t>40</w:t>
      </w:r>
    </w:p>
    <w:p w14:paraId="521F139F"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4.1. Input-Process-Output Diagram of the</w:t>
      </w:r>
      <w:r>
        <w:br/>
      </w:r>
      <w:r>
        <w:rPr>
          <w:rFonts w:ascii="Courier New" w:hAnsi="Courier New" w:cs="Courier New"/>
          <w:sz w:val="24"/>
          <w:szCs w:val="24"/>
        </w:rPr>
        <w:t>Existing System . . . . . . . . . . . . . . . . . . .</w:t>
      </w:r>
      <w:r>
        <w:rPr>
          <w:rFonts w:ascii="Courier New" w:hAnsi="Courier New" w:cs="Courier New"/>
          <w:sz w:val="24"/>
          <w:szCs w:val="24"/>
        </w:rPr>
        <w:tab/>
        <w:t>56</w:t>
      </w:r>
    </w:p>
    <w:p w14:paraId="0D40A58A"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4.2. Ishikawa (Fishbone) Diagram of the</w:t>
      </w:r>
      <w:r>
        <w:br/>
      </w:r>
      <w:r>
        <w:rPr>
          <w:rFonts w:ascii="Courier New" w:hAnsi="Courier New" w:cs="Courier New"/>
          <w:sz w:val="24"/>
          <w:szCs w:val="24"/>
        </w:rPr>
        <w:t>Problems in the Existing System . . . . . . . . . . .</w:t>
      </w:r>
      <w:r>
        <w:rPr>
          <w:rFonts w:ascii="Courier New" w:hAnsi="Courier New" w:cs="Courier New"/>
          <w:sz w:val="24"/>
          <w:szCs w:val="24"/>
        </w:rPr>
        <w:tab/>
        <w:t>58</w:t>
      </w:r>
    </w:p>
    <w:p w14:paraId="041B4C65"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4.3. Input-Process-Output Diagram of the</w:t>
      </w:r>
      <w:r>
        <w:br/>
      </w:r>
      <w:r>
        <w:rPr>
          <w:rFonts w:ascii="Courier New" w:hAnsi="Courier New" w:cs="Courier New"/>
          <w:sz w:val="24"/>
          <w:szCs w:val="24"/>
        </w:rPr>
        <w:t>Proposed System . . . . . . . . . . . . . . . . . . .</w:t>
      </w:r>
      <w:r>
        <w:rPr>
          <w:rFonts w:ascii="Courier New" w:hAnsi="Courier New" w:cs="Courier New"/>
          <w:sz w:val="24"/>
          <w:szCs w:val="24"/>
        </w:rPr>
        <w:tab/>
        <w:t>71</w:t>
      </w:r>
    </w:p>
    <w:p w14:paraId="264E6714"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4.4. Use Case Diagram of Auditrix  . . . . . .</w:t>
      </w:r>
      <w:r>
        <w:rPr>
          <w:rFonts w:ascii="Courier New" w:hAnsi="Courier New" w:cs="Courier New"/>
          <w:sz w:val="24"/>
          <w:szCs w:val="24"/>
        </w:rPr>
        <w:tab/>
        <w:t>72</w:t>
      </w:r>
    </w:p>
    <w:p w14:paraId="28D5406F" w14:textId="77777777" w:rsidR="002F1030" w:rsidRDefault="00000000" w:rsidP="003E58C8">
      <w:pPr>
        <w:keepLines/>
        <w:tabs>
          <w:tab w:val="left" w:pos="8222"/>
          <w:tab w:val="right" w:pos="8640"/>
        </w:tabs>
        <w:spacing w:after="120" w:line="360" w:lineRule="auto"/>
        <w:rPr>
          <w:rFonts w:ascii="Courier New" w:hAnsi="Courier New" w:cs="Courier New"/>
          <w:sz w:val="24"/>
          <w:szCs w:val="24"/>
        </w:rPr>
      </w:pPr>
      <w:r>
        <w:rPr>
          <w:rFonts w:ascii="Courier New" w:hAnsi="Courier New" w:cs="Courier New"/>
          <w:sz w:val="24"/>
          <w:szCs w:val="24"/>
        </w:rPr>
        <w:t>Figure 4.5. Activity Diagram for Curriculum</w:t>
      </w:r>
      <w:r>
        <w:br/>
      </w:r>
      <w:r>
        <w:rPr>
          <w:rFonts w:ascii="Courier New" w:hAnsi="Courier New" w:cs="Courier New"/>
          <w:sz w:val="24"/>
          <w:szCs w:val="24"/>
        </w:rPr>
        <w:t>Audit . . . . . . . . . . . . . . . . . . . . . . . .</w:t>
      </w:r>
      <w:r>
        <w:rPr>
          <w:rFonts w:ascii="Courier New" w:hAnsi="Courier New" w:cs="Courier New"/>
          <w:sz w:val="24"/>
          <w:szCs w:val="24"/>
        </w:rPr>
        <w:tab/>
        <w:t>73</w:t>
      </w:r>
    </w:p>
    <w:p w14:paraId="1815B7D2"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4.6. Menu Diagram of Auditrix  . . . . . . . .</w:t>
      </w:r>
      <w:r>
        <w:rPr>
          <w:rFonts w:ascii="Courier New" w:hAnsi="Courier New" w:cs="Courier New"/>
          <w:sz w:val="24"/>
          <w:szCs w:val="24"/>
        </w:rPr>
        <w:tab/>
        <w:t>74</w:t>
      </w:r>
    </w:p>
    <w:p w14:paraId="78E368F8"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4.7. Log In . . . . . . . . . . . . . . . . .</w:t>
      </w:r>
      <w:r>
        <w:rPr>
          <w:rFonts w:ascii="Courier New" w:hAnsi="Courier New" w:cs="Courier New"/>
          <w:sz w:val="24"/>
          <w:szCs w:val="24"/>
        </w:rPr>
        <w:tab/>
        <w:t>76</w:t>
      </w:r>
    </w:p>
    <w:p w14:paraId="473EFDAF"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4.8. Students — searching for the student . .</w:t>
      </w:r>
      <w:r>
        <w:rPr>
          <w:rFonts w:ascii="Courier New" w:hAnsi="Courier New" w:cs="Courier New"/>
          <w:sz w:val="24"/>
          <w:szCs w:val="24"/>
        </w:rPr>
        <w:tab/>
        <w:t>77</w:t>
      </w:r>
    </w:p>
    <w:p w14:paraId="56970BB3"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4.9. Register Student — one student . . . . .</w:t>
      </w:r>
      <w:r>
        <w:rPr>
          <w:rFonts w:ascii="Courier New" w:hAnsi="Courier New" w:cs="Courier New"/>
          <w:sz w:val="24"/>
          <w:szCs w:val="24"/>
        </w:rPr>
        <w:tab/>
        <w:t>77</w:t>
      </w:r>
    </w:p>
    <w:p w14:paraId="7BA8A5CB"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lastRenderedPageBreak/>
        <w:t>Figure 4.10a. Register Students by Batch —</w:t>
      </w:r>
      <w:r>
        <w:br/>
      </w:r>
      <w:r>
        <w:rPr>
          <w:rFonts w:ascii="Courier New" w:hAnsi="Courier New" w:cs="Courier New"/>
          <w:sz w:val="24"/>
          <w:szCs w:val="24"/>
        </w:rPr>
        <w:t>choosing the class list . . . . . . . . . . . . . .</w:t>
      </w:r>
      <w:r>
        <w:rPr>
          <w:rFonts w:ascii="Courier New" w:hAnsi="Courier New" w:cs="Courier New"/>
          <w:sz w:val="24"/>
          <w:szCs w:val="24"/>
        </w:rPr>
        <w:tab/>
        <w:t>78</w:t>
      </w:r>
    </w:p>
    <w:p w14:paraId="0FED5FCD"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4.10b. Register Students by Batch — import</w:t>
      </w:r>
      <w:r>
        <w:br/>
      </w:r>
      <w:r>
        <w:rPr>
          <w:rFonts w:ascii="Courier New" w:hAnsi="Courier New" w:cs="Courier New"/>
          <w:sz w:val="24"/>
          <w:szCs w:val="24"/>
        </w:rPr>
        <w:t>result . . . . . . . . . . . . . . . . . . . . . . .</w:t>
      </w:r>
      <w:r>
        <w:rPr>
          <w:rFonts w:ascii="Courier New" w:hAnsi="Courier New" w:cs="Courier New"/>
          <w:sz w:val="24"/>
          <w:szCs w:val="24"/>
        </w:rPr>
        <w:tab/>
        <w:t>79</w:t>
      </w:r>
    </w:p>
    <w:p w14:paraId="2080E31D"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4.11a. Enter Grades — choosing the term . . .</w:t>
      </w:r>
      <w:r>
        <w:rPr>
          <w:rFonts w:ascii="Courier New" w:hAnsi="Courier New" w:cs="Courier New"/>
          <w:sz w:val="24"/>
          <w:szCs w:val="24"/>
        </w:rPr>
        <w:tab/>
        <w:t>80</w:t>
      </w:r>
    </w:p>
    <w:p w14:paraId="0B958663"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4.11b. Enter Grades — grade of each subject . .</w:t>
      </w:r>
      <w:r>
        <w:rPr>
          <w:rFonts w:ascii="Courier New" w:hAnsi="Courier New" w:cs="Courier New"/>
          <w:sz w:val="24"/>
          <w:szCs w:val="24"/>
        </w:rPr>
        <w:tab/>
        <w:t>80</w:t>
      </w:r>
    </w:p>
    <w:p w14:paraId="025135F2"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4.11c. Enter Grades — confirming the save . .</w:t>
      </w:r>
      <w:r>
        <w:rPr>
          <w:rFonts w:ascii="Courier New" w:hAnsi="Courier New" w:cs="Courier New"/>
          <w:sz w:val="24"/>
          <w:szCs w:val="24"/>
        </w:rPr>
        <w:tab/>
        <w:t>81</w:t>
      </w:r>
    </w:p>
    <w:p w14:paraId="008F3E50"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4.12a. Audit Report — first semester</w:t>
      </w:r>
      <w:r>
        <w:br/>
      </w:r>
      <w:r>
        <w:rPr>
          <w:rFonts w:ascii="Courier New" w:hAnsi="Courier New" w:cs="Courier New"/>
          <w:sz w:val="24"/>
          <w:szCs w:val="24"/>
        </w:rPr>
        <w:t>results . . . . . . . . . . . . . . . . . . . . . .</w:t>
      </w:r>
      <w:r>
        <w:rPr>
          <w:rFonts w:ascii="Courier New" w:hAnsi="Courier New" w:cs="Courier New"/>
          <w:sz w:val="24"/>
          <w:szCs w:val="24"/>
        </w:rPr>
        <w:tab/>
        <w:t>82</w:t>
      </w:r>
    </w:p>
    <w:p w14:paraId="12563BCA"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4.12b. Audit Report — subjects of the next</w:t>
      </w:r>
      <w:r>
        <w:br/>
      </w:r>
      <w:r>
        <w:rPr>
          <w:rFonts w:ascii="Courier New" w:hAnsi="Courier New" w:cs="Courier New"/>
          <w:sz w:val="24"/>
          <w:szCs w:val="24"/>
        </w:rPr>
        <w:t>semester . . . . . . . . . . . . . . . . . . . . . .</w:t>
      </w:r>
      <w:r>
        <w:rPr>
          <w:rFonts w:ascii="Courier New" w:hAnsi="Courier New" w:cs="Courier New"/>
          <w:sz w:val="24"/>
          <w:szCs w:val="24"/>
        </w:rPr>
        <w:tab/>
        <w:t>82</w:t>
      </w:r>
    </w:p>
    <w:p w14:paraId="11406BC1"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4.12c. Audit Report — subject taken out of</w:t>
      </w:r>
      <w:r>
        <w:br/>
      </w:r>
      <w:r>
        <w:rPr>
          <w:rFonts w:ascii="Courier New" w:hAnsi="Courier New" w:cs="Courier New"/>
          <w:sz w:val="24"/>
          <w:szCs w:val="24"/>
        </w:rPr>
        <w:t>order . . . . . . . . . . . . . . . . . . . . . . .</w:t>
      </w:r>
      <w:r>
        <w:rPr>
          <w:rFonts w:ascii="Courier New" w:hAnsi="Courier New" w:cs="Courier New"/>
          <w:sz w:val="24"/>
          <w:szCs w:val="24"/>
        </w:rPr>
        <w:tab/>
        <w:t>83</w:t>
      </w:r>
    </w:p>
    <w:p w14:paraId="12DE90DA" w14:textId="77777777" w:rsidR="002F1030" w:rsidRDefault="00000000">
      <w:pPr>
        <w:keepLines/>
        <w:tabs>
          <w:tab w:val="right" w:pos="8640"/>
        </w:tabs>
        <w:spacing w:after="120" w:line="360" w:lineRule="auto"/>
        <w:rPr>
          <w:rFonts w:ascii="Courier New" w:hAnsi="Courier New" w:cs="Courier New"/>
          <w:sz w:val="24"/>
          <w:szCs w:val="24"/>
        </w:rPr>
        <w:sectPr w:rsidR="002F1030">
          <w:headerReference w:type="default" r:id="rId15"/>
          <w:footerReference w:type="default" r:id="rId16"/>
          <w:pgSz w:w="12240" w:h="15840"/>
          <w:pgMar w:top="1440" w:right="1440" w:bottom="1440" w:left="2160" w:header="709" w:footer="709" w:gutter="0"/>
          <w:pgNumType w:fmt="lowerRoman"/>
          <w:cols w:space="708"/>
          <w:docGrid w:linePitch="360"/>
        </w:sectPr>
      </w:pPr>
      <w:r>
        <w:rPr>
          <w:rFonts w:ascii="Courier New" w:hAnsi="Courier New" w:cs="Courier New"/>
          <w:sz w:val="24"/>
          <w:szCs w:val="24"/>
        </w:rPr>
        <w:t>Figure 4.12d. Printed Student Evaluation . . . . . .</w:t>
      </w:r>
      <w:r>
        <w:rPr>
          <w:rFonts w:ascii="Courier New" w:hAnsi="Courier New" w:cs="Courier New"/>
          <w:sz w:val="24"/>
          <w:szCs w:val="24"/>
        </w:rPr>
        <w:tab/>
        <w:t>83</w:t>
      </w:r>
    </w:p>
    <w:p w14:paraId="4BB82243"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7207510F"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1DBD9BCC" w14:textId="77777777" w:rsidR="00094483" w:rsidRDefault="00094483">
      <w:pPr>
        <w:spacing w:line="240" w:lineRule="auto"/>
        <w:jc w:val="both"/>
        <w:rPr>
          <w:rFonts w:ascii="Courier New" w:hAnsi="Courier New" w:cs="Courier New"/>
          <w:b/>
          <w:bCs/>
          <w:sz w:val="24"/>
          <w:szCs w:val="24"/>
          <w:lang w:val="en-US"/>
        </w:rPr>
      </w:pPr>
    </w:p>
    <w:p w14:paraId="0E0E9197" w14:textId="77777777" w:rsidR="00094483" w:rsidRDefault="00000000" w:rsidP="00576F4A">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5FF41556"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(Alugar &amp; Itaas, 2021). In higher education, curriculum auditing ensures that students follow the prescribed learning pathway, acquire foundational knowledge before advancing to higher-level courses, and meet graduation requirements.</w:t>
      </w:r>
    </w:p>
    <w:p w14:paraId="31E36906"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7C40CA6A" w14:textId="77777777" w:rsidR="00D42FC3" w:rsidRDefault="00940C6B">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 xml:space="preserve">In the Philippine context, State Universities and Colleges (SUCs) are mandated to uphold quality assurance standards set by the Commission on Higher Education (CHED). These standards emphasize prerequisite compliance and curriculum integrity as part of outcomes-based education </w:t>
      </w:r>
      <w:r>
        <w:rPr>
          <w:rFonts w:ascii="Courier New" w:hAnsi="Courier New" w:cs="Courier New"/>
          <w:sz w:val="24"/>
          <w:szCs w:val="24"/>
          <w:lang w:val="en-US"/>
        </w:rPr>
        <w:lastRenderedPageBreak/>
        <w:t>reforms introduced alongside the K to 12 transition (Largoza &amp; Fernandez, 2025). However, despite the presence 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(Miña et al., 2021).</w:t>
      </w:r>
    </w:p>
    <w:p w14:paraId="5CA25066" w14:textId="77777777" w:rsidR="00693157"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w:t>
      </w:r>
      <w:r w:rsidR="00605641">
        <w:rPr>
          <w:rFonts w:ascii="Courier New" w:hAnsi="Courier New" w:cs="Courier New"/>
          <w:sz w:val="24"/>
          <w:szCs w:val="24"/>
          <w:lang w:val="en-US"/>
        </w:rPr>
        <w:t xml:space="preserve">, </w:t>
      </w:r>
      <w:r>
        <w:rPr>
          <w:rFonts w:ascii="Courier New" w:hAnsi="Courier New" w:cs="Courier New"/>
          <w:sz w:val="24"/>
          <w:szCs w:val="24"/>
          <w:lang w:val="en-US"/>
        </w:rPr>
        <w:t>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59F337B0"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 xml:space="preserve">Furthermore, the specific situation at Kalinga State University (KSU) illustrates how manual subject evaluation often leads to the late detection of prerequisite violations. In many cases, these critical errors are only uncovered during the final graduation audit, resulting in delayed program completion, increased financial costs, and the sudden prevention of students from graduating alongside their peers. </w:t>
      </w:r>
    </w:p>
    <w:p w14:paraId="62AC4496"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05D00CAE"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w:t>
      </w:r>
      <w:r>
        <w:rPr>
          <w:rFonts w:ascii="Courier New" w:hAnsi="Courier New" w:cs="Courier New"/>
          <w:sz w:val="24"/>
          <w:szCs w:val="24"/>
          <w:lang w:val="en-US"/>
        </w:rPr>
        <w:lastRenderedPageBreak/>
        <w:t>requirements. This situation can lead to delays in academic completion.</w:t>
      </w:r>
    </w:p>
    <w:p w14:paraId="19832F0D"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58B0D64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Talatala, &amp; Soberano (2024) demonstrate </w:t>
      </w:r>
      <w:r>
        <w:rPr>
          <w:rFonts w:ascii="Courier New" w:hAnsi="Courier New" w:cs="Courier New"/>
          <w:sz w:val="24"/>
          <w:szCs w:val="24"/>
          <w:lang w:val="en-US"/>
        </w:rPr>
        <w:lastRenderedPageBreak/>
        <w:t>that automated registration systems streamline processes, reduce errors, and improve institutional efficiency, making them highly relevant to curriculum auditing.</w:t>
      </w:r>
    </w:p>
    <w:p w14:paraId="1318F906"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40161A7F"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2B03404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The primary goal of this study is to develop Auditrix - A Curriculum Audit System for KSU. The system was built to serve every college and program of Kalinga State University, and it was developed and tested with the BSCpE, BSIT</w:t>
      </w:r>
      <w:r w:rsidR="00E30FC2">
        <w:rPr>
          <w:rFonts w:ascii="Courier New" w:hAnsi="Courier New" w:cs="Courier New"/>
          <w:sz w:val="24"/>
          <w:szCs w:val="24"/>
          <w:lang w:val="en-US"/>
        </w:rPr>
        <w:t>, BSEE, BSMath, BSABE,</w:t>
      </w:r>
      <w:r>
        <w:rPr>
          <w:rFonts w:ascii="Courier New" w:hAnsi="Courier New" w:cs="Courier New"/>
          <w:sz w:val="24"/>
          <w:szCs w:val="24"/>
          <w:lang w:val="en-US"/>
        </w:rPr>
        <w:t xml:space="preserve">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using the college's actual curricula.</w:t>
      </w:r>
    </w:p>
    <w:p w14:paraId="36C57181"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w:t>
      </w:r>
      <w:r>
        <w:rPr>
          <w:rFonts w:ascii="Courier New" w:hAnsi="Courier New" w:cs="Courier New"/>
          <w:sz w:val="24"/>
          <w:szCs w:val="24"/>
          <w:lang w:val="en-US"/>
        </w:rPr>
        <w:lastRenderedPageBreak/>
        <w:t>evaluation errors and enhances the efficiency of enrollment monitoring processes for the entire institution.</w:t>
      </w:r>
    </w:p>
    <w:p w14:paraId="5280CA28" w14:textId="61A5B44F" w:rsidR="007E56A2"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This study, therefore, proposes Auditrix - A Curriculum Audit System for KSU as a robust tool for enhancing curriculum integrity at Kalinga State University.</w:t>
      </w:r>
    </w:p>
    <w:p w14:paraId="31D831C1"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 of the Art</w:t>
      </w:r>
      <w:r>
        <w:fldChar w:fldCharType="begin"/>
      </w:r>
      <w:r>
        <w:instrText xml:space="preserve"> TC "State of the Art" \f c \l 2 </w:instrText>
      </w:r>
      <w:r>
        <w:fldChar w:fldCharType="end"/>
      </w:r>
    </w:p>
    <w:p w14:paraId="4DF98F0E" w14:textId="6033A73A" w:rsidR="00D73966" w:rsidRPr="003551F3" w:rsidRDefault="00000000" w:rsidP="00D73966">
      <w:pPr>
        <w:spacing w:line="480" w:lineRule="auto"/>
        <w:ind w:firstLine="720"/>
        <w:jc w:val="both"/>
        <w:rPr>
          <w:rFonts w:ascii="Courier New" w:hAnsi="Courier New" w:cs="Courier New"/>
          <w:sz w:val="24"/>
          <w:szCs w:val="24"/>
        </w:rPr>
      </w:pPr>
      <w:r>
        <w:rPr>
          <w:rFonts w:ascii="Courier New" w:hAnsi="Courier New" w:cs="Courier New"/>
          <w:sz w:val="24"/>
          <w:szCs w:val="24"/>
          <w:lang w:val="en-US"/>
        </w:rPr>
        <w:t>Auditrix introduced specialized functionalities designed to modernize academic auditing at Kalinga State University. The system's standout feature is its Audit Engine, which checks every subject a student has taken against its prerequisites, co-requisites</w:t>
      </w:r>
      <w:r w:rsidR="00116527">
        <w:rPr>
          <w:rFonts w:ascii="Courier New" w:hAnsi="Courier New" w:cs="Courier New"/>
          <w:sz w:val="24"/>
          <w:szCs w:val="24"/>
          <w:lang w:val="en-US"/>
        </w:rPr>
        <w:t>,</w:t>
      </w:r>
      <w:r>
        <w:rPr>
          <w:rFonts w:ascii="Courier New" w:hAnsi="Courier New" w:cs="Courier New"/>
          <w:sz w:val="24"/>
          <w:szCs w:val="24"/>
          <w:lang w:val="en-US"/>
        </w:rPr>
        <w:t xml:space="preserve">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79F1F309" w14:textId="77777777" w:rsidR="00E7325B" w:rsidRPr="007E56A2" w:rsidRDefault="00065C3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Auditrix imports student lists in the layout of the KSU-MIS "Export to Excel" file, and imports curricula from Excel </w:t>
      </w:r>
      <w:r>
        <w:rPr>
          <w:rFonts w:ascii="Courier New" w:hAnsi="Courier New" w:cs="Courier New"/>
          <w:sz w:val="24"/>
          <w:szCs w:val="24"/>
        </w:rPr>
        <w:lastRenderedPageBreak/>
        <w:t>(.xlsx or .xls) or CSV files with a preview of every change before it is saved. It also determines each student's year level from the units the student has passed, following the KSU Student Handbook and Operations Manual, classifies students as regular or irregular against the prescribed load of the current semester, and summarizes these on a dashboard for program chairpersons and deans.</w:t>
      </w:r>
    </w:p>
    <w:p w14:paraId="52059023" w14:textId="77777777" w:rsidR="003551F3" w:rsidRPr="00D73966" w:rsidRDefault="003551F3">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pPr>
        <w:spacing w:before="120" w:after="240" w:line="240" w:lineRule="auto"/>
        <w:jc w:val="center"/>
        <w:rPr>
          <w:rFonts w:ascii="Courier New" w:hAnsi="Courier New" w:cs="Courier New"/>
          <w:b/>
          <w:bCs/>
          <w:sz w:val="24"/>
          <w:szCs w:val="24"/>
          <w:lang w:val="en-US"/>
        </w:rPr>
      </w:pPr>
      <w:r>
        <w:drawing>
          <wp:inline distT="0" distB="0" distL="0" distR="0">
            <wp:extent cx="1655064" cy="2670048"/>
            <wp:effectExtent l="0" t="0" r="5715" b="0"/>
            <wp:docPr id="9301" name="Organizational chart" descr="SUC President, VP for Academic and Student Development, College Dean, Chairperson, Stu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Organizational chart"/>
                    <pic:cNvPicPr>
                      <a:picLocks noChangeAspect="1"/>
                    </pic:cNvPicPr>
                  </pic:nvPicPr>
                  <pic:blipFill>
                    <a:blip r:embed="rIdOrgChart"/>
                    <a:stretch>
                      <a:fillRect/>
                    </a:stretch>
                  </pic:blipFill>
                  <pic:spPr>
                    <a:xfrm>
                      <a:off x="0" y="0"/>
                      <a:ext cx="1655064" cy="2670048"/>
                    </a:xfrm>
                    <a:prstGeom prst="rect">
                      <a:avLst/>
                    </a:prstGeom>
                  </pic:spPr>
                </pic:pic>
              </a:graphicData>
            </a:graphic>
          </wp:inline>
        </w:drawing>
      </w:r>
    </w:p>
    <w:p w14:paraId="7E272D3F" w14:textId="77777777" w:rsidR="000F4102" w:rsidRDefault="000F4102">
      <w:pPr>
        <w:spacing w:line="480" w:lineRule="auto"/>
        <w:jc w:val="both"/>
        <w:rPr>
          <w:rFonts w:ascii="Courier New" w:hAnsi="Courier New" w:cs="Courier New"/>
          <w:b/>
          <w:bCs/>
          <w:sz w:val="24"/>
          <w:szCs w:val="24"/>
          <w:lang w:val="en-US"/>
        </w:rPr>
      </w:pPr>
    </w:p>
    <w:p w14:paraId="3FFFC585"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Bulanao Campus, which serves as the main campus of the university. This is a public higher education institution </w:t>
      </w:r>
      <w:r>
        <w:rPr>
          <w:rFonts w:ascii="Courier New" w:hAnsi="Courier New" w:cs="Courier New"/>
          <w:sz w:val="24"/>
          <w:szCs w:val="24"/>
          <w:lang w:val="en-US" w:eastAsia="zh-CN"/>
        </w:rPr>
        <w:lastRenderedPageBreak/>
        <w:t xml:space="preserve">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poultry production, piggery, garments, trades, and native 100m weaving, with Augusto Alejandrino serving as its first administrator. The Municipal Council of Tabuk later allowed the college to use a portion of the Municipal Plaza as its campus. </w:t>
      </w:r>
    </w:p>
    <w:p w14:paraId="52494E11"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6144B857"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w:t>
      </w:r>
      <w:r>
        <w:rPr>
          <w:rFonts w:ascii="Courier New" w:hAnsi="Courier New" w:cs="Courier New"/>
          <w:sz w:val="24"/>
          <w:szCs w:val="24"/>
          <w:lang w:val="en-US" w:eastAsia="zh-CN"/>
        </w:rPr>
        <w:lastRenderedPageBreak/>
        <w:t xml:space="preserve">operational in 1992. In 1993, Francisco M. Basuel was appointed as the first president and introduced various academic programs, graduate degrees, infrastructure developments, and research initiatives. </w:t>
      </w:r>
    </w:p>
    <w:p w14:paraId="2460DD77"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Several presidents continued to strengthen the institution, including Venus I. Lammawin, Serafin L. Ngohayon, and Eduardo I. Bagtang, who expanded academic programs, facilities, research activities, and international collaborations.</w:t>
      </w:r>
    </w:p>
    <w:p w14:paraId="49DF251F" w14:textId="109FE876" w:rsidR="001B2978" w:rsidRPr="003551F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In 2015, the institution achieved university status through Republic Act No. 7722 and officially became Kalinga State University, with Jovita E. Saguibo as its first university president. Today, the university continues to strengthen its academic programs, research initiatives, and community services.</w:t>
      </w:r>
    </w:p>
    <w:p w14:paraId="4ECE30E2"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57362671"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Despite the availability of a Management Information System (MIS), the lack of a specialized tool for automated curriculum monitoring forces the Program Chairperson to manually review student records, which creates a gap in institutional efficiency and data integrity.</w:t>
      </w:r>
    </w:p>
    <w:p w14:paraId="536D9CCF"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lastRenderedPageBreak/>
        <w:t>Specifically, this study seeks to answer the following questions:</w:t>
      </w:r>
    </w:p>
    <w:p w14:paraId="2F259049"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1. What are the current process for evaluating students’ prerequisite compliance with the curriculum?</w:t>
      </w:r>
    </w:p>
    <w:p w14:paraId="4F1D0740"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27AC0E13"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3. How can a curriculum audit system be designed to ensure prerequisite compliance with the curriculum?</w:t>
      </w:r>
    </w:p>
    <w:p w14:paraId="5F26BBB1" w14:textId="2D031271" w:rsidR="0059781B" w:rsidRPr="001B2978"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6BFB50B6"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23544709"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primary goal of this study is to design and develop Auditrix: A Curriculum Audit System for KSU, a web-based tool for Kalinga State University, developed and tested in the College of Engineering and Information Technology (CEIT), that automatically validates student eligibility by checking finished subjects against curriculum standards.</w:t>
      </w:r>
    </w:p>
    <w:p w14:paraId="7335F3EA"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lastRenderedPageBreak/>
        <w:t>To identify the process for auditing the students' prerequisite compliance with the curriculum.</w:t>
      </w:r>
    </w:p>
    <w:p w14:paraId="77DB5B6E"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354F7BE1"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31435107" w14:textId="012FAEA6" w:rsidR="0059781B" w:rsidRPr="001B2978" w:rsidRDefault="00556A13" w:rsidP="001B2978">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t>To evaluate the level of compliance of the proposed system to ISO/IEC 25010 software quality standards in terms of functional suitability, usability, security, reliability, performance efficiency, compatibility, portability, maintainability, and safety.</w:t>
      </w:r>
    </w:p>
    <w:p w14:paraId="7E8843F1"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4CA382EA" w14:textId="77777777" w:rsidR="00FB68F9"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The development of Auditrix represents a strategic shift toward modernizing the academic auditing framework of Kalinga State University. By transitioning from manual verification to an automated, data-driven approach, this study provides the following significant benefits:</w:t>
      </w:r>
    </w:p>
    <w:p w14:paraId="37E22958"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w:t>
      </w:r>
      <w:r>
        <w:rPr>
          <w:rFonts w:ascii="Courier New" w:eastAsia="-webkit-standard" w:hAnsi="Courier New" w:cs="Courier New"/>
          <w:color w:val="000000"/>
        </w:rPr>
        <w:lastRenderedPageBreak/>
        <w:t>once which subjects the student has completed, can take next, or took out of order, with the reason for each violation, removing the need to</w:t>
      </w:r>
      <w:r w:rsidR="003770D4">
        <w:rPr>
          <w:rFonts w:ascii="Courier New" w:eastAsia="-webkit-standard" w:hAnsi="Courier New" w:cs="Courier New"/>
          <w:color w:val="000000"/>
        </w:rPr>
        <w:t xml:space="preserve"> manually</w:t>
      </w:r>
      <w:r>
        <w:rPr>
          <w:rFonts w:ascii="Courier New" w:eastAsia="-webkit-standard" w:hAnsi="Courier New" w:cs="Courier New"/>
          <w:color w:val="000000"/>
        </w:rPr>
        <w:t xml:space="preserve"> cross-reference records against the curriculum map. Student lists can also be imported from the KSU-MIS export instead of being typed in. This significantly reduces administrative workload, reduces human oversight, and allows chairpersons to dedicate more time </w:t>
      </w:r>
      <w:r w:rsidR="00B20169">
        <w:rPr>
          <w:rFonts w:ascii="Courier New" w:eastAsia="-webkit-standard" w:hAnsi="Courier New" w:cs="Courier New"/>
          <w:color w:val="000000"/>
        </w:rPr>
        <w:t>with other functions.</w:t>
      </w:r>
    </w:p>
    <w:p w14:paraId="7A58E2BE"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The study gives the Dean a reliable, college-wide picture of how well students in every program follow their curricula, without waiting for each chairperson's manual report. With this information, the Dean can recognize early which programs have many irregular students or prerequisite violations, decide where academic advising or a curriculum review is needed, and plan the offering of subjects and the assignment of faculty accordingly. Because only authorized personnel can access student records, the college's academic data are kept secure and confidential. The consistent, documented audit records also serve as evidence of the college's commitment to academic integrity and outcomes-based education during AACCUP accreditation and CHED monitoring visits.</w:t>
      </w:r>
    </w:p>
    <w:p w14:paraId="3EFF81B1"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lastRenderedPageBreak/>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of being barred from graduation due to late-discovered delinquencies. This proactive approach minimizes unnecessary financial burdens and ensures a seamless, on-time pathway toward program completion.</w:t>
      </w:r>
    </w:p>
    <w:p w14:paraId="6B1F4814"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Auditrix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evidence-based governance by providing clear, real-time insights into student progression and identifying potential curriculum bottlenecks.</w:t>
      </w:r>
      <w:r>
        <w:rPr>
          <w:rFonts w:ascii="Courier New" w:eastAsia="-webkit-standard" w:hAnsi="Courier New" w:cs="Courier New"/>
          <w:b/>
          <w:bCs/>
          <w:color w:val="000000"/>
        </w:rPr>
        <w:tab/>
      </w:r>
    </w:p>
    <w:p w14:paraId="3783862D" w14:textId="1D4BCAE8" w:rsidR="004702A7" w:rsidRPr="00227703" w:rsidRDefault="00556A13" w:rsidP="00893BA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lastRenderedPageBreak/>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4BBF4AE8"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Scope and Delimitations</w:t>
      </w:r>
      <w:r>
        <w:fldChar w:fldCharType="begin"/>
      </w:r>
      <w:r>
        <w:instrText xml:space="preserve"> TC "Scope and Delimitations" \f c \l 2 </w:instrText>
      </w:r>
      <w:r>
        <w:fldChar w:fldCharType="end"/>
      </w:r>
    </w:p>
    <w:p w14:paraId="04A988F7" w14:textId="77777777" w:rsidR="009F172D"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primary focus of this study is the design and development of Auditrix: A Curriculum Audit System for Kalinga State University (KSU). The system is engineered as a specialized administrative tool to support Program Chairpersons in monitoring student curriculum progress and ensuring strict prerequisite compliance.</w:t>
      </w:r>
    </w:p>
    <w:p w14:paraId="76F827AC" w14:textId="77777777" w:rsidR="00370016" w:rsidRDefault="009F172D">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this study focuses on the College of Engineering and Information Technology, which served as the primary data source and testing site</w:t>
      </w:r>
      <w:r>
        <w:rPr>
          <w:rFonts w:ascii="Courier New" w:eastAsia="-webkit-standard" w:hAnsi="Courier New" w:cs="Courier New"/>
          <w:color w:val="000000"/>
        </w:rPr>
        <w:t>; the system was tested with the curricula and students of the</w:t>
      </w:r>
      <w:r w:rsidR="00745914">
        <w:rPr>
          <w:rFonts w:ascii="Courier New" w:eastAsia="-webkit-standard" w:hAnsi="Courier New" w:cs="Courier New"/>
          <w:color w:val="000000"/>
        </w:rPr>
        <w:t xml:space="preserve"> BSMath, BSEE,</w:t>
      </w:r>
      <w:r>
        <w:rPr>
          <w:rFonts w:ascii="Courier New" w:eastAsia="-webkit-standard" w:hAnsi="Courier New" w:cs="Courier New"/>
          <w:color w:val="000000"/>
        </w:rPr>
        <w:t xml:space="preserve"> BSCpE, BSIT</w:t>
      </w:r>
      <w:r w:rsidR="00745914">
        <w:rPr>
          <w:rFonts w:ascii="Courier New" w:eastAsia="-webkit-standard" w:hAnsi="Courier New" w:cs="Courier New"/>
          <w:color w:val="000000"/>
        </w:rPr>
        <w:t>, BSABE,</w:t>
      </w:r>
      <w:r>
        <w:rPr>
          <w:rFonts w:ascii="Courier New" w:eastAsia="-webkit-standard" w:hAnsi="Courier New" w:cs="Courier New"/>
          <w:color w:val="000000"/>
        </w:rPr>
        <w:t xml:space="preserve"> and BSCE programs</w:t>
      </w:r>
      <w:r>
        <w:rPr>
          <w:rFonts w:ascii="Courier New" w:eastAsia="-webkit-standard" w:hAnsi="Courier New" w:cs="Courier New"/>
          <w:bCs/>
          <w:color w:val="000000"/>
        </w:rPr>
        <w:t>.</w:t>
      </w:r>
    </w:p>
    <w:p w14:paraId="2916D750"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lastRenderedPageBreak/>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 and 26-S for the midyear after its second semester, as on KSU records),</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Available, Pending, Unavailable, or Violation. A Violation is </w:t>
      </w:r>
      <w:r>
        <w:rPr>
          <w:rFonts w:ascii="Courier New" w:eastAsia="-webkit-standard" w:hAnsi="Courier New" w:cs="Courier New"/>
          <w:color w:val="000000"/>
        </w:rPr>
        <w:t>determined from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The system also keeps a record of student movement through a transfer, shift, and drop module, which logs every case in a per-student history; the record of a dropped or transferred-out student is locked against changes until it is reopened.</w:t>
      </w:r>
    </w:p>
    <w:p w14:paraId="6C4EEC34"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lastRenderedPageBreak/>
        <w:t xml:space="preserve">Beyond basic auditing, the system includes a dashboard that summarizes each program: the total number of students, the regular and irregular students, the students with violations, the curriculum versions, and the number of students who shifted, transferred, or dropped. Its charts show the students per year level (Freshman to Senior) and the </w:t>
      </w:r>
      <w:commentRangeStart w:id="0"/>
      <w:r>
        <w:rPr>
          <w:rFonts w:ascii="Courier New" w:eastAsia="-webkit-standard" w:hAnsi="Courier New" w:cs="Courier New"/>
          <w:color w:val="000000"/>
        </w:rPr>
        <w:t>subjects most often taken out of order. A "Needs attention" list points the chairperson to the students who need action, and the Dean can compare the programs of the college side by side.</w:t>
      </w:r>
      <w:commentRangeEnd w:id="0"/>
      <w:r w:rsidR="00D4172A" w:rsidRPr="00B52031">
        <w:rPr>
          <w:rStyle w:val="CommentReference"/>
          <w:rFonts w:ascii="Courier New" w:eastAsia="-webkit-standard" w:hAnsi="Courier New" w:cs="Courier New"/>
          <w:bCs/>
          <w:color w:val="000000"/>
          <w:sz w:val="24"/>
          <w:szCs w:val="24"/>
        </w:rPr>
        <w:commentReference w:id="0"/>
      </w:r>
    </w:p>
    <w:p w14:paraId="2AC8866C"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Year levels are determined automatically from what each student has finished, following the KSU Student Handbook and Operations Manual: a student moves up when the share of curriculum units passed reaches the threshold for Sophomore (25%), Junior (more than 50%)</w:t>
      </w:r>
      <w:r w:rsidR="00062C4C">
        <w:rPr>
          <w:rFonts w:ascii="Courier New" w:eastAsia="-webkit-standard" w:hAnsi="Courier New" w:cs="Courier New"/>
          <w:color w:val="000000"/>
        </w:rPr>
        <w:t>,</w:t>
      </w:r>
      <w:r>
        <w:rPr>
          <w:rFonts w:ascii="Courier New" w:eastAsia="-webkit-standard" w:hAnsi="Courier New" w:cs="Courier New"/>
          <w:color w:val="000000"/>
        </w:rPr>
        <w:t xml:space="preserve"> or Senior (75%), or when every subject of the earlier years has been passed. A student is classified as regular when enrolled in the full prescribed load for the current semester and irregular when enrolled in less, as defined in the same manual. Incomplete (INC) grades are shown as Pending until the chairperson enters the final grade; an INC does not lapse automatically into a failing grade.</w:t>
      </w:r>
    </w:p>
    <w:p w14:paraId="69D996B4"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lastRenderedPageBreak/>
        <w:t xml:space="preserve">The system does not include subsystems for other administrative offices, such as the Registrar, Accounting, or Library services. It does not enroll students in subjects; it 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(Excel or CSV), and grades are entered student by student. Students do not have their own access to the system.</w:t>
      </w:r>
    </w:p>
    <w:p w14:paraId="0D48A107" w14:textId="7FB3ED63" w:rsidR="00721D10" w:rsidRPr="00B52031" w:rsidRDefault="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system's logic is limited to descriptive auditing (identifying compliance with existing rules) and does not 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 xml:space="preserve">. </w:t>
      </w:r>
    </w:p>
    <w:p w14:paraId="36564F61" w14:textId="77777777" w:rsidR="00094483"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282FFACE" w14:textId="77777777" w:rsidR="00094483"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53B57E03"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w:t>
      </w:r>
      <w:r>
        <w:rPr>
          <w:rFonts w:ascii="Courier New" w:hAnsi="Courier New" w:cs="Courier New"/>
          <w:sz w:val="24"/>
          <w:szCs w:val="24"/>
        </w:rPr>
        <w:lastRenderedPageBreak/>
        <w:t>curriculum. Its primary purpose is to detect prerequisite violations for use by Program Chairpersons and Deans.</w:t>
      </w:r>
    </w:p>
    <w:p w14:paraId="74B0165F"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automatically to ensure students follow the correct program sequence.</w:t>
      </w:r>
    </w:p>
    <w:p w14:paraId="22574030"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Auditrix flags such a subject with the status Violation and states the reason; the subject earns no credit and must be retaken.</w:t>
      </w:r>
    </w:p>
    <w:p w14:paraId="084626B7"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Completed.</w:t>
      </w:r>
      <w:r>
        <w:rPr>
          <w:rFonts w:ascii="Courier New" w:hAnsi="Courier New" w:cs="Courier New"/>
          <w:sz w:val="24"/>
          <w:szCs w:val="24"/>
        </w:rPr>
        <w:t xml:space="preserve"> One of the five statuses a subject can have in the student audit. A subject is Completed when the student has passed it and the pass counts, because the subject was taken only after its requirements had been met.</w:t>
      </w:r>
    </w:p>
    <w:p w14:paraId="7223E914" w14:textId="77777777" w:rsidR="003502CB"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Available.</w:t>
      </w:r>
      <w:r>
        <w:rPr>
          <w:rFonts w:ascii="Courier New" w:hAnsi="Courier New" w:cs="Courier New"/>
          <w:sz w:val="24"/>
          <w:szCs w:val="24"/>
        </w:rPr>
        <w:t xml:space="preserve"> A status meaning that the student may take the subject now because its requirements have been met, or </w:t>
      </w:r>
      <w:r>
        <w:rPr>
          <w:rFonts w:ascii="Courier New" w:hAnsi="Courier New" w:cs="Courier New"/>
          <w:sz w:val="24"/>
          <w:szCs w:val="24"/>
        </w:rPr>
        <w:lastRenderedPageBreak/>
        <w:t>must take it again because it was failed or taken out of order.</w:t>
      </w:r>
    </w:p>
    <w:p w14:paraId="0068490B" w14:textId="1652661B"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Unavailable.</w:t>
      </w:r>
      <w:r>
        <w:rPr>
          <w:rFonts w:ascii="Courier New" w:hAnsi="Courier New" w:cs="Courier New"/>
          <w:sz w:val="24"/>
          <w:szCs w:val="24"/>
        </w:rPr>
        <w:t xml:space="preserve"> A status meaning that the student has not yet met the subject's requirements and cannot take it yet; the missing requirements are listed (e.g., "Needs: CC 104").</w:t>
      </w:r>
    </w:p>
    <w:p w14:paraId="3BC6C898" w14:textId="531314FE"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Violation.</w:t>
      </w:r>
      <w:r>
        <w:rPr>
          <w:rFonts w:ascii="Courier New" w:hAnsi="Courier New" w:cs="Courier New"/>
          <w:sz w:val="24"/>
          <w:szCs w:val="24"/>
        </w:rPr>
        <w:t xml:space="preserve"> A status meaning that the subject was taken before one of its requirements was met, for example</w:t>
      </w:r>
      <w:r w:rsidR="00D4172A">
        <w:rPr>
          <w:rFonts w:ascii="Courier New" w:hAnsi="Courier New" w:cs="Courier New"/>
          <w:sz w:val="24"/>
          <w:szCs w:val="24"/>
        </w:rPr>
        <w:t>,</w:t>
      </w:r>
      <w:r>
        <w:rPr>
          <w:rFonts w:ascii="Courier New" w:hAnsi="Courier New" w:cs="Courier New"/>
          <w:sz w:val="24"/>
          <w:szCs w:val="24"/>
        </w:rPr>
        <w:t xml:space="preserve"> before its prerequisite was passed. Auditrix states the reason; the subject earns no credit and must be retaken.</w:t>
      </w:r>
    </w:p>
    <w:p w14:paraId="540A3F65"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282ED531"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Incomplete (INC).</w:t>
      </w:r>
      <w:r>
        <w:rPr>
          <w:rFonts w:ascii="Courier New" w:hAnsi="Courier New" w:cs="Courier New"/>
          <w:sz w:val="24"/>
          <w:szCs w:val="24"/>
        </w:rPr>
        <w:t xml:space="preserve"> A grade given when a student has not yet completed the requirements of a subject. In Auditrix, a subject with an INC is shown as Pending, and it counts as passed only from the term in which the final grade was given.</w:t>
      </w:r>
    </w:p>
    <w:p w14:paraId="27B587ED"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Term.</w:t>
      </w:r>
      <w:r>
        <w:rPr>
          <w:rFonts w:ascii="Courier New" w:hAnsi="Courier New" w:cs="Courier New"/>
          <w:sz w:val="24"/>
          <w:szCs w:val="24"/>
        </w:rPr>
        <w:t xml:space="preserve"> A semester of a school year, written in Auditrix as YY-S: the first two digits of the school year and the semester (1 for the first semester, 2 for the second semester, and S for the midyear). As on KSU records, a midyear carries </w:t>
      </w:r>
      <w:r>
        <w:rPr>
          <w:rFonts w:ascii="Courier New" w:hAnsi="Courier New" w:cs="Courier New"/>
          <w:sz w:val="24"/>
          <w:szCs w:val="24"/>
        </w:rPr>
        <w:lastRenderedPageBreak/>
        <w:t>the year of the semester after it, so terms are ordered 25-1, 25-2, 26-S, then 26-1.</w:t>
      </w:r>
    </w:p>
    <w:p w14:paraId="7A2C61BE" w14:textId="26ABB0B5"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w:t>
      </w:r>
      <w:r w:rsidR="00940C33">
        <w:rPr>
          <w:rFonts w:ascii="Courier New" w:hAnsi="Courier New" w:cs="Courier New"/>
          <w:sz w:val="24"/>
          <w:szCs w:val="24"/>
        </w:rPr>
        <w:t>,</w:t>
      </w:r>
      <w:r>
        <w:rPr>
          <w:rFonts w:ascii="Courier New" w:hAnsi="Courier New" w:cs="Courier New"/>
          <w:sz w:val="24"/>
          <w:szCs w:val="24"/>
        </w:rPr>
        <w:t xml:space="preserve"> it is determined from the share of the curriculum's units the student has passed, following the KSU Student Handbook (2020 edition) and the KSU Operations Manual: Student Development Services &amp; Placement Guide.</w:t>
      </w:r>
    </w:p>
    <w:p w14:paraId="13AE9D47"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2CD46BF6"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Student.</w:t>
      </w:r>
      <w:r>
        <w:rPr>
          <w:rFonts w:ascii="Courier New" w:hAnsi="Courier New" w:cs="Courier New"/>
          <w:sz w:val="24"/>
          <w:szCs w:val="24"/>
        </w:rPr>
        <w:t xml:space="preserve"> A student who is enrolled in the full prescribed academic load in a given semester of the curriculum in which he or she is enrolled (Kalinga State University, 2020). In Auditrix, the prescribed load is the curriculum's subjects for the student's year level and the current semester, not counting subjects already passed.</w:t>
      </w:r>
    </w:p>
    <w:p w14:paraId="6C3E7490"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Irregular Student.</w:t>
      </w:r>
      <w:r>
        <w:rPr>
          <w:rFonts w:ascii="Courier New" w:hAnsi="Courier New" w:cs="Courier New"/>
          <w:sz w:val="24"/>
          <w:szCs w:val="24"/>
        </w:rPr>
        <w:t xml:space="preserve"> A student who is enrolled in less than the prescribed academic load in a given semester of the curriculum in which he or she is enrolled (Kalinga State University, 2020). Auditrix lists the prescribed subjects that the student is missing.</w:t>
      </w:r>
    </w:p>
    <w:p w14:paraId="330A9AFF"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Current Semester.</w:t>
      </w:r>
      <w:r>
        <w:rPr>
          <w:rFonts w:ascii="Courier New" w:hAnsi="Courier New" w:cs="Courier New"/>
          <w:sz w:val="24"/>
          <w:szCs w:val="24"/>
        </w:rPr>
        <w:t xml:space="preserve"> The term a college is currently in, set by the Dean in Auditrix. Year levels and the regular or irregular status of students are worked out relative to it.</w:t>
      </w:r>
    </w:p>
    <w:p w14:paraId="38E8E4A8"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Auditrix is not connected to the MIS; instead, it accepts the student list file produced by the MIS's "Export to Excel" function.</w:t>
      </w:r>
    </w:p>
    <w:p w14:paraId="5998C776"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5528F02E"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and the Dean to analyze program-wide data at a glance.</w:t>
      </w:r>
    </w:p>
    <w:p w14:paraId="1E92E749" w14:textId="77777777" w:rsidR="00693157" w:rsidRDefault="00000000">
      <w:pPr>
        <w:spacing w:after="0" w:line="480" w:lineRule="auto"/>
        <w:ind w:firstLine="720"/>
        <w:jc w:val="both"/>
        <w:rPr>
          <w:rFonts w:ascii="Courier New" w:hAnsi="Courier New" w:cs="Courier New"/>
          <w:sz w:val="24"/>
          <w:szCs w:val="24"/>
        </w:rPr>
        <w:sectPr w:rsidR="00693157" w:rsidSect="00D42FC3">
          <w:headerReference w:type="default" r:id="rId21"/>
          <w:footerReference w:type="default" r:id="rId22"/>
          <w:headerReference w:type="first" r:id="rId23"/>
          <w:footerReference w:type="first" r:id="rId24"/>
          <w:pgSz w:w="12240" w:h="15840"/>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Auditrix. The system is to be evaluated based on nine characteristics: functional suitability, performance efficiency, compatibility, usability, reliability, security, maintainability, portability, and safety.</w:t>
      </w:r>
    </w:p>
    <w:p w14:paraId="04BF9571" w14:textId="77777777" w:rsidR="00094483" w:rsidRDefault="00693157" w:rsidP="00693157">
      <w:pPr>
        <w:keepNext/>
        <w:tabs>
          <w:tab w:val="center" w:pos="4321"/>
          <w:tab w:val="left" w:pos="7549"/>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44D4D330"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33B6A8B0" w14:textId="77777777" w:rsidR="00094483"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01723006" w14:textId="77777777" w:rsidR="00094483"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14A8FF9E"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32631509" w14:textId="77777777" w:rsidR="00693157"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w:t>
      </w:r>
      <w:r>
        <w:rPr>
          <w:rFonts w:ascii="Courier New" w:eastAsia="Calibri" w:hAnsi="Courier New" w:cs="Courier New"/>
          <w:kern w:val="0"/>
          <w:sz w:val="24"/>
          <w:szCs w:val="24"/>
          <w:lang w:eastAsia="zh-CN"/>
        </w:rPr>
        <w:lastRenderedPageBreak/>
        <w:t>accreditation processes for computer information systems programs. Their findings emphasize that measurement for program assessments requires systematic information systems to satisfy international accreditation standards.</w:t>
      </w:r>
    </w:p>
    <w:p w14:paraId="1E2AC7E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Furthering this digital transformation, Akulova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6A44ECDB"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Practical applications of these systems show significant results, as seen at United Arab Emirates University, which implemented a Learning Outcomes Assessment Management System (LOAMS) to streamline academic quality assurance processes (Al-Fedaghi &amp; Al-Muhanna, 2022). The system features role-based user privileges, automated workflow management, and infographics for tracking assessment status. Since its deployment in 2018, LOAMS has successfully managed learning outcomes assessment for over 1,000 courses per semester, </w:t>
      </w:r>
      <w:r>
        <w:rPr>
          <w:rFonts w:ascii="Courier New" w:eastAsia="Calibri" w:hAnsi="Courier New" w:cs="Courier New"/>
          <w:kern w:val="0"/>
          <w:sz w:val="24"/>
          <w:szCs w:val="24"/>
          <w:lang w:eastAsia="zh-CN"/>
        </w:rPr>
        <w:lastRenderedPageBreak/>
        <w:t>proving the scalability and effectiveness of web-based audit systems.</w:t>
      </w:r>
    </w:p>
    <w:p w14:paraId="713F8B9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Taufiqurrahman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2DDC573D"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Standardization also plays a key role, as Oware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w:t>
      </w:r>
      <w:r>
        <w:rPr>
          <w:rFonts w:ascii="Courier New" w:eastAsia="Calibri" w:hAnsi="Courier New" w:cs="Courier New"/>
          <w:kern w:val="0"/>
          <w:sz w:val="24"/>
          <w:szCs w:val="24"/>
          <w:lang w:eastAsia="zh-CN"/>
        </w:rPr>
        <w:lastRenderedPageBreak/>
        <w:t>audit frameworks with defined domains and assessment scales significantly improve audit effectiveness.</w:t>
      </w:r>
    </w:p>
    <w:p w14:paraId="790B7807"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48089F93"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w:t>
      </w:r>
      <w:r>
        <w:rPr>
          <w:rFonts w:ascii="Courier New" w:eastAsia="Calibri" w:hAnsi="Courier New" w:cs="Courier New"/>
          <w:kern w:val="0"/>
          <w:sz w:val="24"/>
          <w:szCs w:val="24"/>
          <w:lang w:eastAsia="zh-CN"/>
        </w:rPr>
        <w:lastRenderedPageBreak/>
        <w:t>dependability scores based on User Experience Questionnaire benchmarks.</w:t>
      </w:r>
    </w:p>
    <w:p w14:paraId="0DDEAE23"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Finally, recent literature highlights the proliferation of commercial curriculum management software. 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32CB1F2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w:t>
      </w:r>
      <w:r>
        <w:rPr>
          <w:rFonts w:ascii="Courier New" w:eastAsia="Calibri" w:hAnsi="Courier New" w:cs="Courier New"/>
          <w:kern w:val="0"/>
          <w:sz w:val="24"/>
          <w:szCs w:val="24"/>
          <w:lang w:eastAsia="zh-CN"/>
        </w:rPr>
        <w:lastRenderedPageBreak/>
        <w:t>transformation is further supported by Akulova et al. (2025) and Saeed et al. (2021), who argue that systematic information systems are no longer optional but are a technical necessity for meeting international accreditation standards such as ABET and NCAAA.</w:t>
      </w:r>
    </w:p>
    <w:p w14:paraId="3575E11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 recurring theme across these studies is the effectiveness of web-based platforms in streamlining administrative workflows. The successful deployment of systems like LOAMS at United Arab Emirates University (Al-Fedaghi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Taufiqurrahman et al. (2025) and Gunawan et al. (2023), provides administrators with actionable insights that enhance institutional efficiency and dependability.</w:t>
      </w:r>
    </w:p>
    <w:p w14:paraId="68DC6405" w14:textId="34A6E2C4" w:rsidR="00034DEB" w:rsidRPr="001B2978" w:rsidRDefault="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the literature emphasizes that structured audit frameworks significantly improve the speed and quality of academic processes. Case studies from the QAA in the United Kingdom (2024) and standardized models in Ghana (Oware &amp; </w:t>
      </w:r>
      <w:r>
        <w:rPr>
          <w:rFonts w:ascii="Courier New" w:eastAsia="Calibri" w:hAnsi="Courier New" w:cs="Courier New"/>
          <w:kern w:val="0"/>
          <w:sz w:val="24"/>
          <w:szCs w:val="24"/>
          <w:lang w:eastAsia="zh-CN"/>
        </w:rPr>
        <w:lastRenderedPageBreak/>
        <w:t>Mokoena, 2025) reveal that moving away from legacy reviews toward streamlined, technology-driven methodologies allows institutions to maintain high quality standards even under compressed timelines. Collectively, these studies validate the development of Auditrix as a timely intervention that aligns with global best practices in automated curriculum validation, accreditation readiness, and continuous institutional improvement.</w:t>
      </w:r>
    </w:p>
    <w:p w14:paraId="69F60A0D" w14:textId="77777777" w:rsidR="00094483"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1EEC86B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72F7F257"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Complementing these efforts, the World Bank (2023) documented the Institutional Sustainability Assessment (ISA) framework implemented by CHED. This includes a Self-Evaluation Document (SED) that higher education institutions use to assess institutional sustainability across five key result areas: governance and management, quality of teaching and learning, quality of professional exposure and research, support for students, and relations with the community. Miranda and Reyes-Chua (2021) examined 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2D18DCBB"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w:t>
      </w:r>
      <w:r>
        <w:rPr>
          <w:rFonts w:ascii="Courier New" w:hAnsi="Courier New" w:cs="Courier New"/>
          <w:sz w:val="24"/>
          <w:szCs w:val="24"/>
        </w:rPr>
        <w:lastRenderedPageBreak/>
        <w:t>processes. However, Santelices and De La Cruz (2023) examined quality assurance in the certification procedure of the Regional Quality Assessment Team for higher education institutions in Region V, Philippines. Their research noted that no single quality assurance framework can address all quality dimensions, suggesting the need for localized, flexible audit systems.</w:t>
      </w:r>
    </w:p>
    <w:p w14:paraId="2DD8C5C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702846F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Briones (2019) examined the implementation of Outcomes-Based Education in state universities in Region I, Philippines. Findings revealed that a majority of respondents were compliant with OBE minimum requirements and highly compliant in terms of alignment and consistency of the learning environment. Nevertheless, research on SUC quality assurance systems (2025) highlighted that Philippine State Universities and Colleges face significant challenges in maintaining program accreditation and obtaining Certificates of Program Compliance (COPC) set by CHED. Despite mandates to implement quality management systems under ISO 2015, many institutions struggle with continuous program accreditation requirements, indicating the need for enhanced digital audit systems.</w:t>
      </w:r>
    </w:p>
    <w:p w14:paraId="5436A215"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w:t>
      </w:r>
      <w:r>
        <w:rPr>
          <w:rFonts w:ascii="Courier New" w:hAnsi="Courier New" w:cs="Courier New"/>
          <w:sz w:val="24"/>
          <w:szCs w:val="24"/>
        </w:rPr>
        <w:lastRenderedPageBreak/>
        <w:t>these needs, Surigao State College of Technology (2025) documented their General Education Program Curriculum Map, illustrating the relationship between courses and program educational outcomes, while Guimaras State University (2025) documented comprehensive quality assurance activities including regular internal audits and mock accreditation exercises.</w:t>
      </w:r>
    </w:p>
    <w:p w14:paraId="4EF4D65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These local initiatives are supported by the legal framework of the Education Act of 1982 (Batas Pambansa Blg. 232) and CMO No. 46, Series of 2012, which seek to improve 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21CEE7B3"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w:t>
      </w:r>
      <w:r>
        <w:rPr>
          <w:rFonts w:ascii="Courier New" w:hAnsi="Courier New" w:cs="Courier New"/>
          <w:sz w:val="24"/>
          <w:szCs w:val="24"/>
        </w:rPr>
        <w:lastRenderedPageBreak/>
        <w:t>Studies by Jovanović and Dimitrijević (2023), Xiaoyan et al. (2023), Akulova et al. (2025), and Taufiqurrahman et al. (2025) consistently support the implementation of web-based systems with centralized database architectures for managing academic processes. The success of LOAMS at UAE University (Al-Fedaghi &amp; Al-Muhanna, 2022) and the accreditation systems developed in Indonesia (Gunawan et al., 2023) provide empirical evidence that such systems can scale to manage thousands of courses and users effectively.</w:t>
      </w:r>
    </w:p>
    <w:p w14:paraId="199B84B0"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In the Philippine context, CHED's digital transformation initiatives (PIDS, 2024; World Bank, 2023) 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Oware and Mokoena's (2025) standardized framework and the QAA's (2024) innovative curriculum audit methodologies demonstrate that effective audit systems must align with international standards while accommodating local contextual needs. In the Philippine setting, CHED's ISA </w:t>
      </w:r>
      <w:r>
        <w:rPr>
          <w:rFonts w:ascii="Courier New" w:hAnsi="Courier New" w:cs="Courier New"/>
          <w:sz w:val="24"/>
          <w:szCs w:val="24"/>
        </w:rPr>
        <w:lastRenderedPageBreak/>
        <w:t>framework, AACCUP accreditation standards, and the ASEAN University Network quality assurance standards provide the regulatory foundation for curriculum audit systems.</w:t>
      </w:r>
    </w:p>
    <w:p w14:paraId="7E3E126D"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research by Miranda and Reyes-Chua (2021) and Prado (2025) confirms that Philippine institutions require 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Taufiqurrahman et al. (2025) documented challenges including document dislocation, timeline oversight, and fragmented assessment data. Philippine studies similarly highlight manual processing delays, lack of real-time monitoring, and difficulties in maintaining CHED compliance (PIDS, 2024; Necosia &amp; Sealza, 2024; SUC quality assurance studies, 2025).</w:t>
      </w:r>
    </w:p>
    <w:p w14:paraId="2E55CC2C"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Auditrix directly addresses these identified gaps through automated prerequisite checking, real-time audit status for every student, centralized curriculum and grade data, and audit trails (a grade logbook and a per-version </w:t>
      </w:r>
      <w:r>
        <w:rPr>
          <w:rFonts w:ascii="Courier New" w:hAnsi="Courier New" w:cs="Courier New"/>
          <w:sz w:val="24"/>
          <w:szCs w:val="24"/>
        </w:rPr>
        <w:lastRenderedPageBreak/>
        <w:t>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systems that can map curriculum components to learning outcomes and generate compliance reports.</w:t>
      </w:r>
    </w:p>
    <w:p w14:paraId="2C866F1B" w14:textId="77777777" w:rsidR="00693157" w:rsidRDefault="00860FBA" w:rsidP="00860FBA">
      <w:pPr>
        <w:spacing w:line="480" w:lineRule="auto"/>
        <w:ind w:firstLine="720"/>
        <w:jc w:val="both"/>
        <w:rPr>
          <w:rFonts w:ascii="Courier New" w:hAnsi="Courier New" w:cs="Courier New"/>
          <w:sz w:val="24"/>
          <w:szCs w:val="24"/>
        </w:rPr>
        <w:sectPr w:rsidR="00693157" w:rsidSect="00D42FC3">
          <w:headerReference w:type="default" r:id="rId25"/>
          <w:headerReference w:type="first" r:id="rId26"/>
          <w:pgSz w:w="12240" w:h="15840"/>
          <w:pgMar w:top="1440" w:right="1440" w:bottom="1440" w:left="2160" w:header="709" w:footer="709" w:gutter="0"/>
          <w:cols w:space="708"/>
          <w:titlePg/>
          <w:docGrid w:linePitch="360"/>
        </w:sectPr>
      </w:pPr>
      <w:r>
        <w:rPr>
          <w:rFonts w:ascii="Courier New" w:hAnsi="Courier New" w:cs="Courier New"/>
          <w:sz w:val="24"/>
          <w:szCs w:val="24"/>
        </w:rPr>
        <w:t xml:space="preserve">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w:t>
      </w:r>
      <w:r>
        <w:rPr>
          <w:rFonts w:ascii="Courier New" w:hAnsi="Courier New" w:cs="Courier New"/>
          <w:sz w:val="24"/>
          <w:szCs w:val="24"/>
        </w:rPr>
        <w:lastRenderedPageBreak/>
        <w:t>management (Salleh et al., 2020) or learning outcome assessment (Al-Fedaghi &amp; Al-Muhanna, 2022) but lack the holistic approach to curriculum auditing that examines alignment between planned, delivered, and assessed curricula. Auditrix contributes to filling part of this gap by offering a curriculum-specific audit system designed for a Philippine 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3C611E59"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74D6175E"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544B6596"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outlines the systematic approach and technical procedures utilized by the researchers in the development and evaluation of Auditrix: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6B850FD2" w14:textId="77777777" w:rsidR="00094483"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6ABCCD71" w14:textId="77777777" w:rsidR="00693157"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ensure a structured yet adaptive development process, the researchers adopted the Iterative and Incremental Development (IID) model. Unlike the traditional linear approach, this methodology allowed the proponents to develop Auditrix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w:t>
      </w:r>
      <w:r>
        <w:rPr>
          <w:rFonts w:ascii="Courier New" w:hAnsi="Courier New" w:cs="Courier New"/>
          <w:sz w:val="24"/>
          <w:szCs w:val="24"/>
        </w:rPr>
        <w:lastRenderedPageBreak/>
        <w:t>features based on actual administrative feedback before the final deployment.</w:t>
      </w:r>
    </w:p>
    <w:p w14:paraId="68226674" w14:textId="77777777" w:rsidR="00094483" w:rsidRDefault="00094483">
      <w:pPr>
        <w:spacing w:after="0" w:line="480" w:lineRule="auto"/>
        <w:jc w:val="center"/>
        <w:rPr>
          <w:rFonts w:ascii="Courier New" w:hAnsi="Courier New" w:cs="Courier New"/>
          <w:sz w:val="24"/>
          <w:szCs w:val="24"/>
        </w:rPr>
      </w:pPr>
    </w:p>
    <w:p w14:paraId="0AC15A64" w14:textId="77777777" w:rsidR="00094483" w:rsidRDefault="00000000">
      <w:pPr>
        <w:spacing w:after="0" w:line="480" w:lineRule="auto"/>
        <w:jc w:val="center"/>
        <w:rPr>
          <w:rFonts w:ascii="Courier New" w:hAnsi="Courier New" w:cs="Courier New"/>
          <w:sz w:val="24"/>
          <w:szCs w:val="24"/>
        </w:rPr>
      </w:pPr>
      <w:r>
        <w:rPr>
          <w:rFonts w:ascii="Courier New" w:hAnsi="Courier New" w:cs="Courier New"/>
          <w:noProof/>
        </w:rPr>
        <w:drawing>
          <wp:inline distT="0" distB="0" distL="0" distR="0" wp14:anchorId="47E47EAD" wp14:editId="5827132E">
            <wp:extent cx="4356735" cy="2440305"/>
            <wp:effectExtent l="0" t="0" r="5715" b="0"/>
            <wp:docPr id="782356319" name="Graphic 78235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56319" name="Graphic 782356319"/>
                    <pic:cNvPicPr>
                      <a:picLocks noChangeAspect="1"/>
                    </pic:cNvPicPr>
                  </pic:nvPicPr>
                  <pic:blipFill>
                    <a:blip r:embed="rId27"/>
                    <a:stretch>
                      <a:fillRect/>
                    </a:stretch>
                  </pic:blipFill>
                  <pic:spPr>
                    <a:xfrm>
                      <a:off x="0" y="0"/>
                      <a:ext cx="4356735" cy="2440305"/>
                    </a:xfrm>
                    <a:prstGeom prst="rect">
                      <a:avLst/>
                    </a:prstGeom>
                  </pic:spPr>
                </pic:pic>
              </a:graphicData>
            </a:graphic>
          </wp:inline>
        </w:drawing>
      </w:r>
    </w:p>
    <w:p w14:paraId="36B57789" w14:textId="77777777" w:rsidR="00094483" w:rsidRDefault="00094483">
      <w:pPr>
        <w:spacing w:after="0" w:line="480" w:lineRule="auto"/>
        <w:jc w:val="center"/>
        <w:rPr>
          <w:rFonts w:ascii="Courier New" w:hAnsi="Courier New" w:cs="Courier New"/>
          <w:sz w:val="24"/>
          <w:szCs w:val="24"/>
          <w:lang w:val="en-US"/>
        </w:rPr>
      </w:pPr>
    </w:p>
    <w:p w14:paraId="6AB78800" w14:textId="77777777"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 xml:space="preserve">Figure </w:t>
      </w:r>
      <w:r w:rsidR="00F60E9F">
        <w:rPr>
          <w:rFonts w:ascii="Courier New" w:hAnsi="Courier New" w:cs="Courier New"/>
          <w:b/>
          <w:bCs/>
          <w:i/>
          <w:iCs/>
          <w:sz w:val="24"/>
          <w:szCs w:val="24"/>
        </w:rPr>
        <w:t>1</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1DE961E9" w14:textId="77777777" w:rsidR="006C7CEC" w:rsidRDefault="00C23807" w:rsidP="005B69C3">
      <w:pPr>
        <w:spacing w:line="480" w:lineRule="auto"/>
        <w:jc w:val="both"/>
        <w:rPr>
          <w:rFonts w:ascii="Courier New" w:hAnsi="Courier New" w:cs="Courier New"/>
          <w:sz w:val="24"/>
          <w:szCs w:val="24"/>
        </w:rPr>
      </w:pPr>
      <w:r>
        <w:rPr>
          <w:rFonts w:ascii="Courier New" w:hAnsi="Courier New" w:cs="Courier New"/>
          <w:b/>
          <w:bCs/>
          <w:i/>
          <w:iCs/>
          <w:sz w:val="24"/>
          <w:szCs w:val="24"/>
        </w:rPr>
        <w:t xml:space="preserve">Initial </w:t>
      </w:r>
      <w:r w:rsidR="00B20169">
        <w:rPr>
          <w:rFonts w:ascii="Courier New" w:hAnsi="Courier New" w:cs="Courier New"/>
          <w:b/>
          <w:bCs/>
          <w:i/>
          <w:iCs/>
          <w:sz w:val="24"/>
          <w:szCs w:val="24"/>
        </w:rPr>
        <w:t>P</w:t>
      </w:r>
      <w:r>
        <w:rPr>
          <w:rFonts w:ascii="Courier New" w:hAnsi="Courier New" w:cs="Courier New"/>
          <w:b/>
          <w:bCs/>
          <w:i/>
          <w:iCs/>
          <w:sz w:val="24"/>
          <w:szCs w:val="24"/>
        </w:rPr>
        <w:t>lanning</w:t>
      </w:r>
      <w:r>
        <w:rPr>
          <w:rFonts w:ascii="Courier New" w:hAnsi="Courier New" w:cs="Courier New"/>
          <w:sz w:val="24"/>
          <w:szCs w:val="24"/>
        </w:rPr>
        <w:t xml:space="preserve"> </w:t>
      </w:r>
    </w:p>
    <w:p w14:paraId="37B702E3" w14:textId="09C842B0" w:rsidR="00F60E9F"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study begins with a comprehensive investigation to validate existing challenges within the curriculum auditing process at KSU-CEIT. This stage involves the distribution of structured data-gathering tools and the conduct of preliminary interviews with the six </w:t>
      </w:r>
      <w:r w:rsidR="00B20169">
        <w:rPr>
          <w:rFonts w:ascii="Courier New" w:hAnsi="Courier New" w:cs="Courier New"/>
          <w:sz w:val="24"/>
          <w:szCs w:val="24"/>
        </w:rPr>
        <w:t>p</w:t>
      </w:r>
      <w:r>
        <w:rPr>
          <w:rFonts w:ascii="Courier New" w:hAnsi="Courier New" w:cs="Courier New"/>
          <w:sz w:val="24"/>
          <w:szCs w:val="24"/>
        </w:rPr>
        <w:t xml:space="preserve">rogram </w:t>
      </w:r>
      <w:r w:rsidR="00B20169">
        <w:rPr>
          <w:rFonts w:ascii="Courier New" w:hAnsi="Courier New" w:cs="Courier New"/>
          <w:sz w:val="24"/>
          <w:szCs w:val="24"/>
        </w:rPr>
        <w:t>c</w:t>
      </w:r>
      <w:r>
        <w:rPr>
          <w:rFonts w:ascii="Courier New" w:hAnsi="Courier New" w:cs="Courier New"/>
          <w:sz w:val="24"/>
          <w:szCs w:val="24"/>
        </w:rPr>
        <w:t>hairpersons to formally identify manual bottlenecks and administrative pain points</w:t>
      </w:r>
      <w:r w:rsidR="00322AEC">
        <w:rPr>
          <w:rFonts w:ascii="Courier New" w:hAnsi="Courier New" w:cs="Courier New"/>
          <w:sz w:val="24"/>
          <w:szCs w:val="24"/>
        </w:rPr>
        <w:t xml:space="preserve"> </w:t>
      </w:r>
      <w:r w:rsidR="00940C33">
        <w:rPr>
          <w:rFonts w:ascii="Courier New" w:hAnsi="Courier New" w:cs="Courier New"/>
          <w:sz w:val="24"/>
          <w:szCs w:val="24"/>
        </w:rPr>
        <w:t>in</w:t>
      </w:r>
      <w:r w:rsidR="00322AEC">
        <w:rPr>
          <w:rFonts w:ascii="Courier New" w:hAnsi="Courier New" w:cs="Courier New"/>
          <w:sz w:val="24"/>
          <w:szCs w:val="24"/>
        </w:rPr>
        <w:t xml:space="preserve"> curriculum </w:t>
      </w:r>
      <w:r w:rsidR="00B20169">
        <w:rPr>
          <w:rFonts w:ascii="Courier New" w:hAnsi="Courier New" w:cs="Courier New"/>
          <w:sz w:val="24"/>
          <w:szCs w:val="24"/>
        </w:rPr>
        <w:t>evaluation</w:t>
      </w:r>
      <w:r>
        <w:rPr>
          <w:rFonts w:ascii="Courier New" w:hAnsi="Courier New" w:cs="Courier New"/>
          <w:sz w:val="24"/>
          <w:szCs w:val="24"/>
        </w:rPr>
        <w:t xml:space="preserve">. These high-level insights </w:t>
      </w:r>
      <w:r>
        <w:rPr>
          <w:rFonts w:ascii="Courier New" w:hAnsi="Courier New" w:cs="Courier New"/>
          <w:sz w:val="24"/>
          <w:szCs w:val="24"/>
        </w:rPr>
        <w:lastRenderedPageBreak/>
        <w:t>establish the project's foundation and overall goals before entering the first development cycle.</w:t>
      </w:r>
    </w:p>
    <w:p w14:paraId="02F69396" w14:textId="77777777" w:rsidR="006C7CEC" w:rsidRPr="006C7CEC" w:rsidRDefault="00C23807" w:rsidP="002A7E86">
      <w:pPr>
        <w:spacing w:line="480" w:lineRule="auto"/>
        <w:jc w:val="both"/>
        <w:rPr>
          <w:rFonts w:ascii="Courier New" w:hAnsi="Courier New" w:cs="Courier New"/>
          <w:i/>
          <w:iCs/>
          <w:sz w:val="24"/>
          <w:szCs w:val="24"/>
        </w:rPr>
      </w:pPr>
      <w:r>
        <w:rPr>
          <w:rFonts w:ascii="Courier New" w:hAnsi="Courier New" w:cs="Courier New"/>
          <w:b/>
          <w:bCs/>
          <w:i/>
          <w:iCs/>
          <w:sz w:val="24"/>
          <w:szCs w:val="24"/>
        </w:rPr>
        <w:t>Planning and Requirements Phase</w:t>
      </w:r>
      <w:r>
        <w:rPr>
          <w:rFonts w:ascii="Courier New" w:hAnsi="Courier New" w:cs="Courier New"/>
          <w:i/>
          <w:iCs/>
          <w:sz w:val="24"/>
          <w:szCs w:val="24"/>
        </w:rPr>
        <w:t xml:space="preserve"> </w:t>
      </w:r>
    </w:p>
    <w:p w14:paraId="4888A228" w14:textId="16C2E4FD"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start of each iteration, the researchers define specific functional goals and translate stakeholder needs into technical requirements. The requirements are gathered through structured interviews with the six Program Chairpersons of the CEIT, which describe how they evaluate a student's prerequisite compliance during enrollment and the problems they meet in doing so. These are supported by an analysis of documents: the KSU-CEIT curriculum maps, the KSU Student Handbook and Operations Manual, the class lists exported from the MIS, the class list format used by the chairpersons, and the curriculum format prepared by the researchers. From the gathered data, the researchers set </w:t>
      </w:r>
      <w:r w:rsidR="005B05A6">
        <w:rPr>
          <w:rFonts w:ascii="Courier New" w:hAnsi="Courier New" w:cs="Courier New"/>
          <w:sz w:val="24"/>
          <w:szCs w:val="24"/>
        </w:rPr>
        <w:t>the</w:t>
      </w:r>
      <w:r>
        <w:rPr>
          <w:rFonts w:ascii="Courier New" w:hAnsi="Courier New" w:cs="Courier New"/>
          <w:sz w:val="24"/>
          <w:szCs w:val="24"/>
        </w:rPr>
        <w:t xml:space="preserve"> scope and limitations and </w:t>
      </w:r>
      <w:r w:rsidR="005B05A6">
        <w:rPr>
          <w:rFonts w:ascii="Courier New" w:hAnsi="Courier New" w:cs="Courier New"/>
          <w:sz w:val="24"/>
          <w:szCs w:val="24"/>
        </w:rPr>
        <w:t>identified</w:t>
      </w:r>
      <w:r>
        <w:rPr>
          <w:rFonts w:ascii="Courier New" w:hAnsi="Courier New" w:cs="Courier New"/>
          <w:sz w:val="24"/>
          <w:szCs w:val="24"/>
        </w:rPr>
        <w:t xml:space="preserve">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3CC1A902" w14:textId="77777777" w:rsidR="006C7CEC" w:rsidRDefault="00C23807" w:rsidP="006C7CEC">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lastRenderedPageBreak/>
        <w:t>Analysis and Design Phase</w:t>
      </w:r>
    </w:p>
    <w:p w14:paraId="6C7D7F5A" w14:textId="1729A10A"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During this phase, requirements are translated into technical blueprints that evolve with each iteration. The researchers use the Iterative and Incremental Development model to guide the cycles of planning, design, implementation, and testing, and an Ishikawa (fishbone) diagram to analyze the causes of the problems found in the existing system. Input-Process-Output (IPO) diagrams describe what the existing and the proposed systems take in, process, and produce. The database is designed in Supabase through an entity-relationship diagram (ERD) that defines the tables, their keys, and their relationships, with row-level security policies that limit each role to its own program or college. The behavior of the system is modeled with a use case diagram of the actors and what each of them can do, an activity diagram that serves as the flowchart of the curriculum audit, and a menu diagram of the system's navigation. The structure of the program is modeled with a class diagram of the classes behind the audit: the AuditEngine, which audits a student's record; the Student, AcademicRecord</w:t>
      </w:r>
      <w:r w:rsidR="00C77B25">
        <w:rPr>
          <w:rFonts w:ascii="Courier New" w:hAnsi="Courier New" w:cs="Courier New"/>
          <w:sz w:val="24"/>
          <w:szCs w:val="24"/>
        </w:rPr>
        <w:t>,</w:t>
      </w:r>
      <w:r>
        <w:rPr>
          <w:rFonts w:ascii="Courier New" w:hAnsi="Courier New" w:cs="Courier New"/>
          <w:sz w:val="24"/>
          <w:szCs w:val="24"/>
        </w:rPr>
        <w:t xml:space="preserve"> and CurriculumMap classes, which hold the student, the grades</w:t>
      </w:r>
      <w:r w:rsidR="00C77B25">
        <w:rPr>
          <w:rFonts w:ascii="Courier New" w:hAnsi="Courier New" w:cs="Courier New"/>
          <w:sz w:val="24"/>
          <w:szCs w:val="24"/>
        </w:rPr>
        <w:t>,</w:t>
      </w:r>
      <w:r>
        <w:rPr>
          <w:rFonts w:ascii="Courier New" w:hAnsi="Courier New" w:cs="Courier New"/>
          <w:sz w:val="24"/>
          <w:szCs w:val="24"/>
        </w:rPr>
        <w:t xml:space="preserve"> and the curriculum; the requirement classes for prerequisites, year </w:t>
      </w:r>
      <w:r>
        <w:rPr>
          <w:rFonts w:ascii="Courier New" w:hAnsi="Courier New" w:cs="Courier New"/>
          <w:sz w:val="24"/>
          <w:szCs w:val="24"/>
        </w:rPr>
        <w:lastRenderedPageBreak/>
        <w:t>standing and "all subjects completed"; and the GradeEntryService and GradeValidator, which check and save the grades. The user interface designs are drawn first as wireframes of each screen and then as high-fidelity mockups in Figma, prioritizing a responsive "Command Center" dashboard using Tailwind CSS, so that the interface remains intuitive and seamless as new features, such as the curriculum and student import modules, are added.</w:t>
      </w:r>
    </w:p>
    <w:p w14:paraId="73CAC29E" w14:textId="77777777" w:rsidR="006C7CEC" w:rsidRPr="006C7CEC" w:rsidRDefault="00C23807" w:rsidP="006C7CEC">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t xml:space="preserve">Implementation </w:t>
      </w:r>
    </w:p>
    <w:p w14:paraId="3048F010" w14:textId="62B30FA9" w:rsidR="003C6C44"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actual coding of Auditrix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w:t>
      </w:r>
      <w:r>
        <w:rPr>
          <w:rFonts w:ascii="Courier New" w:hAnsi="Courier New" w:cs="Courier New"/>
          <w:sz w:val="24"/>
          <w:szCs w:val="24"/>
        </w:rPr>
        <w:lastRenderedPageBreak/>
        <w:t>that also covers co-requisites and INC grades, and added the current semester, automatic year levels, the regular and irregular classification, support for Excel files, protection against an earlier-term grade replacing a later one, the marking of subjects in progress, midyear terms written as on KSU records, locked records for dropped and transferred-out students, dashboard charts with a Student Movements page, and security measures such as a database-enforced audit trail, role checks on every page and automatic sign-out. Each increment results in a functional version of the software that builds upon the previous one.</w:t>
      </w:r>
    </w:p>
    <w:p w14:paraId="3E77DFF9" w14:textId="77777777" w:rsidR="006C7CEC" w:rsidRPr="006C7CEC" w:rsidRDefault="00C23807" w:rsidP="006C7CEC">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03D22827" w14:textId="792E7378" w:rsidR="0059781B" w:rsidRPr="003C6C44" w:rsidRDefault="00C23807" w:rsidP="003C6C44">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w:t>
      </w:r>
      <w:r>
        <w:rPr>
          <w:rFonts w:ascii="Courier New" w:hAnsi="Courier New" w:cs="Courier New"/>
          <w:sz w:val="24"/>
          <w:szCs w:val="24"/>
        </w:rPr>
        <w:lastRenderedPageBreak/>
        <w:t>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 and by opening the pages of another role to verify that access is refused.</w:t>
      </w:r>
    </w:p>
    <w:p w14:paraId="305B0077"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Evaluation Phase</w:t>
      </w:r>
      <w:r>
        <w:rPr>
          <w:rFonts w:ascii="Courier New" w:hAnsi="Courier New" w:cs="Courier New"/>
          <w:i/>
          <w:iCs/>
          <w:sz w:val="24"/>
          <w:szCs w:val="24"/>
        </w:rPr>
        <w:t xml:space="preserve"> </w:t>
      </w:r>
    </w:p>
    <w:p w14:paraId="2E2D93B9"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The final stage involves a formal assessment of the integrated system using the ISO/IEC 25010 Software Quality Model to determine its readiness for institutional use. This evaluation is conducted by Program Chairpersons and IT experts via a paper-based questionnaire to provide a balanced view of the software’s functional suitability, usability, and security. Feedback from this phase confirms whether the system has successfully met the goals defined during the initial planning.</w:t>
      </w:r>
    </w:p>
    <w:p w14:paraId="2588E66B"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5DDF5CF1" w14:textId="0610C4C0" w:rsidR="0059781B" w:rsidRPr="003C6C44" w:rsidRDefault="00C23807" w:rsidP="003C6C44">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Once the system has passed all evaluation criteria and reached full functionality, it is prepared for deployment. This final exit point of the model marks the transition of </w:t>
      </w:r>
      <w:r>
        <w:rPr>
          <w:rFonts w:ascii="Courier New" w:hAnsi="Courier New" w:cs="Courier New"/>
          <w:sz w:val="24"/>
          <w:szCs w:val="24"/>
        </w:rPr>
        <w:lastRenderedPageBreak/>
        <w:t>Auditrix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5CFD68B5"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Locale and Population of the Study</w:t>
      </w:r>
      <w:r>
        <w:fldChar w:fldCharType="begin"/>
      </w:r>
      <w:r>
        <w:instrText xml:space="preserve"> TC "Locale and Population of the Study" \f c \l 2 </w:instrText>
      </w:r>
      <w:r>
        <w:fldChar w:fldCharType="end"/>
      </w:r>
    </w:p>
    <w:p w14:paraId="00A6DBD2"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225C8AF4" w14:textId="4C589A7E" w:rsidR="00B2742E"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 xml:space="preserve">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provide a rigorous critique of the system’s architecture, security protocols, and compliance with international software standards. Additionally, the study included students who have personally experienced prerequisite violations; these individuals provided critical data via Google Form </w:t>
      </w:r>
      <w:r>
        <w:rPr>
          <w:rFonts w:ascii="Courier New" w:hAnsi="Courier New" w:cs="Courier New"/>
          <w:sz w:val="24"/>
          <w:szCs w:val="24"/>
          <w:lang w:val="en-US"/>
        </w:rPr>
        <w:lastRenderedPageBreak/>
        <w:t>regarding the real-world impact of manual auditing errors on their academic progression. By integrating feedback from administrators, technical experts, and the affected student body, the researchers ensured a comprehensive validation of the system’s functional and institutional requirements.</w:t>
      </w:r>
    </w:p>
    <w:p w14:paraId="534B760A"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r>
        <w:fldChar w:fldCharType="begin"/>
      </w:r>
      <w:r>
        <w:instrText xml:space="preserve"> TC "Data Gathering Techniques" \f c \l 2 </w:instrText>
      </w:r>
      <w:r>
        <w:fldChar w:fldCharType="end"/>
      </w:r>
    </w:p>
    <w:p w14:paraId="10FC3317"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3640C63C" w14:textId="77777777" w:rsidR="00094483" w:rsidRPr="00153936" w:rsidRDefault="00153936">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The researchers meticulously reviewed official university documents, including the KSU-CEIT curriculum maps, the KSU Student Handbook, the KSU Operations Manual: Student Development Services &amp; Placement Guide, and CHED-mandated prerequisite sequences. The Student Handbook's definitions of prerequisite, co-requisite and Incomplete (INC) grades, and the Operations Manual's classification of year levels and of regular and irregular students, served as the foundational logic for programming the Audit Engine.</w:t>
      </w:r>
    </w:p>
    <w:p w14:paraId="6E01AD35" w14:textId="77777777" w:rsidR="00B2742E" w:rsidRDefault="00153936" w:rsidP="00153936">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 xml:space="preserve">Upon the completion of the system, a formal evaluation </w:t>
      </w:r>
      <w:r w:rsidR="0078365B">
        <w:rPr>
          <w:rFonts w:ascii="Courier New" w:hAnsi="Courier New" w:cs="Courier New"/>
          <w:sz w:val="24"/>
          <w:szCs w:val="24"/>
          <w:lang w:val="en-US"/>
        </w:rPr>
        <w:t>was</w:t>
      </w:r>
      <w:r>
        <w:rPr>
          <w:rFonts w:ascii="Courier New" w:hAnsi="Courier New" w:cs="Courier New"/>
          <w:sz w:val="24"/>
          <w:szCs w:val="24"/>
          <w:lang w:val="en-US"/>
        </w:rPr>
        <w:t xml:space="preserve"> conducted using a printed (paper-based) questionnaire structured around the ISO/IEC 25010 framework. This questionnaire </w:t>
      </w:r>
      <w:r w:rsidR="00A44A3D">
        <w:rPr>
          <w:rFonts w:ascii="Courier New" w:hAnsi="Courier New" w:cs="Courier New"/>
          <w:sz w:val="24"/>
          <w:szCs w:val="24"/>
          <w:lang w:val="en-US"/>
        </w:rPr>
        <w:t>was</w:t>
      </w:r>
      <w:r>
        <w:rPr>
          <w:rFonts w:ascii="Courier New" w:hAnsi="Courier New" w:cs="Courier New"/>
          <w:sz w:val="24"/>
          <w:szCs w:val="24"/>
          <w:lang w:val="en-US"/>
        </w:rPr>
        <w:t xml:space="preserve"> distributed to both </w:t>
      </w:r>
      <w:r>
        <w:rPr>
          <w:rFonts w:ascii="Courier New" w:hAnsi="Courier New" w:cs="Courier New"/>
          <w:sz w:val="24"/>
          <w:szCs w:val="24"/>
          <w:lang w:val="en-US"/>
        </w:rPr>
        <w:lastRenderedPageBreak/>
        <w:t>the Program Chairpersons and IT Experts to evaluate the software’s functional suitability, usability, security, and performance efficiency.</w:t>
      </w:r>
    </w:p>
    <w:p w14:paraId="515EBA0C" w14:textId="77777777" w:rsidR="00B2742E" w:rsidRPr="004B2B7E" w:rsidRDefault="00B2742E" w:rsidP="00153936">
      <w:pPr>
        <w:spacing w:after="0" w:line="480" w:lineRule="auto"/>
        <w:jc w:val="both"/>
        <w:rPr>
          <w:rFonts w:ascii="Courier New" w:hAnsi="Courier New" w:cs="Courier New"/>
          <w:sz w:val="24"/>
          <w:szCs w:val="24"/>
          <w:lang w:val="en-US"/>
        </w:rPr>
      </w:pPr>
    </w:p>
    <w:p w14:paraId="3A143880"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r>
        <w:fldChar w:fldCharType="begin"/>
      </w:r>
      <w:r>
        <w:instrText xml:space="preserve"> TC "Data Gathering Tools" \f c \l 2 </w:instrText>
      </w:r>
      <w:r>
        <w:fldChar w:fldCharType="end"/>
      </w:r>
    </w:p>
    <w:p w14:paraId="0358FB7C" w14:textId="7E2BBC12" w:rsidR="0095147D" w:rsidRPr="003C6C44" w:rsidRDefault="00590F96" w:rsidP="003C6C44">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07B46D69" w14:textId="77777777" w:rsidR="00590F96" w:rsidRPr="00F45111" w:rsidRDefault="00590F96" w:rsidP="00590F96">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t xml:space="preserve">Survey Questionnaire </w:t>
      </w:r>
    </w:p>
    <w:p w14:paraId="2FD612D0" w14:textId="77777777" w:rsidR="00590F96" w:rsidRPr="00590F96" w:rsidRDefault="00590F96" w:rsidP="00354C19">
      <w:pPr>
        <w:spacing w:after="0" w:line="480" w:lineRule="auto"/>
        <w:ind w:firstLine="360"/>
        <w:jc w:val="both"/>
        <w:rPr>
          <w:rFonts w:ascii="Courier New" w:hAnsi="Courier New" w:cs="Courier New"/>
          <w:sz w:val="24"/>
          <w:szCs w:val="24"/>
        </w:rPr>
      </w:pPr>
      <w:r>
        <w:rPr>
          <w:rFonts w:ascii="Courier New" w:hAnsi="Courier New" w:cs="Courier New"/>
          <w:sz w:val="24"/>
          <w:szCs w:val="24"/>
        </w:rPr>
        <w:t>A standardized survey questionnaire based on the ISO/IEC 25010 software quality model will be used to gather quantitative data from the respondents. This instrument will evaluate the developed system based on the following criteria:</w:t>
      </w:r>
    </w:p>
    <w:p w14:paraId="429C7BD8" w14:textId="77777777"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Functional Suitability (Audit Engine, grade entry</w:t>
      </w:r>
      <w:r w:rsidR="00EB74D8">
        <w:rPr>
          <w:rFonts w:ascii="Courier New" w:hAnsi="Courier New" w:cs="Courier New"/>
          <w:sz w:val="24"/>
          <w:szCs w:val="24"/>
        </w:rPr>
        <w:t>,</w:t>
      </w:r>
      <w:r>
        <w:rPr>
          <w:rFonts w:ascii="Courier New" w:hAnsi="Courier New" w:cs="Courier New"/>
          <w:sz w:val="24"/>
          <w:szCs w:val="24"/>
        </w:rPr>
        <w:t xml:space="preserve"> and violation flagging) </w:t>
      </w:r>
    </w:p>
    <w:p w14:paraId="0847F5D9"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4BAF3A48"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1C5BBBB1" w14:textId="77777777" w:rsid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063C3F7C"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505C24C7"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79FBD0FD"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Portability</w:t>
      </w:r>
    </w:p>
    <w:p w14:paraId="4C8D6CED" w14:textId="77777777" w:rsidR="00231FF2" w:rsidRDefault="00231FF2"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6898930B" w14:textId="77777777" w:rsidR="0095147D" w:rsidRPr="00590F96" w:rsidRDefault="0095147D" w:rsidP="00231FF2">
      <w:pPr>
        <w:spacing w:after="0" w:line="480" w:lineRule="auto"/>
        <w:ind w:left="720"/>
        <w:jc w:val="both"/>
        <w:rPr>
          <w:rFonts w:ascii="Courier New" w:hAnsi="Courier New" w:cs="Courier New"/>
          <w:sz w:val="24"/>
          <w:szCs w:val="24"/>
        </w:rPr>
      </w:pPr>
    </w:p>
    <w:p w14:paraId="404DE9C2"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r>
        <w:fldChar w:fldCharType="begin"/>
      </w:r>
      <w:r>
        <w:instrText xml:space="preserve"> TC "Sources of the Data" \f c \l 2 </w:instrText>
      </w:r>
      <w:r>
        <w:fldChar w:fldCharType="end"/>
      </w:r>
    </w:p>
    <w:p w14:paraId="080D8C60"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provided domain expertise and technical evaluation scores, as well as students who have personally experienced prerequisite violations and offered direct feedback regarding the deficiencies of the manual auditing 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w:t>
      </w:r>
      <w:r>
        <w:rPr>
          <w:rFonts w:ascii="Courier New" w:hAnsi="Courier New" w:cs="Courier New"/>
          <w:sz w:val="24"/>
          <w:szCs w:val="24"/>
          <w:lang w:val="en-US"/>
        </w:rPr>
        <w:lastRenderedPageBreak/>
        <w:t>established a comprehensive data foundation for the development and evaluation of the proposed system.</w:t>
      </w:r>
    </w:p>
    <w:p w14:paraId="0ACEEAA3" w14:textId="77777777" w:rsidR="00094483"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r>
        <w:fldChar w:fldCharType="begin"/>
      </w:r>
      <w:r>
        <w:instrText xml:space="preserve"> TC "Data Analysis" \f c \l 2 </w:instrText>
      </w:r>
      <w:r>
        <w:fldChar w:fldCharType="end"/>
      </w:r>
    </w:p>
    <w:p w14:paraId="3F0C25B0" w14:textId="77777777" w:rsidR="00094483"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The data gathered from the evaluation will be analyzed using the Weighted Mean. This statistical method will allow the researchers to calculate the average response for each ISO characteristic, providing a clear numerical value that represents the overall quality of the Auditrix system. These findings will then be used to justify the system's capability to replace or enhance the current manual processes at Kalinga State University.</w:t>
      </w:r>
    </w:p>
    <w:p w14:paraId="500EACCD" w14:textId="77777777" w:rsidR="00094483"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t>Software Development Tools</w:t>
      </w:r>
      <w:r>
        <w:fldChar w:fldCharType="begin"/>
      </w:r>
      <w:r>
        <w:instrText xml:space="preserve"> TC "Software Development Tools" \f c \l 2 </w:instrText>
      </w:r>
      <w:r>
        <w:fldChar w:fldCharType="end"/>
      </w:r>
    </w:p>
    <w:p w14:paraId="5E080279" w14:textId="77777777" w:rsidR="00094483" w:rsidRDefault="00000000" w:rsidP="00285B84">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7453B92A"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Auditrix. Its server-side rendering (SSR) and server actions allowed for high-performance UI </w:t>
      </w:r>
      <w:r>
        <w:rPr>
          <w:rFonts w:ascii="Courier New" w:hAnsi="Courier New" w:cs="Courier New"/>
          <w:sz w:val="24"/>
          <w:szCs w:val="24"/>
          <w:lang w:val="en-US"/>
        </w:rPr>
        <w:lastRenderedPageBreak/>
        <w:t>rendering and efficient server-side logic. This ensured that the Chairperson could process large volumes of student records without experiencing system lag.</w:t>
      </w:r>
    </w:p>
    <w:p w14:paraId="4AF37EF6"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7A5A8332"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Supabase.</w:t>
      </w:r>
      <w:r>
        <w:rPr>
          <w:rFonts w:ascii="Courier New" w:hAnsi="Courier New" w:cs="Courier New"/>
          <w:sz w:val="24"/>
          <w:szCs w:val="24"/>
          <w:lang w:val="en-US"/>
        </w:rPr>
        <w:t xml:space="preserve"> The researchers utilized Supabase as the backend-as-a-service (BaaS) provider. It hosted the PostgreSQL database for the secure storage of student records, grades and curriculum maps. Furthermore, it managed the system's user authentication and enforced row-level security policies, so that each chairperson can reach only their own program's data, to ensure that sensitive academic information was protected.</w:t>
      </w:r>
    </w:p>
    <w:p w14:paraId="7D682194" w14:textId="77777777" w:rsidR="003F68EB"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w:t>
      </w:r>
      <w:r>
        <w:rPr>
          <w:rFonts w:ascii="Courier New" w:hAnsi="Courier New" w:cs="Courier New"/>
          <w:sz w:val="24"/>
          <w:szCs w:val="24"/>
          <w:lang w:val="en-US"/>
        </w:rPr>
        <w:lastRenderedPageBreak/>
        <w:t>user flow and interface layout. This ensured that the system's design was validated for usability before the actual implementation (coding) phase began.</w:t>
      </w:r>
    </w:p>
    <w:p w14:paraId="1EDD13E4"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2250E5AD"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1487DB24"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3AEEBDE2" w14:textId="77777777" w:rsidR="003B1F7A" w:rsidRDefault="00000000">
      <w:pPr>
        <w:spacing w:line="480" w:lineRule="auto"/>
        <w:jc w:val="both"/>
        <w:rPr>
          <w:rFonts w:ascii="Courier New" w:hAnsi="Courier New" w:cs="Courier New"/>
          <w:sz w:val="24"/>
          <w:szCs w:val="24"/>
          <w:lang w:val="en-US"/>
        </w:rPr>
        <w:sectPr w:rsidR="003B1F7A" w:rsidSect="00D42FC3">
          <w:headerReference w:type="default" r:id="rId28"/>
          <w:headerReference w:type="first" r:id="rId29"/>
          <w:pgSz w:w="12240" w:h="15840"/>
          <w:pgMar w:top="1440" w:right="1440" w:bottom="1440" w:left="2160" w:header="709" w:footer="709" w:gutter="0"/>
          <w:cols w:space="708"/>
          <w:titlePg/>
          <w:docGrid w:linePitch="360"/>
        </w:sectPr>
      </w:pPr>
      <w:r>
        <w:rPr>
          <w:rFonts w:ascii="Courier New" w:hAnsi="Courier New" w:cs="Courier New"/>
          <w:b/>
          <w:bCs/>
          <w:i/>
          <w:iCs/>
          <w:sz w:val="24"/>
          <w:szCs w:val="24"/>
          <w:lang w:val="en-US"/>
        </w:rPr>
        <w:tab/>
        <w:t>Git and GitHub.</w:t>
      </w:r>
      <w:r>
        <w:rPr>
          <w:rFonts w:ascii="Courier New" w:hAnsi="Courier New" w:cs="Courier New"/>
          <w:sz w:val="24"/>
          <w:szCs w:val="24"/>
          <w:lang w:val="en-US"/>
        </w:rPr>
        <w:t xml:space="preserve"> The source code was kept under version control with Git and stored on GitHub, so that each </w:t>
      </w:r>
      <w:r w:rsidR="0078365B">
        <w:rPr>
          <w:rFonts w:ascii="Courier New" w:hAnsi="Courier New" w:cs="Courier New"/>
          <w:sz w:val="24"/>
          <w:szCs w:val="24"/>
          <w:lang w:val="en-US"/>
        </w:rPr>
        <w:t>version of the system is controlled.</w:t>
      </w:r>
    </w:p>
    <w:p w14:paraId="73F75DB7"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73D334C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089CCDE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292CF8A" w14:textId="45327F52"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w:t>
      </w:r>
      <w:r>
        <w:fldChar w:fldCharType="begin"/>
      </w:r>
      <w:r>
        <w:instrText xml:space="preserve"> TC "Process of the Existing System (SOP No. 1)" \f c \l 2 </w:instrText>
      </w:r>
      <w:r>
        <w:fldChar w:fldCharType="end"/>
      </w:r>
    </w:p>
    <w:p w14:paraId="55308758"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41C52D3D" w14:textId="3E6A6A96"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enrollment period, the manual curriculum audit process operates as follows:</w:t>
      </w:r>
    </w:p>
    <w:p w14:paraId="446547B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7C7D070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C50054F" w14:textId="31C0BE29" w:rsidR="000451DF" w:rsidRPr="000451DF"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subjects before finalizing the enrollment data. Because this process is repetitive and constrained by a compressed timeline, human error is unavoidable, allowing prerequisite violations to go undetected</w:t>
      </w:r>
      <w:r w:rsidR="000E0614">
        <w:rPr>
          <w:rFonts w:ascii="Courier New" w:hAnsi="Courier New" w:cs="Courier New"/>
          <w:sz w:val="24"/>
          <w:szCs w:val="24"/>
        </w:rPr>
        <w:t xml:space="preserve"> for a period of time or</w:t>
      </w:r>
      <w:r>
        <w:rPr>
          <w:rFonts w:ascii="Courier New" w:hAnsi="Courier New" w:cs="Courier New"/>
          <w:sz w:val="24"/>
          <w:szCs w:val="24"/>
        </w:rPr>
        <w:t xml:space="preserve"> until the final graduation audit — a bottleneck that forces affected students into additional semesters to satisfy missed requirements.</w:t>
      </w:r>
    </w:p>
    <w:tbl>
      <w:tblPr>
        <w:tblStyle w:val="TableGrid"/>
        <w:tblW w:w="0" w:type="auto"/>
        <w:tblLook w:val="04A0" w:firstRow="1" w:lastRow="0" w:firstColumn="1" w:lastColumn="0" w:noHBand="0" w:noVBand="1"/>
      </w:tblPr>
      <w:tblGrid>
        <w:gridCol w:w="2877"/>
        <w:gridCol w:w="2877"/>
        <w:gridCol w:w="2878"/>
      </w:tblGrid>
      <w:tr w:rsidR="005D7A48" w14:paraId="723C5B9C" w14:textId="77777777">
        <w:trPr>
          <w:cantSplit/>
          <w:tblHeader/>
        </w:trPr>
        <w:tc>
          <w:tcPr>
            <w:tcW w:w="2877" w:type="dxa"/>
          </w:tcPr>
          <w:p w14:paraId="54E8964B"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79DA98FA"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22BB7F0"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11C101F3" w14:textId="77777777">
        <w:trPr>
          <w:cantSplit/>
        </w:trPr>
        <w:tc>
          <w:tcPr>
            <w:tcW w:w="2877" w:type="dxa"/>
          </w:tcPr>
          <w:p w14:paraId="10935F5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00BC72C8"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588C19A7" w14:textId="269E947B"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xml:space="preserve">- Approved or Finalized Enrollment </w:t>
            </w:r>
            <w:r w:rsidR="000E0614">
              <w:rPr>
                <w:rFonts w:ascii="Courier New" w:hAnsi="Courier New" w:cs="Courier New"/>
                <w:sz w:val="20"/>
                <w:szCs w:val="20"/>
              </w:rPr>
              <w:t>Assessment</w:t>
            </w:r>
            <w:r>
              <w:rPr>
                <w:rFonts w:ascii="Courier New" w:hAnsi="Courier New" w:cs="Courier New"/>
                <w:sz w:val="20"/>
                <w:szCs w:val="20"/>
              </w:rPr>
              <w:t>.</w:t>
            </w:r>
          </w:p>
        </w:tc>
      </w:tr>
      <w:tr w:rsidR="005D7A48" w14:paraId="27CBA22F" w14:textId="77777777">
        <w:trPr>
          <w:cantSplit/>
        </w:trPr>
        <w:tc>
          <w:tcPr>
            <w:tcW w:w="2877" w:type="dxa"/>
          </w:tcPr>
          <w:p w14:paraId="347483E5"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74F4C00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6C76E21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32455E6E" w14:textId="77777777">
        <w:trPr>
          <w:cantSplit/>
        </w:trPr>
        <w:tc>
          <w:tcPr>
            <w:tcW w:w="2877" w:type="dxa"/>
          </w:tcPr>
          <w:p w14:paraId="4A19B03A" w14:textId="10AC6873"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lastRenderedPageBreak/>
              <w:t>- Pending Un</w:t>
            </w:r>
            <w:r w:rsidR="004E507C">
              <w:rPr>
                <w:rFonts w:ascii="Courier New" w:hAnsi="Courier New" w:cs="Courier New"/>
                <w:sz w:val="20"/>
                <w:szCs w:val="20"/>
              </w:rPr>
              <w:t>validated</w:t>
            </w:r>
            <w:r>
              <w:rPr>
                <w:rFonts w:ascii="Courier New" w:hAnsi="Courier New" w:cs="Courier New"/>
                <w:sz w:val="20"/>
                <w:szCs w:val="20"/>
              </w:rPr>
              <w:t xml:space="preserve"> Subject Enrollee logs.</w:t>
            </w:r>
          </w:p>
        </w:tc>
        <w:tc>
          <w:tcPr>
            <w:tcW w:w="2877" w:type="dxa"/>
          </w:tcPr>
          <w:p w14:paraId="568A820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1AAB2208" w14:textId="17693D38"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w:t>
            </w:r>
            <w:r w:rsidR="00290B3E">
              <w:rPr>
                <w:rFonts w:ascii="Courier New" w:hAnsi="Courier New" w:cs="Courier New"/>
                <w:sz w:val="20"/>
                <w:szCs w:val="20"/>
              </w:rPr>
              <w:t xml:space="preserve"> after enro</w:t>
            </w:r>
            <w:r w:rsidR="004E507C">
              <w:rPr>
                <w:rFonts w:ascii="Courier New" w:hAnsi="Courier New" w:cs="Courier New"/>
                <w:sz w:val="20"/>
                <w:szCs w:val="20"/>
              </w:rPr>
              <w:t>l</w:t>
            </w:r>
            <w:r w:rsidR="00290B3E">
              <w:rPr>
                <w:rFonts w:ascii="Courier New" w:hAnsi="Courier New" w:cs="Courier New"/>
                <w:sz w:val="20"/>
                <w:szCs w:val="20"/>
              </w:rPr>
              <w:t>lment closing or</w:t>
            </w:r>
            <w:r>
              <w:rPr>
                <w:rFonts w:ascii="Courier New" w:hAnsi="Courier New" w:cs="Courier New"/>
                <w:sz w:val="20"/>
                <w:szCs w:val="20"/>
              </w:rPr>
              <w:t xml:space="preserve"> at graduation audit</w:t>
            </w:r>
          </w:p>
        </w:tc>
      </w:tr>
    </w:tbl>
    <w:p w14:paraId="2A446D6A"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1E2651FA" w14:textId="246329DC"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Problems Encountered in the Current System</w:t>
      </w:r>
      <w:r>
        <w:fldChar w:fldCharType="begin"/>
      </w:r>
      <w:r>
        <w:instrText xml:space="preserve"> TC "Problems Encountered in the Current System (SOP No. 2)" \f c \l 2 </w:instrText>
      </w:r>
      <w:r>
        <w:fldChar w:fldCharType="end"/>
      </w:r>
    </w:p>
    <w:p w14:paraId="3F23AE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56F6A7AC" w14:textId="611324F4"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w:t>
      </w:r>
      <w:r w:rsidR="00290B3E">
        <w:rPr>
          <w:rFonts w:ascii="Courier New" w:hAnsi="Courier New" w:cs="Courier New"/>
          <w:sz w:val="24"/>
          <w:szCs w:val="24"/>
        </w:rPr>
        <w:t xml:space="preserve"> or</w:t>
      </w:r>
      <w:r>
        <w:rPr>
          <w:rFonts w:ascii="Courier New" w:hAnsi="Courier New" w:cs="Courier New"/>
          <w:sz w:val="24"/>
          <w:szCs w:val="24"/>
        </w:rPr>
        <w:t xml:space="preserve"> during the final graduation audit, forcing senior students into unexpected residency extensions and </w:t>
      </w:r>
      <w:r w:rsidR="00290B3E">
        <w:rPr>
          <w:rFonts w:ascii="Courier New" w:hAnsi="Courier New" w:cs="Courier New"/>
          <w:sz w:val="24"/>
          <w:szCs w:val="24"/>
        </w:rPr>
        <w:t>additional</w:t>
      </w:r>
      <w:r>
        <w:rPr>
          <w:rFonts w:ascii="Courier New" w:hAnsi="Courier New" w:cs="Courier New"/>
          <w:sz w:val="24"/>
          <w:szCs w:val="24"/>
        </w:rPr>
        <w:t xml:space="preserve"> financial strain.</w:t>
      </w:r>
    </w:p>
    <w:p w14:paraId="4F8B553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 xml:space="preserve">While the MIS reliably stores student grades and registration records, it has no built-in logic to cross-reference a </w:t>
      </w:r>
      <w:r>
        <w:rPr>
          <w:rFonts w:ascii="Courier New" w:hAnsi="Courier New" w:cs="Courier New"/>
          <w:sz w:val="24"/>
          <w:szCs w:val="24"/>
        </w:rPr>
        <w:lastRenderedPageBreak/>
        <w:t>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2F50EFC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4F0A919C"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486400" cy="301752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30"/>
                    <a:stretch>
                      <a:fillRect/>
                    </a:stretch>
                  </pic:blipFill>
                  <pic:spPr>
                    <a:xfrm>
                      <a:off x="0" y="0"/>
                      <a:ext cx="5486400" cy="3017520"/>
                    </a:xfrm>
                    <a:prstGeom prst="rect">
                      <a:avLst/>
                    </a:prstGeom>
                  </pic:spPr>
                </pic:pic>
              </a:graphicData>
            </a:graphic>
          </wp:inline>
        </w:drawing>
      </w:r>
    </w:p>
    <w:p w14:paraId="6380E6F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Figure 4.2 </w:t>
      </w:r>
      <w:r>
        <w:rPr>
          <w:rFonts w:ascii="Courier New" w:hAnsi="Courier New" w:cs="Courier New"/>
          <w:sz w:val="24"/>
          <w:szCs w:val="24"/>
        </w:rPr>
        <w:t>presents these three problems in an Ishikawa (fishbone) diagram, with each problem as a branch and its causes listed under it: Late-Detection Blindspots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and Limited Student Awareness of Prerequisite Requirements (the MIS does not alert students when they are ineligible; students unknowingly enroll without the prerequisites). Together, they lead to the 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632A3F2A" w14:textId="15686AB9"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w:t>
      </w:r>
      <w:r>
        <w:fldChar w:fldCharType="begin"/>
      </w:r>
      <w:r>
        <w:instrText xml:space="preserve"> TC "Narrative Description of the Proposed System (SOP No. 3)" \f c \l 2 </w:instrText>
      </w:r>
      <w:r>
        <w:fldChar w:fldCharType="end"/>
      </w:r>
    </w:p>
    <w:p w14:paraId="66C6247E"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w:t>
      </w:r>
      <w:r w:rsidRPr="00E32852">
        <w:rPr>
          <w:rFonts w:ascii="Courier New" w:hAnsi="Courier New" w:cs="Courier New"/>
          <w:sz w:val="24"/>
          <w:szCs w:val="24"/>
        </w:rPr>
        <w:t>developed Auditrix,</w:t>
      </w:r>
      <w:r>
        <w:rPr>
          <w:rFonts w:ascii="Courier New" w:hAnsi="Courier New" w:cs="Courier New"/>
          <w:sz w:val="24"/>
          <w:szCs w:val="24"/>
        </w:rPr>
        <w:t xml:space="preserve"> a web-based curriculum audit system for Kalinga State University that automatically checks every subject a student has taken against the prerequisites, co-requisites</w:t>
      </w:r>
      <w:r w:rsidR="00B20169">
        <w:rPr>
          <w:rFonts w:ascii="Courier New" w:hAnsi="Courier New" w:cs="Courier New"/>
          <w:sz w:val="24"/>
          <w:szCs w:val="24"/>
        </w:rPr>
        <w:t>,</w:t>
      </w:r>
      <w:r>
        <w:rPr>
          <w:rFonts w:ascii="Courier New" w:hAnsi="Courier New" w:cs="Courier New"/>
          <w:sz w:val="24"/>
          <w:szCs w:val="24"/>
        </w:rPr>
        <w:t xml:space="preserve"> and year-standing requirements of the student's curriculum. It was built for any college and </w:t>
      </w:r>
      <w:r>
        <w:rPr>
          <w:rFonts w:ascii="Courier New" w:hAnsi="Courier New" w:cs="Courier New"/>
          <w:sz w:val="24"/>
          <w:szCs w:val="24"/>
        </w:rPr>
        <w:lastRenderedPageBreak/>
        <w:t>program, and was tested with the BSCpE, BSIT</w:t>
      </w:r>
      <w:r w:rsidR="00B20169">
        <w:rPr>
          <w:rFonts w:ascii="Courier New" w:hAnsi="Courier New" w:cs="Courier New"/>
          <w:sz w:val="24"/>
          <w:szCs w:val="24"/>
        </w:rPr>
        <w:t>,</w:t>
      </w:r>
      <w:r>
        <w:rPr>
          <w:rFonts w:ascii="Courier New" w:hAnsi="Courier New" w:cs="Courier New"/>
          <w:sz w:val="24"/>
          <w:szCs w:val="24"/>
        </w:rPr>
        <w:t xml:space="preserve"> and BSCE 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2C9280F0" w14:textId="1F708EA8" w:rsidR="007E0C8E"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system runs on Next.js 16 (App Router and server actions) with React 19 and TypeScript, styled with Tailwind CSS 4 in a KSU green theme designed for responsiveness across desktop, tablet, and mobile. Supabase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0531221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core of Auditrix is a TypeScript-based audit engine that checks every subject of the student's curriculum </w:t>
      </w:r>
      <w:r>
        <w:rPr>
          <w:rFonts w:ascii="Courier New" w:hAnsi="Courier New" w:cs="Courier New"/>
          <w:sz w:val="24"/>
          <w:szCs w:val="24"/>
        </w:rPr>
        <w:lastRenderedPageBreak/>
        <w:t>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7E0C8E" w14:paraId="3BB54645" w14:textId="77777777" w:rsidTr="007E0C8E">
        <w:trPr>
          <w:cantSplit/>
          <w:tblHeader/>
        </w:trPr>
        <w:tc>
          <w:tcPr>
            <w:tcW w:w="2000" w:type="dxa"/>
          </w:tcPr>
          <w:p w14:paraId="038DE04E" w14:textId="77777777" w:rsidR="007E0C8E" w:rsidRDefault="007E0C8E" w:rsidP="007E0C8E">
            <w:pPr>
              <w:spacing w:line="480" w:lineRule="auto"/>
              <w:jc w:val="center"/>
              <w:rPr>
                <w:rFonts w:ascii="Courier New" w:hAnsi="Courier New" w:cs="Courier New"/>
                <w:b/>
                <w:bCs/>
                <w:sz w:val="24"/>
                <w:szCs w:val="24"/>
              </w:rPr>
            </w:pPr>
            <w:r>
              <w:rPr>
                <w:rFonts w:ascii="Courier New" w:hAnsi="Courier New" w:cs="Courier New"/>
                <w:b/>
                <w:bCs/>
                <w:sz w:val="24"/>
                <w:szCs w:val="24"/>
              </w:rPr>
              <w:t>Status</w:t>
            </w:r>
          </w:p>
        </w:tc>
        <w:tc>
          <w:tcPr>
            <w:tcW w:w="6632" w:type="dxa"/>
          </w:tcPr>
          <w:p w14:paraId="74E2CBE7" w14:textId="77777777" w:rsidR="007E0C8E" w:rsidRDefault="007E0C8E" w:rsidP="007E0C8E">
            <w:pPr>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7E0C8E" w14:paraId="54A68B24" w14:textId="77777777" w:rsidTr="007E0C8E">
        <w:trPr>
          <w:cantSplit/>
        </w:trPr>
        <w:tc>
          <w:tcPr>
            <w:tcW w:w="2000" w:type="dxa"/>
          </w:tcPr>
          <w:p w14:paraId="34558787"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503D244D"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7E0C8E" w14:paraId="5E60E6FA" w14:textId="77777777" w:rsidTr="007E0C8E">
        <w:trPr>
          <w:cantSplit/>
        </w:trPr>
        <w:tc>
          <w:tcPr>
            <w:tcW w:w="2000" w:type="dxa"/>
          </w:tcPr>
          <w:p w14:paraId="1434D6DF"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4A23E6FA"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7E0C8E" w14:paraId="4FFE67E5" w14:textId="77777777" w:rsidTr="007E0C8E">
        <w:trPr>
          <w:cantSplit/>
        </w:trPr>
        <w:tc>
          <w:tcPr>
            <w:tcW w:w="2000" w:type="dxa"/>
          </w:tcPr>
          <w:p w14:paraId="085D77A2"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04C33615"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7E0C8E" w14:paraId="04F00E1F" w14:textId="77777777" w:rsidTr="007E0C8E">
        <w:trPr>
          <w:cantSplit/>
        </w:trPr>
        <w:tc>
          <w:tcPr>
            <w:tcW w:w="2000" w:type="dxa"/>
          </w:tcPr>
          <w:p w14:paraId="6DE492BB" w14:textId="77777777" w:rsidR="007E0C8E" w:rsidRDefault="007E0C8E" w:rsidP="007E0C8E">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74DE0844" w14:textId="77777777" w:rsidR="007E0C8E" w:rsidRDefault="007E0C8E" w:rsidP="007E0C8E">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5DE68DE"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19460923" w14:textId="12864906"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Audit Engine is designed around three algorithms. The first audits each subject by comparing the term in which the subject was taken with the terms in which its requirements were passed, and assigns one of </w:t>
      </w:r>
      <w:r w:rsidR="00C77B25">
        <w:rPr>
          <w:rFonts w:ascii="Courier New" w:hAnsi="Courier New" w:cs="Courier New"/>
          <w:sz w:val="24"/>
          <w:szCs w:val="24"/>
        </w:rPr>
        <w:t>four</w:t>
      </w:r>
      <w:r>
        <w:rPr>
          <w:rFonts w:ascii="Courier New" w:hAnsi="Courier New" w:cs="Courier New"/>
          <w:sz w:val="24"/>
          <w:szCs w:val="24"/>
        </w:rPr>
        <w:t xml:space="preserve"> statuses: Completed, Available, Unavailable, or Violation. The second computes a student's year level from the share of the curriculum's units </w:t>
      </w:r>
      <w:r>
        <w:rPr>
          <w:rFonts w:ascii="Courier New" w:hAnsi="Courier New" w:cs="Courier New"/>
          <w:sz w:val="24"/>
          <w:szCs w:val="24"/>
        </w:rPr>
        <w:lastRenderedPageBreak/>
        <w:t>passed before the current semester. The third classifies a student as regular or irregular by comparing the subjects the student is enrolled in with the prescribed load for the current semester.</w:t>
      </w:r>
    </w:p>
    <w:p w14:paraId="1069C9F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which stored a permanent flag at the moment of entry; it gave different results depending on the order in which the grades were entered.</w:t>
      </w:r>
    </w:p>
    <w:p w14:paraId="4574EC5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231242DD" w14:textId="77777777" w:rsidR="003C6C44"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Terms are written as on KSU records: the first two digits of the school year and the semester (1 for the first semester, 2 for the second, and S for the midyear). A midyear carries the year of the semester after it, so terms are ordered 25-1, 25-2, 26-S (midyear), then 26-1.</w:t>
      </w:r>
    </w:p>
    <w:p w14:paraId="50C406C9" w14:textId="3AECA211"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count toward units or year level, and has to be retaken. If a prerequisite's grade from an earlier term is still in progress, the subject is Pending rather than a violation.</w:t>
      </w:r>
    </w:p>
    <w:p w14:paraId="0B453E2A" w14:textId="77777777" w:rsidR="00E32852"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w:t>
      </w:r>
      <w:r w:rsidR="00E32852">
        <w:rPr>
          <w:rFonts w:ascii="Courier New" w:hAnsi="Courier New" w:cs="Courier New"/>
          <w:sz w:val="24"/>
          <w:szCs w:val="24"/>
        </w:rPr>
        <w:t>,</w:t>
      </w:r>
      <w:r>
        <w:rPr>
          <w:rFonts w:ascii="Courier New" w:hAnsi="Courier New" w:cs="Courier New"/>
          <w:sz w:val="24"/>
          <w:szCs w:val="24"/>
        </w:rPr>
        <w:t xml:space="preserve"> they pair both ways, even when only one of the two subjects lists the other. Both must be taken </w:t>
      </w:r>
      <w:r>
        <w:rPr>
          <w:rFonts w:ascii="Courier New" w:hAnsi="Courier New" w:cs="Courier New"/>
          <w:sz w:val="24"/>
          <w:szCs w:val="24"/>
        </w:rPr>
        <w:lastRenderedPageBreak/>
        <w:t>in the same term; taking only one of them, or taking them in different terms, is a violation.</w:t>
      </w:r>
      <w:r w:rsidR="00E32852">
        <w:rPr>
          <w:rFonts w:ascii="Courier New" w:hAnsi="Courier New" w:cs="Courier New"/>
          <w:sz w:val="24"/>
          <w:szCs w:val="24"/>
        </w:rPr>
        <w:t xml:space="preserve"> I</w:t>
      </w:r>
      <w:r>
        <w:rPr>
          <w:rFonts w:ascii="Courier New" w:hAnsi="Courier New" w:cs="Courier New"/>
          <w:sz w:val="24"/>
          <w:szCs w:val="24"/>
        </w:rPr>
        <w:t>f one is failed, neither counts and both are retaken.</w:t>
      </w:r>
    </w:p>
    <w:p w14:paraId="7A6E8F5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w:t>
      </w:r>
      <w:r w:rsidR="00E32852">
        <w:rPr>
          <w:rFonts w:ascii="Courier New" w:hAnsi="Courier New" w:cs="Courier New"/>
          <w:sz w:val="24"/>
          <w:szCs w:val="24"/>
        </w:rPr>
        <w:t xml:space="preserve"> and</w:t>
      </w:r>
      <w:r>
        <w:rPr>
          <w:rFonts w:ascii="Courier New" w:hAnsi="Courier New" w:cs="Courier New"/>
          <w:sz w:val="24"/>
          <w:szCs w:val="24"/>
        </w:rPr>
        <w:t xml:space="preserve"> the KSU Operations Manual</w:t>
      </w:r>
      <w:r w:rsidR="00E32852">
        <w:rPr>
          <w:rFonts w:ascii="Courier New" w:hAnsi="Courier New" w:cs="Courier New"/>
          <w:sz w:val="24"/>
          <w:szCs w:val="24"/>
        </w:rPr>
        <w:t xml:space="preserve">, which specifies </w:t>
      </w:r>
      <w:r>
        <w:rPr>
          <w:rFonts w:ascii="Courier New" w:hAnsi="Courier New" w:cs="Courier New"/>
          <w:sz w:val="24"/>
          <w:szCs w:val="24"/>
        </w:rPr>
        <w:t>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1D513024" w14:textId="77777777">
        <w:trPr>
          <w:cantSplit/>
          <w:tblHeader/>
        </w:trPr>
        <w:tc>
          <w:tcPr>
            <w:tcW w:w="3400" w:type="dxa"/>
          </w:tcPr>
          <w:p w14:paraId="7E7F1F9A" w14:textId="77777777" w:rsidR="003B1F7A" w:rsidRDefault="00000000">
            <w:pPr>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6DEC4CF4" w14:textId="77777777" w:rsidR="003B1F7A" w:rsidRDefault="00000000">
            <w:pPr>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69380EA1" w14:textId="77777777">
        <w:trPr>
          <w:cantSplit/>
        </w:trPr>
        <w:tc>
          <w:tcPr>
            <w:tcW w:w="3400" w:type="dxa"/>
          </w:tcPr>
          <w:p w14:paraId="4EB0A686" w14:textId="77777777" w:rsidR="003B1F7A" w:rsidRDefault="00000000">
            <w:pPr>
              <w:spacing w:before="40" w:after="40" w:line="240" w:lineRule="auto"/>
              <w:rPr>
                <w:rFonts w:ascii="Courier New" w:hAnsi="Courier New" w:cs="Courier New"/>
              </w:rPr>
            </w:pPr>
            <w:r>
              <w:rPr>
                <w:rFonts w:ascii="Courier New" w:hAnsi="Courier New" w:cs="Courier New"/>
              </w:rPr>
              <w:t>1st year (Freshman)</w:t>
            </w:r>
          </w:p>
        </w:tc>
        <w:tc>
          <w:tcPr>
            <w:tcW w:w="5232" w:type="dxa"/>
          </w:tcPr>
          <w:p w14:paraId="69F14D86" w14:textId="77777777" w:rsidR="003B1F7A" w:rsidRDefault="00000000">
            <w:pPr>
              <w:spacing w:before="40" w:after="40" w:line="240" w:lineRule="auto"/>
              <w:rPr>
                <w:rFonts w:ascii="Courier New" w:hAnsi="Courier New" w:cs="Courier New"/>
              </w:rPr>
            </w:pPr>
            <w:r>
              <w:rPr>
                <w:rFonts w:ascii="Courier New" w:hAnsi="Courier New" w:cs="Courier New"/>
              </w:rPr>
              <w:t>Less than 25%</w:t>
            </w:r>
          </w:p>
        </w:tc>
      </w:tr>
      <w:tr w:rsidR="003B1F7A" w14:paraId="595F330A" w14:textId="77777777">
        <w:trPr>
          <w:cantSplit/>
        </w:trPr>
        <w:tc>
          <w:tcPr>
            <w:tcW w:w="3400" w:type="dxa"/>
          </w:tcPr>
          <w:p w14:paraId="2696277B" w14:textId="77777777" w:rsidR="003B1F7A" w:rsidRDefault="00000000">
            <w:pPr>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69757039" w14:textId="77777777" w:rsidR="003B1F7A" w:rsidRDefault="00000000">
            <w:pPr>
              <w:spacing w:before="40" w:after="40" w:line="240" w:lineRule="auto"/>
              <w:rPr>
                <w:rFonts w:ascii="Courier New" w:hAnsi="Courier New" w:cs="Courier New"/>
              </w:rPr>
            </w:pPr>
            <w:r>
              <w:rPr>
                <w:rFonts w:ascii="Courier New" w:hAnsi="Courier New" w:cs="Courier New"/>
              </w:rPr>
              <w:t>25% to 50%</w:t>
            </w:r>
          </w:p>
        </w:tc>
      </w:tr>
      <w:tr w:rsidR="003B1F7A" w14:paraId="1ACD84DD" w14:textId="77777777">
        <w:trPr>
          <w:cantSplit/>
        </w:trPr>
        <w:tc>
          <w:tcPr>
            <w:tcW w:w="3400" w:type="dxa"/>
          </w:tcPr>
          <w:p w14:paraId="3435FBE6" w14:textId="77777777" w:rsidR="003B1F7A" w:rsidRDefault="00000000">
            <w:pPr>
              <w:spacing w:before="40" w:after="40" w:line="240" w:lineRule="auto"/>
              <w:rPr>
                <w:rFonts w:ascii="Courier New" w:hAnsi="Courier New" w:cs="Courier New"/>
              </w:rPr>
            </w:pPr>
            <w:r>
              <w:rPr>
                <w:rFonts w:ascii="Courier New" w:hAnsi="Courier New" w:cs="Courier New"/>
              </w:rPr>
              <w:t>3rd year (Junior)</w:t>
            </w:r>
          </w:p>
        </w:tc>
        <w:tc>
          <w:tcPr>
            <w:tcW w:w="5232" w:type="dxa"/>
          </w:tcPr>
          <w:p w14:paraId="160D644C" w14:textId="77777777" w:rsidR="003B1F7A" w:rsidRDefault="00000000">
            <w:pPr>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18748C9" w14:textId="77777777">
        <w:trPr>
          <w:cantSplit/>
        </w:trPr>
        <w:tc>
          <w:tcPr>
            <w:tcW w:w="3400" w:type="dxa"/>
          </w:tcPr>
          <w:p w14:paraId="596ED02D"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0B35298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0DFFFC99"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308A2830"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w:t>
      </w:r>
      <w:r w:rsidR="003A1908">
        <w:rPr>
          <w:rFonts w:ascii="Courier New" w:hAnsi="Courier New" w:cs="Courier New"/>
          <w:sz w:val="24"/>
          <w:szCs w:val="24"/>
        </w:rPr>
        <w:t>,</w:t>
      </w:r>
      <w:r>
        <w:rPr>
          <w:rFonts w:ascii="Courier New" w:hAnsi="Courier New" w:cs="Courier New"/>
          <w:sz w:val="24"/>
          <w:szCs w:val="24"/>
        </w:rPr>
        <w:t xml:space="preserve"> and the grades alone do not show the standing, for example</w:t>
      </w:r>
      <w:r w:rsidR="003A1908">
        <w:rPr>
          <w:rFonts w:ascii="Courier New" w:hAnsi="Courier New" w:cs="Courier New"/>
          <w:sz w:val="24"/>
          <w:szCs w:val="24"/>
        </w:rPr>
        <w:t>,</w:t>
      </w:r>
      <w:r>
        <w:rPr>
          <w:rFonts w:ascii="Courier New" w:hAnsi="Courier New" w:cs="Courier New"/>
          <w:sz w:val="24"/>
          <w:szCs w:val="24"/>
        </w:rPr>
        <w:t xml:space="preserve"> because older grades have not been encoded yet, the subject is marked "Year standing: please verify" (in amber) instead of being flagged as a violation.</w:t>
      </w:r>
    </w:p>
    <w:p w14:paraId="3F349287"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Student Handbook and the Operations Manual, a student is regular when enrolled in the full 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w:t>
      </w:r>
      <w:r w:rsidR="003A1908">
        <w:rPr>
          <w:rFonts w:ascii="Courier New" w:hAnsi="Courier New" w:cs="Courier New"/>
          <w:sz w:val="24"/>
          <w:szCs w:val="24"/>
        </w:rPr>
        <w:t>,</w:t>
      </w:r>
      <w:r>
        <w:rPr>
          <w:rFonts w:ascii="Courier New" w:hAnsi="Courier New" w:cs="Courier New"/>
          <w:sz w:val="24"/>
          <w:szCs w:val="24"/>
        </w:rPr>
        <w:t xml:space="preserve">" and the student is not counted either way. At the start of a semester, the chairperson marks the subjects each student is taking as </w:t>
      </w:r>
      <w:r>
        <w:rPr>
          <w:rFonts w:ascii="Courier New" w:hAnsi="Courier New" w:cs="Courier New"/>
          <w:sz w:val="24"/>
          <w:szCs w:val="24"/>
        </w:rPr>
        <w:lastRenderedPageBreak/>
        <w:t>In progress, so the status is known before any grades come in.</w:t>
      </w:r>
    </w:p>
    <w:p w14:paraId="5EE61DC2"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w:t>
      </w:r>
      <w:r w:rsidR="003A1908">
        <w:rPr>
          <w:rFonts w:ascii="Courier New" w:hAnsi="Courier New" w:cs="Courier New"/>
          <w:sz w:val="24"/>
          <w:szCs w:val="24"/>
        </w:rPr>
        <w:t>,</w:t>
      </w:r>
      <w:r>
        <w:rPr>
          <w:rFonts w:ascii="Courier New" w:hAnsi="Courier New" w:cs="Courier New"/>
          <w:sz w:val="24"/>
          <w:szCs w:val="24"/>
        </w:rPr>
        <w:t xml:space="preserve"> and 3.0 (passing), 5.0 (failing), and INC, and a subject the student is taking this semester can be marked In progress. Several subjects can be ticked and marked In progress at once; ticking all leaves out the subjects the student cannot take yet (e.g., "Can't take yet. Needs: MATH 111"), which can still be ticked one by one if the student is enrolled in them anyway.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w:t>
      </w:r>
      <w:r>
        <w:rPr>
          <w:rFonts w:ascii="Courier New" w:hAnsi="Courier New" w:cs="Courier New"/>
          <w:sz w:val="24"/>
          <w:szCs w:val="24"/>
        </w:rPr>
        <w:lastRenderedPageBreak/>
        <w:t>together with who entered it and when. The database writes this logbook itself, so its entries cannot be edited or deleted, and it accepts only KSU grades that match their status and well-formed terms.</w:t>
      </w:r>
    </w:p>
    <w:p w14:paraId="3D1077B7" w14:textId="72C570A2"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w:t>
      </w:r>
      <w:r w:rsidR="00290B3E">
        <w:rPr>
          <w:rFonts w:ascii="Courier New" w:hAnsi="Courier New" w:cs="Courier New"/>
          <w:b/>
          <w:bCs/>
          <w:sz w:val="24"/>
          <w:szCs w:val="24"/>
        </w:rPr>
        <w:t>M</w:t>
      </w:r>
      <w:r>
        <w:rPr>
          <w:rFonts w:ascii="Courier New" w:hAnsi="Courier New" w:cs="Courier New"/>
          <w:b/>
          <w:bCs/>
          <w:sz w:val="24"/>
          <w:szCs w:val="24"/>
        </w:rPr>
        <w:t>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an Excel (.xlsx or .xls) or CSV file, in a format designed by the researchers, with a preview of what will be added, changed or removed before saving, exported to CSV or PDF, and every change is kept in a per-version change history showing who changed what, and when.</w:t>
      </w:r>
    </w:p>
    <w:p w14:paraId="3BCD71F6" w14:textId="33E12B15"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Students and </w:t>
      </w:r>
      <w:r w:rsidR="00290B3E">
        <w:rPr>
          <w:rFonts w:ascii="Courier New" w:hAnsi="Courier New" w:cs="Courier New"/>
          <w:b/>
          <w:bCs/>
          <w:sz w:val="24"/>
          <w:szCs w:val="24"/>
        </w:rPr>
        <w:t>S</w:t>
      </w:r>
      <w:r>
        <w:rPr>
          <w:rFonts w:ascii="Courier New" w:hAnsi="Courier New" w:cs="Courier New"/>
          <w:b/>
          <w:bCs/>
          <w:sz w:val="24"/>
          <w:szCs w:val="24"/>
        </w:rPr>
        <w:t xml:space="preserve">tudent </w:t>
      </w:r>
      <w:r w:rsidR="00290B3E">
        <w:rPr>
          <w:rFonts w:ascii="Courier New" w:hAnsi="Courier New" w:cs="Courier New"/>
          <w:b/>
          <w:bCs/>
          <w:sz w:val="24"/>
          <w:szCs w:val="24"/>
        </w:rPr>
        <w:t>M</w:t>
      </w:r>
      <w:r>
        <w:rPr>
          <w:rFonts w:ascii="Courier New" w:hAnsi="Courier New" w:cs="Courier New"/>
          <w:b/>
          <w:bCs/>
          <w:sz w:val="24"/>
          <w:szCs w:val="24"/>
        </w:rPr>
        <w:t>ovements.</w:t>
      </w:r>
      <w:r>
        <w:rPr>
          <w:rFonts w:ascii="Courier New" w:hAnsi="Courier New" w:cs="Courier New"/>
          <w:sz w:val="24"/>
          <w:szCs w:val="24"/>
        </w:rPr>
        <w:t xml:space="preserve"> Students are registered one at a time or imported from an Excel (.xlsx or .xls) or CSV file, either the system's template or a class list exported from the KSU MIS (its "Export to Excel" file, in the format the Program Chairpersons provided), and ID numbers are checked against the KSU format (e.g., 24-113792). When a student shifts, the releasing chairperson files a shift </w:t>
      </w:r>
      <w:r>
        <w:rPr>
          <w:rFonts w:ascii="Courier New" w:hAnsi="Courier New" w:cs="Courier New"/>
          <w:sz w:val="24"/>
          <w:szCs w:val="24"/>
        </w:rPr>
        <w:lastRenderedPageBreak/>
        <w:t>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5399B2F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A "Needs attention" banner at the top lists what to act on, such as students with violations, students with nothing recorded for the current semester, or an unset semester, each linked to the matching filtered student list. Per program, the dashboard shows the total number of students, the regular and irregular students (and how many are not yet determined), the students with violations, the curriculum versions, and the number of shifts, transfers and drops. Four charts are built only from recorded data: regular, irregular </w:t>
      </w:r>
      <w:r>
        <w:rPr>
          <w:rFonts w:ascii="Courier New" w:hAnsi="Courier New" w:cs="Courier New"/>
          <w:sz w:val="24"/>
          <w:szCs w:val="24"/>
        </w:rPr>
        <w:lastRenderedPageBreak/>
        <w:t>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4A73D4A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are signed out </w:t>
      </w:r>
      <w:r>
        <w:rPr>
          <w:rFonts w:ascii="Courier New" w:hAnsi="Courier New" w:cs="Courier New"/>
          <w:sz w:val="24"/>
          <w:szCs w:val="24"/>
        </w:rPr>
        <w:lastRenderedPageBreak/>
        <w:t>after 30 minutes without activity; and an account is blocked for 15 minutes after five wrong passwords.</w:t>
      </w:r>
    </w:p>
    <w:p w14:paraId="58B298A2"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569669F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636D521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Audit Engine checking prerequisites, co-requisites, year standing and "all subjects completed"</w:t>
      </w:r>
    </w:p>
    <w:p w14:paraId="73F3699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from Excel or CSV (the template or the KSU-MIS "Export to Excel" file)</w:t>
      </w:r>
    </w:p>
    <w:p w14:paraId="5C269DE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list with search from any page, filters and the reason for each student's status, and an audit page showing each subject's status, grade, term and the reason for any violation</w:t>
      </w:r>
    </w:p>
    <w:p w14:paraId="50844484"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grade entry with KSU grade values, In progress marking for several subjects at once, INC completion, earlier-term protection and a database-written grade logbook</w:t>
      </w:r>
    </w:p>
    <w:p w14:paraId="7D454C1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66864F1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Shift requests and shift-ins, transfers and drops, with a per-student history, locked records for dropped and transferred-out students, and a Student Movements page</w:t>
      </w:r>
    </w:p>
    <w:p w14:paraId="49956C7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Automatic year levels with chairperson override, and </w:t>
      </w:r>
      <w:r w:rsidR="001711E6">
        <w:rPr>
          <w:rFonts w:ascii="Courier New" w:hAnsi="Courier New" w:cs="Courier New"/>
          <w:sz w:val="24"/>
          <w:szCs w:val="24"/>
        </w:rPr>
        <w:t>regular/irregular</w:t>
      </w:r>
      <w:r>
        <w:rPr>
          <w:rFonts w:ascii="Courier New" w:hAnsi="Courier New" w:cs="Courier New"/>
          <w:sz w:val="24"/>
          <w:szCs w:val="24"/>
        </w:rPr>
        <w:t xml:space="preserve"> classification</w:t>
      </w:r>
    </w:p>
    <w:p w14:paraId="046DF64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a Needs attention banner and charts, a side-by-side program comparison for the Dean, and the current semester set by the Dean</w:t>
      </w:r>
    </w:p>
    <w:p w14:paraId="098DE9B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244C0F3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Security: role checks on every page, row-level security, a database-enforced audit trail, sign-out after 30 minutes of inactivity, and blocking after repeated wrong passwords</w:t>
      </w:r>
    </w:p>
    <w:p w14:paraId="14F05C8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6419FBE2"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4BDD2D50" w14:textId="77777777">
        <w:trPr>
          <w:cantSplit/>
          <w:tblHeader/>
        </w:trPr>
        <w:tc>
          <w:tcPr>
            <w:tcW w:w="2877" w:type="dxa"/>
          </w:tcPr>
          <w:p w14:paraId="53E0F553"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78306464"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388381A"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09D656FD" w14:textId="77777777">
        <w:trPr>
          <w:cantSplit/>
        </w:trPr>
        <w:tc>
          <w:tcPr>
            <w:tcW w:w="2877" w:type="dxa"/>
          </w:tcPr>
          <w:p w14:paraId="7F20373E"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877" w:type="dxa"/>
          </w:tcPr>
          <w:p w14:paraId="11F435EB"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60C53D87"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4DC96D1" w14:textId="77777777">
        <w:trPr>
          <w:cantSplit/>
        </w:trPr>
        <w:tc>
          <w:tcPr>
            <w:tcW w:w="2877" w:type="dxa"/>
          </w:tcPr>
          <w:p w14:paraId="7ED3CD72"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1E7D8EB2"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51D7F4F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252115D6" w14:textId="77777777">
        <w:trPr>
          <w:cantSplit/>
        </w:trPr>
        <w:tc>
          <w:tcPr>
            <w:tcW w:w="2877" w:type="dxa"/>
          </w:tcPr>
          <w:p w14:paraId="7D92C4E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0298271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221F483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014F664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5B190B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recording shifts, transfers and drops, and reopening a locked record. The Dean oversees the college: viewing the dashboard of every program and comparing the programs, setting the current semester, creating programs with their </w:t>
      </w:r>
      <w:r>
        <w:rPr>
          <w:rFonts w:ascii="Courier New" w:hAnsi="Courier New" w:cs="Courier New"/>
          <w:sz w:val="24"/>
          <w:szCs w:val="24"/>
        </w:rPr>
        <w:lastRenderedPageBreak/>
        <w:t>chairperson accounts, reassigning chairpersons, and splitting the college by moving some of its programs to a new college with its own dean, and handing the deanship over to a successor.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p>
    <w:p w14:paraId="5E1423E2" w14:textId="77777777" w:rsidR="005D7A48" w:rsidRDefault="000451DF">
      <w:pPr>
        <w:keepNext/>
        <w:spacing w:line="240" w:lineRule="auto"/>
        <w:jc w:val="center"/>
        <w:rPr>
          <w:rFonts w:ascii="Courier New" w:hAnsi="Courier New" w:cs="Courier New"/>
          <w:sz w:val="24"/>
          <w:szCs w:val="24"/>
        </w:rPr>
      </w:pPr>
      <w:r>
        <w:rPr>
          <w:noProof/>
        </w:rPr>
        <w:drawing>
          <wp:inline distT="0" distB="0" distL="0" distR="0" wp14:anchorId="0CD2A12D" wp14:editId="077DEE87">
            <wp:extent cx="5120640" cy="3038246"/>
            <wp:effectExtent l="0" t="0" r="0" b="7620"/>
            <wp:docPr id="7000001" name="Figure 4.4. Use Case Diagram of Auditrix" descr="Figure 4.4. Use Case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31"/>
                    <a:stretch>
                      <a:fillRect/>
                    </a:stretch>
                  </pic:blipFill>
                  <pic:spPr>
                    <a:xfrm>
                      <a:off x="0" y="0"/>
                      <a:ext cx="5120640" cy="3038246"/>
                    </a:xfrm>
                    <a:prstGeom prst="rect">
                      <a:avLst/>
                    </a:prstGeom>
                  </pic:spPr>
                </pic:pic>
              </a:graphicData>
            </a:graphic>
          </wp:inline>
        </w:drawing>
      </w:r>
    </w:p>
    <w:p w14:paraId="271E6620"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4.4. Use Case Diagram of Auditrix</w:t>
      </w:r>
      <w:r>
        <w:fldChar w:fldCharType="begin"/>
      </w:r>
      <w:r>
        <w:instrText xml:space="preserve"> TC "Figure 4.4. Use Case Diagram of Auditrix" \f f \l 1 </w:instrText>
      </w:r>
      <w:r>
        <w:fldChar w:fldCharType="end"/>
      </w:r>
    </w:p>
    <w:p w14:paraId="480A565C" w14:textId="77777777" w:rsidR="005D7A4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053466D8" wp14:editId="04E15BF0">
            <wp:extent cx="5120640" cy="4589111"/>
            <wp:effectExtent l="0" t="0" r="0" b="0"/>
            <wp:docPr id="7000002" name="Figure 4.5. Activity Diagram for Curriculum Audit"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32"/>
                    <a:stretch>
                      <a:fillRect/>
                    </a:stretch>
                  </pic:blipFill>
                  <pic:spPr>
                    <a:xfrm>
                      <a:off x="0" y="0"/>
                      <a:ext cx="5120640" cy="4589111"/>
                    </a:xfrm>
                    <a:prstGeom prst="rect">
                      <a:avLst/>
                    </a:prstGeom>
                  </pic:spPr>
                </pic:pic>
              </a:graphicData>
            </a:graphic>
          </wp:inline>
        </w:drawing>
      </w:r>
    </w:p>
    <w:p w14:paraId="5440A16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4.5. Activity Diagram for Curriculum Audit</w:t>
      </w:r>
      <w:r>
        <w:fldChar w:fldCharType="begin"/>
      </w:r>
      <w:r>
        <w:instrText xml:space="preserve"> TC "Figure 4.5. Activity Diagram for Curriculum Audit" \f f \l 1 </w:instrText>
      </w:r>
      <w:r>
        <w:fldChar w:fldCharType="end"/>
      </w:r>
    </w:p>
    <w:p w14:paraId="4F9FEE0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shows the activity diagram for the curriculum audit, divided into two swimlanes: the Program Chairperson and the Audit Engine. The process starts with the chairperson checking whether the student is new. A new student is first registered or imported from a student list, while an existing student's record is used as it is. The chairperson then enters the student's grade history, which is passed to the Audit </w:t>
      </w:r>
      <w:r>
        <w:rPr>
          <w:rFonts w:ascii="Courier New" w:hAnsi="Courier New" w:cs="Courier New"/>
          <w:sz w:val="24"/>
          <w:szCs w:val="24"/>
        </w:rPr>
        <w:lastRenderedPageBreak/>
        <w:t>Engine. The Audit Engine audits the record against the student's curriculum, comparing the term in which each subject was taken with the terms in which its requirements were met, and gives each subject one of the five statuses in Table 4.1. The result returns to the chairperson as the student's audit report, which ends the process.</w:t>
      </w:r>
    </w:p>
    <w:p w14:paraId="457A4307" w14:textId="77777777" w:rsidR="005D7A48" w:rsidRDefault="000451DF">
      <w:pPr>
        <w:keepNext/>
        <w:spacing w:line="240" w:lineRule="auto"/>
        <w:jc w:val="center"/>
        <w:rPr>
          <w:rFonts w:ascii="Courier New" w:hAnsi="Courier New" w:cs="Courier New"/>
          <w:sz w:val="24"/>
          <w:szCs w:val="24"/>
        </w:rPr>
      </w:pPr>
      <w:r>
        <w:rPr>
          <w:noProof/>
        </w:rPr>
        <w:drawing>
          <wp:inline distT="0" distB="0" distL="0" distR="0" wp14:anchorId="0CEF7CEA" wp14:editId="5A97D07B">
            <wp:extent cx="5486400" cy="5072809"/>
            <wp:effectExtent l="0" t="0" r="0" b="5080"/>
            <wp:docPr id="7000003" name="Figure 4.6. Menu Diagram of Auditrix" descr="Figure 4.6. Menu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33"/>
                    <a:stretch>
                      <a:fillRect/>
                    </a:stretch>
                  </pic:blipFill>
                  <pic:spPr>
                    <a:xfrm>
                      <a:off x="0" y="0"/>
                      <a:ext cx="5486400" cy="5072809"/>
                    </a:xfrm>
                    <a:prstGeom prst="rect">
                      <a:avLst/>
                    </a:prstGeom>
                  </pic:spPr>
                </pic:pic>
              </a:graphicData>
            </a:graphic>
          </wp:inline>
        </w:drawing>
      </w:r>
    </w:p>
    <w:p w14:paraId="4E7CED12"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4.6. Menu Diagram of Auditrix</w:t>
      </w:r>
      <w:r>
        <w:fldChar w:fldCharType="begin"/>
      </w:r>
      <w:r>
        <w:instrText xml:space="preserve"> TC "Figure 4.6. Menu Diagram of Auditrix" \f f \l 1 </w:instrText>
      </w:r>
      <w:r>
        <w:fldChar w:fldCharType="end"/>
      </w:r>
    </w:p>
    <w:p w14:paraId="7E6A32E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Student Movements, Manage Curriculum and Account Settings, and a student search is available from the top bar of every page; from Students, each student's audit page opens the Edit Student, Grade Logbook, Transfer / Shift, and Enter Grades pages. A Dean's menu leads to the Dashboard, where the current semester is set and the programs are compared, Student Movements, Create Program, Reassign Chairperson, Split College, Hand Over Deanship and Account Settings. Split College moves some of the college's programs to a new college with its own dean, and Hand Over Deanship creates the account of the next dean and closes the outgoing dean's account. In Account Settings, both roles can edit their name and change their password.</w:t>
      </w:r>
    </w:p>
    <w:p w14:paraId="4B2F3C6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User Interface of Auditrix</w:t>
      </w:r>
      <w:r>
        <w:fldChar w:fldCharType="begin"/>
      </w:r>
      <w:r>
        <w:instrText xml:space="preserve"> TC "User Interface of Auditrix" \f c \l 2 </w:instrText>
      </w:r>
      <w:r>
        <w:fldChar w:fldCharType="end"/>
      </w:r>
    </w:p>
    <w:p w14:paraId="2ED9504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screens of Auditrix are presented below following the activity diagram of the curriculum audit in </w:t>
      </w:r>
      <w:r>
        <w:rPr>
          <w:rFonts w:ascii="Courier New" w:hAnsi="Courier New" w:cs="Courier New"/>
          <w:b/>
          <w:bCs/>
          <w:sz w:val="24"/>
          <w:szCs w:val="24"/>
        </w:rPr>
        <w:t>Figure 4.5</w:t>
      </w:r>
      <w:r>
        <w:rPr>
          <w:rFonts w:ascii="Courier New" w:hAnsi="Courier New" w:cs="Courier New"/>
          <w:sz w:val="24"/>
          <w:szCs w:val="24"/>
        </w:rPr>
        <w:t xml:space="preserve">. They follow one new student from the chairperson's log in to </w:t>
      </w:r>
      <w:r>
        <w:rPr>
          <w:rFonts w:ascii="Courier New" w:hAnsi="Courier New" w:cs="Courier New"/>
          <w:sz w:val="24"/>
          <w:szCs w:val="24"/>
        </w:rPr>
        <w:lastRenderedPageBreak/>
        <w:t>the student's audit report, and were captured from the running system with sample BSIT data.</w:t>
      </w:r>
    </w:p>
    <w:p w14:paraId="61EA192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process starts when the Program Chairperson logs in with a KSU staff account (</w:t>
      </w:r>
      <w:r>
        <w:rPr>
          <w:rFonts w:ascii="Courier New" w:hAnsi="Courier New" w:cs="Courier New"/>
          <w:b/>
          <w:bCs/>
          <w:sz w:val="24"/>
          <w:szCs w:val="24"/>
        </w:rPr>
        <w:t>Figure 4.7</w:t>
      </w:r>
      <w:r>
        <w:rPr>
          <w:rFonts w:ascii="Courier New" w:hAnsi="Courier New" w:cs="Courier New"/>
          <w:sz w:val="24"/>
          <w:szCs w:val="24"/>
        </w:rPr>
        <w:t>).</w:t>
      </w:r>
    </w:p>
    <w:p w14:paraId="6CD3A0B7"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1" name="Figure 4.7" descr="Figure 4.7. Lo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4"/>
                    <a:stretch>
                      <a:fillRect/>
                    </a:stretch>
                  </pic:blipFill>
                  <pic:spPr>
                    <a:xfrm>
                      <a:off x="0" y="0"/>
                      <a:ext cx="5083534" cy="3145536"/>
                    </a:xfrm>
                    <a:prstGeom prst="rect">
                      <a:avLst/>
                    </a:prstGeom>
                  </pic:spPr>
                </pic:pic>
              </a:graphicData>
            </a:graphic>
          </wp:inline>
        </w:drawing>
      </w:r>
    </w:p>
    <w:p w14:paraId="0DC98B7D"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 Log In</w:t>
      </w:r>
      <w:r>
        <w:fldChar w:fldCharType="begin"/>
      </w:r>
      <w:r>
        <w:instrText xml:space="preserve"> TC "Figure 4.7. Log In" \f f \l 1 </w:instrText>
      </w:r>
      <w:r>
        <w:fldChar w:fldCharType="end"/>
      </w:r>
    </w:p>
    <w:p w14:paraId="07F8E96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chairperson first checks whether the student is new by searching the Students page by name or ID number (</w:t>
      </w:r>
      <w:r>
        <w:rPr>
          <w:rFonts w:ascii="Courier New" w:hAnsi="Courier New" w:cs="Courier New"/>
          <w:b/>
          <w:bCs/>
          <w:sz w:val="24"/>
          <w:szCs w:val="24"/>
        </w:rPr>
        <w:t>Figure 4.8</w:t>
      </w:r>
      <w:r>
        <w:rPr>
          <w:rFonts w:ascii="Courier New" w:hAnsi="Courier New" w:cs="Courier New"/>
          <w:sz w:val="24"/>
          <w:szCs w:val="24"/>
        </w:rPr>
        <w:t>). No student matches the search, so the student is new and has to be registered.</w:t>
      </w:r>
    </w:p>
    <w:p w14:paraId="731E76E5"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2" name="Figure 4.8" descr="Figure 4.8. Students — searching for th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5"/>
                    <a:stretch>
                      <a:fillRect/>
                    </a:stretch>
                  </pic:blipFill>
                  <pic:spPr>
                    <a:xfrm>
                      <a:off x="0" y="0"/>
                      <a:ext cx="5083534" cy="3145536"/>
                    </a:xfrm>
                    <a:prstGeom prst="rect">
                      <a:avLst/>
                    </a:prstGeom>
                  </pic:spPr>
                </pic:pic>
              </a:graphicData>
            </a:graphic>
          </wp:inline>
        </w:drawing>
      </w:r>
    </w:p>
    <w:p w14:paraId="72C419A9"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4.8. Students — searching for the student</w:t>
      </w:r>
      <w:r>
        <w:fldChar w:fldCharType="begin"/>
      </w:r>
      <w:r>
        <w:instrText xml:space="preserve"> TC "Figure 4.8. Students — searching for the student" \f f \l 1 </w:instrText>
      </w:r>
      <w:r>
        <w:fldChar w:fldCharType="end"/>
      </w:r>
    </w:p>
    <w:p w14:paraId="68196CF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 new student is registered one at a time on the Register Student page by entering the ID number, the full name, the curriculum version and the year level (</w:t>
      </w:r>
      <w:r>
        <w:rPr>
          <w:rFonts w:ascii="Courier New" w:hAnsi="Courier New" w:cs="Courier New"/>
          <w:b/>
          <w:bCs/>
          <w:sz w:val="24"/>
          <w:szCs w:val="24"/>
        </w:rPr>
        <w:t>Figure 4.9</w:t>
      </w:r>
      <w:r>
        <w:rPr>
          <w:rFonts w:ascii="Courier New" w:hAnsi="Courier New" w:cs="Courier New"/>
          <w:sz w:val="24"/>
          <w:szCs w:val="24"/>
        </w:rPr>
        <w:t>).</w:t>
      </w:r>
    </w:p>
    <w:p w14:paraId="32753FD4"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4DB1E63D">
            <wp:extent cx="5173772" cy="2417445"/>
            <wp:effectExtent l="0" t="0" r="8255" b="1905"/>
            <wp:docPr id="9103" name="Figure 4.9" descr="Figure 4.9. Register Student — on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6"/>
                    <a:stretch>
                      <a:fillRect/>
                    </a:stretch>
                  </pic:blipFill>
                  <pic:spPr>
                    <a:xfrm>
                      <a:off x="0" y="0"/>
                      <a:ext cx="5204823" cy="2431953"/>
                    </a:xfrm>
                    <a:prstGeom prst="rect">
                      <a:avLst/>
                    </a:prstGeom>
                  </pic:spPr>
                </pic:pic>
              </a:graphicData>
            </a:graphic>
          </wp:inline>
        </w:drawing>
      </w:r>
    </w:p>
    <w:p w14:paraId="571E7F8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4.9. Register Student — one student</w:t>
      </w:r>
      <w:r>
        <w:fldChar w:fldCharType="begin"/>
      </w:r>
      <w:r>
        <w:instrText xml:space="preserve"> TC "Figure 4.9. Register Student — one student" \f f \l 1 </w:instrText>
      </w:r>
      <w:r>
        <w:fldChar w:fldCharType="end"/>
      </w:r>
    </w:p>
    <w:p w14:paraId="480F643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Students can also be registered by batch by importing a class list (</w:t>
      </w:r>
      <w:r>
        <w:rPr>
          <w:rFonts w:ascii="Courier New" w:hAnsi="Courier New" w:cs="Courier New"/>
          <w:b/>
          <w:bCs/>
          <w:sz w:val="24"/>
          <w:szCs w:val="24"/>
        </w:rPr>
        <w:t>Figure 4.10</w:t>
      </w:r>
      <w:r>
        <w:rPr>
          <w:rFonts w:ascii="Courier New" w:hAnsi="Courier New" w:cs="Courier New"/>
          <w:sz w:val="24"/>
          <w:szCs w:val="24"/>
        </w:rPr>
        <w:t>). The chairperson chooses the curriculum version and an Excel, CSV or KSU-MIS export file (</w:t>
      </w:r>
      <w:r>
        <w:rPr>
          <w:rFonts w:ascii="Courier New" w:hAnsi="Courier New" w:cs="Courier New"/>
          <w:b/>
          <w:bCs/>
          <w:sz w:val="24"/>
          <w:szCs w:val="24"/>
        </w:rPr>
        <w:t>Figure 4.10a</w:t>
      </w:r>
      <w:r>
        <w:rPr>
          <w:rFonts w:ascii="Courier New" w:hAnsi="Courier New" w:cs="Courier New"/>
          <w:sz w:val="24"/>
          <w:szCs w:val="24"/>
        </w:rPr>
        <w:t>), and the system reports how many students were imported and lists any row it skipped, such as a student who is not yet officially enrolled (</w:t>
      </w:r>
      <w:r>
        <w:rPr>
          <w:rFonts w:ascii="Courier New" w:hAnsi="Courier New" w:cs="Courier New"/>
          <w:b/>
          <w:bCs/>
          <w:sz w:val="24"/>
          <w:szCs w:val="24"/>
        </w:rPr>
        <w:t>Figure 4.10b</w:t>
      </w:r>
      <w:r>
        <w:rPr>
          <w:rFonts w:ascii="Courier New" w:hAnsi="Courier New" w:cs="Courier New"/>
          <w:sz w:val="24"/>
          <w:szCs w:val="24"/>
        </w:rPr>
        <w:t>).</w:t>
      </w:r>
    </w:p>
    <w:p w14:paraId="11855E37"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4654980" cy="2880360"/>
            <wp:effectExtent l="0" t="0" r="0" b="0"/>
            <wp:docPr id="9104" name="Figure 4.10a" descr="Figure 4.10a. Register Students by Batch — choosing the clas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7"/>
                    <a:stretch>
                      <a:fillRect/>
                    </a:stretch>
                  </pic:blipFill>
                  <pic:spPr>
                    <a:xfrm>
                      <a:off x="0" y="0"/>
                      <a:ext cx="4654980" cy="2880360"/>
                    </a:xfrm>
                    <a:prstGeom prst="rect">
                      <a:avLst/>
                    </a:prstGeom>
                  </pic:spPr>
                </pic:pic>
              </a:graphicData>
            </a:graphic>
          </wp:inline>
        </w:drawing>
      </w:r>
    </w:p>
    <w:p w14:paraId="447C2697"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4.10a. Register Students by Batch — choosing the class list</w:t>
      </w:r>
      <w:r>
        <w:fldChar w:fldCharType="begin"/>
      </w:r>
      <w:r>
        <w:instrText xml:space="preserve"> TC "Figure 4.10a. Register Students by Batch — choosing the class list" \f f \l 1 </w:instrText>
      </w:r>
      <w:r>
        <w:fldChar w:fldCharType="end"/>
      </w:r>
    </w:p>
    <w:p w14:paraId="69E15B0D"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5" name="Figure 4.10b" descr="Figure 4.10b. Register Students by Batch — impor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8"/>
                    <a:stretch>
                      <a:fillRect/>
                    </a:stretch>
                  </pic:blipFill>
                  <pic:spPr>
                    <a:xfrm>
                      <a:off x="0" y="0"/>
                      <a:ext cx="5083534" cy="3145536"/>
                    </a:xfrm>
                    <a:prstGeom prst="rect">
                      <a:avLst/>
                    </a:prstGeom>
                  </pic:spPr>
                </pic:pic>
              </a:graphicData>
            </a:graphic>
          </wp:inline>
        </w:drawing>
      </w:r>
    </w:p>
    <w:p w14:paraId="056EE6A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4.10b. Register Students by Batch — import result</w:t>
      </w:r>
      <w:r>
        <w:fldChar w:fldCharType="begin"/>
      </w:r>
      <w:r>
        <w:instrText xml:space="preserve"> TC "Figure 4.10b. Register Students by Batch — import result" \f f \l 1 </w:instrText>
      </w:r>
      <w:r>
        <w:fldChar w:fldCharType="end"/>
      </w:r>
    </w:p>
    <w:p w14:paraId="0A9361D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With the student registered, the chairperson enters the student's grade history on the Enter Grades page (</w:t>
      </w:r>
      <w:r>
        <w:rPr>
          <w:rFonts w:ascii="Courier New" w:hAnsi="Courier New" w:cs="Courier New"/>
          <w:b/>
          <w:bCs/>
          <w:sz w:val="24"/>
          <w:szCs w:val="24"/>
        </w:rPr>
        <w:t>Figure 4.11</w:t>
      </w:r>
      <w:r>
        <w:rPr>
          <w:rFonts w:ascii="Courier New" w:hAnsi="Courier New" w:cs="Courier New"/>
          <w:sz w:val="24"/>
          <w:szCs w:val="24"/>
        </w:rPr>
        <w:t>). The chairperson chooses the year level, the curriculum semester and the term in which the grades were earned (</w:t>
      </w:r>
      <w:r>
        <w:rPr>
          <w:rFonts w:ascii="Courier New" w:hAnsi="Courier New" w:cs="Courier New"/>
          <w:b/>
          <w:bCs/>
          <w:sz w:val="24"/>
          <w:szCs w:val="24"/>
        </w:rPr>
        <w:t>Figure 4.11a</w:t>
      </w:r>
      <w:r>
        <w:rPr>
          <w:rFonts w:ascii="Courier New" w:hAnsi="Courier New" w:cs="Courier New"/>
          <w:sz w:val="24"/>
          <w:szCs w:val="24"/>
        </w:rPr>
        <w:t>), picks the grade of each subject from the KSU grade values (</w:t>
      </w:r>
      <w:r>
        <w:rPr>
          <w:rFonts w:ascii="Courier New" w:hAnsi="Courier New" w:cs="Courier New"/>
          <w:b/>
          <w:bCs/>
          <w:sz w:val="24"/>
          <w:szCs w:val="24"/>
        </w:rPr>
        <w:t>Figure 4.11b</w:t>
      </w:r>
      <w:r>
        <w:rPr>
          <w:rFonts w:ascii="Courier New" w:hAnsi="Courier New" w:cs="Courier New"/>
          <w:sz w:val="24"/>
          <w:szCs w:val="24"/>
        </w:rPr>
        <w:t>), and confirms the grades before they are saved (</w:t>
      </w:r>
      <w:r>
        <w:rPr>
          <w:rFonts w:ascii="Courier New" w:hAnsi="Courier New" w:cs="Courier New"/>
          <w:b/>
          <w:bCs/>
          <w:sz w:val="24"/>
          <w:szCs w:val="24"/>
        </w:rPr>
        <w:t>Figure 4.11c</w:t>
      </w:r>
      <w:r>
        <w:rPr>
          <w:rFonts w:ascii="Courier New" w:hAnsi="Courier New" w:cs="Courier New"/>
          <w:sz w:val="24"/>
          <w:szCs w:val="24"/>
        </w:rPr>
        <w:t>).</w:t>
      </w:r>
    </w:p>
    <w:p w14:paraId="531D78C1"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6" name="Figure 4.11a" descr="Figure 4.11a. Enter Grades — choosing the t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9"/>
                    <a:stretch>
                      <a:fillRect/>
                    </a:stretch>
                  </pic:blipFill>
                  <pic:spPr>
                    <a:xfrm>
                      <a:off x="0" y="0"/>
                      <a:ext cx="5083534" cy="3145536"/>
                    </a:xfrm>
                    <a:prstGeom prst="rect">
                      <a:avLst/>
                    </a:prstGeom>
                  </pic:spPr>
                </pic:pic>
              </a:graphicData>
            </a:graphic>
          </wp:inline>
        </w:drawing>
      </w:r>
    </w:p>
    <w:p w14:paraId="2CAE636C"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4.11a. Enter Grades — choosing the term</w:t>
      </w:r>
      <w:r>
        <w:fldChar w:fldCharType="begin"/>
      </w:r>
      <w:r>
        <w:instrText xml:space="preserve"> TC "Figure 4.11a. Enter Grades — choosing the term" \f f \l 1 </w:instrText>
      </w:r>
      <w:r>
        <w:fldChar w:fldCharType="end"/>
      </w:r>
    </w:p>
    <w:p w14:paraId="392901DF"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7" name="Figure 4.11b" descr="Figure 4.11b. Enter Grades — grade of each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0"/>
                    <a:stretch>
                      <a:fillRect/>
                    </a:stretch>
                  </pic:blipFill>
                  <pic:spPr>
                    <a:xfrm>
                      <a:off x="0" y="0"/>
                      <a:ext cx="5083534" cy="3145536"/>
                    </a:xfrm>
                    <a:prstGeom prst="rect">
                      <a:avLst/>
                    </a:prstGeom>
                  </pic:spPr>
                </pic:pic>
              </a:graphicData>
            </a:graphic>
          </wp:inline>
        </w:drawing>
      </w:r>
    </w:p>
    <w:p w14:paraId="7539A77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4.11b. Enter Grades — grade of each subject</w:t>
      </w:r>
      <w:r>
        <w:fldChar w:fldCharType="begin"/>
      </w:r>
      <w:r>
        <w:instrText xml:space="preserve"> TC "Figure 4.11b. Enter Grades — grade of each subject" \f f \l 1 </w:instrText>
      </w:r>
      <w:r>
        <w:fldChar w:fldCharType="end"/>
      </w:r>
    </w:p>
    <w:p w14:paraId="3FDA902B"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8" name="Figure 4.11c" descr="Figure 4.11c. Enter Grades — confirming the 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1"/>
                    <a:stretch>
                      <a:fillRect/>
                    </a:stretch>
                  </pic:blipFill>
                  <pic:spPr>
                    <a:xfrm>
                      <a:off x="0" y="0"/>
                      <a:ext cx="5083534" cy="3145536"/>
                    </a:xfrm>
                    <a:prstGeom prst="rect">
                      <a:avLst/>
                    </a:prstGeom>
                  </pic:spPr>
                </pic:pic>
              </a:graphicData>
            </a:graphic>
          </wp:inline>
        </w:drawing>
      </w:r>
    </w:p>
    <w:p w14:paraId="3ED998E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4.11c. Enter Grades — confirming the save</w:t>
      </w:r>
      <w:r>
        <w:fldChar w:fldCharType="begin"/>
      </w:r>
      <w:r>
        <w:instrText xml:space="preserve"> TC "Figure 4.11c. Enter Grades — confirming the save" \f f \l 1 </w:instrText>
      </w:r>
      <w:r>
        <w:fldChar w:fldCharType="end"/>
      </w:r>
    </w:p>
    <w:p w14:paraId="3CCC13F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Once the grades are saved, the Audit Engine audits the student's record against the curriculum, and the chairperson views the result as the student's audit report (</w:t>
      </w:r>
      <w:r>
        <w:rPr>
          <w:rFonts w:ascii="Courier New" w:hAnsi="Courier New" w:cs="Courier New"/>
          <w:b/>
          <w:bCs/>
          <w:sz w:val="24"/>
          <w:szCs w:val="24"/>
        </w:rPr>
        <w:t>Figure 4.12</w:t>
      </w:r>
      <w:r>
        <w:rPr>
          <w:rFonts w:ascii="Courier New" w:hAnsi="Courier New" w:cs="Courier New"/>
          <w:sz w:val="24"/>
          <w:szCs w:val="24"/>
        </w:rPr>
        <w:t>). Each subject is listed with its grade, the term in which it was taken and its status: a passed subject is Completed, while a failed one is Available to be retaken (</w:t>
      </w:r>
      <w:r>
        <w:rPr>
          <w:rFonts w:ascii="Courier New" w:hAnsi="Courier New" w:cs="Courier New"/>
          <w:b/>
          <w:bCs/>
          <w:sz w:val="24"/>
          <w:szCs w:val="24"/>
        </w:rPr>
        <w:t>Figure 4.12a</w:t>
      </w:r>
      <w:r>
        <w:rPr>
          <w:rFonts w:ascii="Courier New" w:hAnsi="Courier New" w:cs="Courier New"/>
          <w:sz w:val="24"/>
          <w:szCs w:val="24"/>
        </w:rPr>
        <w:t>). The subjects of the next semester show whether the student may take them: Available when their prerequisites are passed, or Unavailable with the missing prerequisite named (</w:t>
      </w:r>
      <w:r>
        <w:rPr>
          <w:rFonts w:ascii="Courier New" w:hAnsi="Courier New" w:cs="Courier New"/>
          <w:b/>
          <w:bCs/>
          <w:sz w:val="24"/>
          <w:szCs w:val="24"/>
        </w:rPr>
        <w:t>Figure 4.12b</w:t>
      </w:r>
      <w:r>
        <w:rPr>
          <w:rFonts w:ascii="Courier New" w:hAnsi="Courier New" w:cs="Courier New"/>
          <w:sz w:val="24"/>
          <w:szCs w:val="24"/>
        </w:rPr>
        <w:t>). For a student who took a subject before passing its prerequisite, the subject is marked as a Violation with the reason (</w:t>
      </w:r>
      <w:r>
        <w:rPr>
          <w:rFonts w:ascii="Courier New" w:hAnsi="Courier New" w:cs="Courier New"/>
          <w:b/>
          <w:bCs/>
          <w:sz w:val="24"/>
          <w:szCs w:val="24"/>
        </w:rPr>
        <w:t>Figure 4.12c</w:t>
      </w:r>
      <w:r>
        <w:rPr>
          <w:rFonts w:ascii="Courier New" w:hAnsi="Courier New" w:cs="Courier New"/>
          <w:sz w:val="24"/>
          <w:szCs w:val="24"/>
        </w:rPr>
        <w:t xml:space="preserve">). The audit report can also be printed </w:t>
      </w:r>
      <w:r>
        <w:rPr>
          <w:rFonts w:ascii="Courier New" w:hAnsi="Courier New" w:cs="Courier New"/>
          <w:sz w:val="24"/>
          <w:szCs w:val="24"/>
        </w:rPr>
        <w:lastRenderedPageBreak/>
        <w:t>as a student evaluation (</w:t>
      </w:r>
      <w:r>
        <w:rPr>
          <w:rFonts w:ascii="Courier New" w:hAnsi="Courier New" w:cs="Courier New"/>
          <w:b/>
          <w:bCs/>
          <w:sz w:val="24"/>
          <w:szCs w:val="24"/>
        </w:rPr>
        <w:t>Figure 4.12d</w:t>
      </w:r>
      <w:r>
        <w:rPr>
          <w:rFonts w:ascii="Courier New" w:hAnsi="Courier New" w:cs="Courier New"/>
          <w:sz w:val="24"/>
          <w:szCs w:val="24"/>
        </w:rPr>
        <w:t>), which ends the process.</w:t>
      </w:r>
    </w:p>
    <w:p w14:paraId="7C25AA3D"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9" name="Figure 4.12a" descr="Figure 4.12a. Audit Report — first semester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2"/>
                    <a:stretch>
                      <a:fillRect/>
                    </a:stretch>
                  </pic:blipFill>
                  <pic:spPr>
                    <a:xfrm>
                      <a:off x="0" y="0"/>
                      <a:ext cx="5083534" cy="3145536"/>
                    </a:xfrm>
                    <a:prstGeom prst="rect">
                      <a:avLst/>
                    </a:prstGeom>
                  </pic:spPr>
                </pic:pic>
              </a:graphicData>
            </a:graphic>
          </wp:inline>
        </w:drawing>
      </w:r>
    </w:p>
    <w:p w14:paraId="4C00CE03"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4.12a. Audit Report — first semester results</w:t>
      </w:r>
      <w:r>
        <w:fldChar w:fldCharType="begin"/>
      </w:r>
      <w:r>
        <w:instrText xml:space="preserve"> TC "Figure 4.12a. Audit Report — first semester results" \f f \l 1 </w:instrText>
      </w:r>
      <w:r>
        <w:fldChar w:fldCharType="end"/>
      </w:r>
    </w:p>
    <w:p w14:paraId="55EC19A3"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4593406" cy="2842260"/>
            <wp:effectExtent l="0" t="0" r="0" b="0"/>
            <wp:docPr id="9110" name="Figure 4.12b" descr="Figure 4.12b. Audit Report — subjects of the next sem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3"/>
                    <a:stretch>
                      <a:fillRect/>
                    </a:stretch>
                  </pic:blipFill>
                  <pic:spPr>
                    <a:xfrm>
                      <a:off x="0" y="0"/>
                      <a:ext cx="4593406" cy="2842260"/>
                    </a:xfrm>
                    <a:prstGeom prst="rect">
                      <a:avLst/>
                    </a:prstGeom>
                  </pic:spPr>
                </pic:pic>
              </a:graphicData>
            </a:graphic>
          </wp:inline>
        </w:drawing>
      </w:r>
    </w:p>
    <w:p w14:paraId="5DA0662B"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4.12b. Audit Report — subjects of the next semester</w:t>
      </w:r>
      <w:r>
        <w:fldChar w:fldCharType="begin"/>
      </w:r>
      <w:r>
        <w:instrText xml:space="preserve"> TC "Figure 4.12b. Audit Report — subjects of the next semester" \f f \l 1 </w:instrText>
      </w:r>
      <w:r>
        <w:fldChar w:fldCharType="end"/>
      </w:r>
    </w:p>
    <w:p w14:paraId="6D7C654C"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11" name="Figure 4.12c" descr="Figure 4.12c. Audit Report — subject taken out of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4"/>
                    <a:stretch>
                      <a:fillRect/>
                    </a:stretch>
                  </pic:blipFill>
                  <pic:spPr>
                    <a:xfrm>
                      <a:off x="0" y="0"/>
                      <a:ext cx="5083534" cy="3145536"/>
                    </a:xfrm>
                    <a:prstGeom prst="rect">
                      <a:avLst/>
                    </a:prstGeom>
                  </pic:spPr>
                </pic:pic>
              </a:graphicData>
            </a:graphic>
          </wp:inline>
        </w:drawing>
      </w:r>
    </w:p>
    <w:p w14:paraId="5847011B"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4.12c. Audit Report — subject taken out of order</w:t>
      </w:r>
      <w:r>
        <w:fldChar w:fldCharType="begin"/>
      </w:r>
      <w:r>
        <w:instrText xml:space="preserve"> TC "Figure 4.12c. Audit Report — subject taken out of order" \f f \l 1 </w:instrText>
      </w:r>
      <w:r>
        <w:fldChar w:fldCharType="end"/>
      </w:r>
    </w:p>
    <w:p w14:paraId="3702433F"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3807218" cy="3145536"/>
            <wp:effectExtent l="0" t="0" r="0" b="0"/>
            <wp:docPr id="9112" name="Figure 4.12d" descr="Figure 4.12d. Printed Student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5"/>
                    <a:stretch>
                      <a:fillRect/>
                    </a:stretch>
                  </pic:blipFill>
                  <pic:spPr>
                    <a:xfrm>
                      <a:off x="0" y="0"/>
                      <a:ext cx="3807218" cy="3145536"/>
                    </a:xfrm>
                    <a:prstGeom prst="rect">
                      <a:avLst/>
                    </a:prstGeom>
                  </pic:spPr>
                </pic:pic>
              </a:graphicData>
            </a:graphic>
          </wp:inline>
        </w:drawing>
      </w:r>
    </w:p>
    <w:p w14:paraId="6CDAAAF1"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4.12d. Printed Student Evaluation</w:t>
      </w:r>
      <w:r>
        <w:fldChar w:fldCharType="begin"/>
      </w:r>
      <w:r>
        <w:instrText xml:space="preserve"> TC "Figure 4.12d. Printed Student Evaluation" \f f \l 1 </w:instrText>
      </w:r>
      <w:r>
        <w:fldChar w:fldCharType="end"/>
      </w:r>
    </w:p>
    <w:p w14:paraId="1BDCBE56"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Functional Requirements of the Proposed System</w:t>
      </w:r>
      <w:r>
        <w:fldChar w:fldCharType="begin"/>
      </w:r>
      <w:r>
        <w:instrText xml:space="preserve"> TC "Functional Requirements of the Proposed System" \f c \l 2 </w:instrText>
      </w:r>
      <w:r>
        <w:fldChar w:fldCharType="end"/>
      </w:r>
    </w:p>
    <w:p w14:paraId="7E7EBA8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functional requirements state what Auditrix must do for its users. The system shall provide the following:</w:t>
      </w:r>
    </w:p>
    <w:p w14:paraId="5EC71D0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Log in and accounts: </w:t>
      </w:r>
      <w:r>
        <w:rPr>
          <w:rFonts w:ascii="Courier New" w:hAnsi="Courier New" w:cs="Courier New"/>
          <w:sz w:val="24"/>
          <w:szCs w:val="24"/>
        </w:rPr>
        <w:t>Let the Dean and the Program Chairperson log in with their staff accounts, require a new chairperson to replace the temporary password at the first log in, and let each user edit their name and password in Account Settings.</w:t>
      </w:r>
    </w:p>
    <w:p w14:paraId="17B211D4"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Student registration: </w:t>
      </w:r>
      <w:r>
        <w:rPr>
          <w:rFonts w:ascii="Courier New" w:hAnsi="Courier New" w:cs="Courier New"/>
          <w:sz w:val="24"/>
          <w:szCs w:val="24"/>
        </w:rPr>
        <w:t>Register students one at a time or by batch from an Excel or CSV file or the KSU-MIS export, and find students by name or ID number with filters by year level and status.</w:t>
      </w:r>
    </w:p>
    <w:p w14:paraId="2562BBE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Grade entry: </w:t>
      </w:r>
      <w:r>
        <w:rPr>
          <w:rFonts w:ascii="Courier New" w:hAnsi="Courier New" w:cs="Courier New"/>
          <w:sz w:val="24"/>
          <w:szCs w:val="24"/>
        </w:rPr>
        <w:t>Record grades per term using the KSU grade values, including INC and its completion, keep a later grade from being replaced by an earlier one, and keep a logbook of every grade entered or changed.</w:t>
      </w:r>
    </w:p>
    <w:p w14:paraId="57CF1D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Curriculum audit: </w:t>
      </w:r>
      <w:r>
        <w:rPr>
          <w:rFonts w:ascii="Courier New" w:hAnsi="Courier New" w:cs="Courier New"/>
          <w:sz w:val="24"/>
          <w:szCs w:val="24"/>
        </w:rPr>
        <w:t>Audit every subject of the student's curriculum against its prerequisites, co-requisites, year standing and "all subjects completed" requirements, and give each subject one of the five statuses with the reason.</w:t>
      </w:r>
    </w:p>
    <w:p w14:paraId="3FB6301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lastRenderedPageBreak/>
        <w:t xml:space="preserve">Year level and enrollment status: </w:t>
      </w:r>
      <w:r>
        <w:rPr>
          <w:rFonts w:ascii="Courier New" w:hAnsi="Courier New" w:cs="Courier New"/>
          <w:sz w:val="24"/>
          <w:szCs w:val="24"/>
        </w:rPr>
        <w:t>Work out each student's year level from the units passed, allow the chairperson to set it by hand, and classify each student as regular or irregular for the current semester.</w:t>
      </w:r>
    </w:p>
    <w:p w14:paraId="4B6093B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Audit report: </w:t>
      </w:r>
      <w:r>
        <w:rPr>
          <w:rFonts w:ascii="Courier New" w:hAnsi="Courier New" w:cs="Courier New"/>
          <w:sz w:val="24"/>
          <w:szCs w:val="24"/>
        </w:rPr>
        <w:t>Show each student's audit report, flag the subjects taken out of order, and print the student evaluation.</w:t>
      </w:r>
    </w:p>
    <w:p w14:paraId="530EA7E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Curriculum management: </w:t>
      </w:r>
      <w:r>
        <w:rPr>
          <w:rFonts w:ascii="Courier New" w:hAnsi="Courier New" w:cs="Courier New"/>
          <w:sz w:val="24"/>
          <w:szCs w:val="24"/>
        </w:rPr>
        <w:t>Keep curriculum versions with their subjects and requirements, import a curriculum with a preview of the changes, export a version to CSV or PDF, and keep a history of the changes.</w:t>
      </w:r>
    </w:p>
    <w:p w14:paraId="744BD7A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Student movements: </w:t>
      </w:r>
      <w:r>
        <w:rPr>
          <w:rFonts w:ascii="Courier New" w:hAnsi="Courier New" w:cs="Courier New"/>
          <w:sz w:val="24"/>
          <w:szCs w:val="24"/>
        </w:rPr>
        <w:t>Record shifts, transfers and drops with a history for each student, lock the records of dropped and transferred-out students, and reopen a record when a student returns.</w:t>
      </w:r>
    </w:p>
    <w:p w14:paraId="1C9DFFBC"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Dashboard: </w:t>
      </w:r>
      <w:r>
        <w:rPr>
          <w:rFonts w:ascii="Courier New" w:hAnsi="Courier New" w:cs="Courier New"/>
          <w:sz w:val="24"/>
          <w:szCs w:val="24"/>
        </w:rPr>
        <w:t>Summarize each program and list what needs attention, such as students with violations, and let the Dean set the current semester and compare the programs of the college.</w:t>
      </w:r>
    </w:p>
    <w:p w14:paraId="74689AB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College administration: </w:t>
      </w:r>
      <w:r>
        <w:rPr>
          <w:rFonts w:ascii="Courier New" w:hAnsi="Courier New" w:cs="Courier New"/>
          <w:sz w:val="24"/>
          <w:szCs w:val="24"/>
        </w:rPr>
        <w:t xml:space="preserve">Let the Dean create programs with their chairperson accounts, reassign chairpersons, </w:t>
      </w:r>
      <w:r>
        <w:rPr>
          <w:rFonts w:ascii="Courier New" w:hAnsi="Courier New" w:cs="Courier New"/>
          <w:sz w:val="24"/>
          <w:szCs w:val="24"/>
        </w:rPr>
        <w:lastRenderedPageBreak/>
        <w:t>split the college, and hand the deanship over to a successor.</w:t>
      </w:r>
    </w:p>
    <w:p w14:paraId="4D93762D"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2D29712B" w14:textId="6D9CE0C2"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sidR="001A447A">
        <w:rPr>
          <w:rFonts w:ascii="Courier New" w:hAnsi="Courier New" w:cs="Courier New"/>
          <w:sz w:val="24"/>
          <w:szCs w:val="24"/>
        </w:rPr>
        <w:t>The</w:t>
      </w:r>
      <w:r>
        <w:rPr>
          <w:rFonts w:ascii="Courier New" w:hAnsi="Courier New" w:cs="Courier New"/>
          <w:sz w:val="24"/>
          <w:szCs w:val="24"/>
        </w:rPr>
        <w:t xml:space="preserve"> Audit Engine implements the prerequisite, co-requisite, year-standing and "all subjects completed" rules of the KSU Student Handbook and Operations Manual, verified by 163 automated tests.</w:t>
      </w:r>
    </w:p>
    <w:p w14:paraId="29E749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 the database itself refuses grades that are not KSU grades and changes to locked records.</w:t>
      </w:r>
    </w:p>
    <w:p w14:paraId="290611E3"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68E90CF3"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 xml:space="preserve">the interface uses one consistent design with confirmation dialogs and notifications; access is role-scoped via RLS, and new chairpersons must replace their temporary password at </w:t>
      </w:r>
      <w:r>
        <w:rPr>
          <w:rFonts w:ascii="Courier New" w:hAnsi="Courier New" w:cs="Courier New"/>
          <w:sz w:val="24"/>
          <w:szCs w:val="24"/>
        </w:rPr>
        <w:lastRenderedPageBreak/>
        <w:t>first login; every page checks the user's role, users are signed out after 30 minutes without activity, and an account is blocked for 15 minutes after five wrong passwords.</w:t>
      </w:r>
    </w:p>
    <w:p w14:paraId="4FA2BE2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31661CB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57367428" w14:textId="5915EEB1" w:rsidR="003B1F7A" w:rsidRDefault="003B1F7A">
      <w:pPr>
        <w:spacing w:line="480" w:lineRule="auto"/>
        <w:ind w:firstLine="720"/>
        <w:jc w:val="both"/>
        <w:rPr>
          <w:rFonts w:ascii="Courier New" w:hAnsi="Courier New" w:cs="Courier New"/>
          <w:sz w:val="24"/>
          <w:szCs w:val="24"/>
        </w:rPr>
      </w:pPr>
    </w:p>
    <w:p w14:paraId="1FF4D4ED" w14:textId="332B0CBA" w:rsidR="005D7A48" w:rsidRDefault="00000000" w:rsidP="001A447A">
      <w:pPr>
        <w:spacing w:before="120" w:line="480" w:lineRule="auto"/>
        <w:jc w:val="center"/>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0E994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Auditrix is to be evaluated by the Program Chairpersons and selected IT experts using a printed (paper-based) questionnaire built on the ISO/IEC 25010 software quality model, with each characteristic mapped to a specific part of the system. Responses will be analyzed using the Weighted Mean. Table 4.3 </w:t>
      </w:r>
      <w:r>
        <w:rPr>
          <w:rFonts w:ascii="Courier New" w:hAnsi="Courier New" w:cs="Courier New"/>
          <w:sz w:val="24"/>
          <w:szCs w:val="24"/>
        </w:rPr>
        <w:lastRenderedPageBreak/>
        <w:t>will present the extent of compliance per quality characteristic.</w:t>
      </w:r>
    </w:p>
    <w:tbl>
      <w:tblPr>
        <w:tblStyle w:val="TableGrid"/>
        <w:tblW w:w="0" w:type="auto"/>
        <w:tblLook w:val="04A0" w:firstRow="1" w:lastRow="0" w:firstColumn="1" w:lastColumn="0" w:noHBand="0" w:noVBand="1"/>
      </w:tblPr>
      <w:tblGrid>
        <w:gridCol w:w="2400"/>
        <w:gridCol w:w="2629"/>
        <w:gridCol w:w="1370"/>
        <w:gridCol w:w="2233"/>
      </w:tblGrid>
      <w:tr w:rsidR="005D7A48" w14:paraId="30359B5F" w14:textId="77777777">
        <w:trPr>
          <w:cantSplit/>
          <w:tblHeader/>
        </w:trPr>
        <w:tc>
          <w:tcPr>
            <w:tcW w:w="2400" w:type="dxa"/>
          </w:tcPr>
          <w:p w14:paraId="2916367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Quality Characteristic</w:t>
            </w:r>
          </w:p>
        </w:tc>
        <w:tc>
          <w:tcPr>
            <w:tcW w:w="2629" w:type="dxa"/>
          </w:tcPr>
          <w:p w14:paraId="54351B6C"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370" w:type="dxa"/>
          </w:tcPr>
          <w:p w14:paraId="1469D90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3" w:type="dxa"/>
          </w:tcPr>
          <w:p w14:paraId="3BB880E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14988BF8" w14:textId="77777777">
        <w:trPr>
          <w:cantSplit/>
        </w:trPr>
        <w:tc>
          <w:tcPr>
            <w:tcW w:w="2400" w:type="dxa"/>
          </w:tcPr>
          <w:p w14:paraId="13965E9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629" w:type="dxa"/>
          </w:tcPr>
          <w:p w14:paraId="0AB84B0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370" w:type="dxa"/>
          </w:tcPr>
          <w:p w14:paraId="5B22586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4FA5541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7D35ED5" w14:textId="77777777">
        <w:trPr>
          <w:cantSplit/>
        </w:trPr>
        <w:tc>
          <w:tcPr>
            <w:tcW w:w="2400" w:type="dxa"/>
          </w:tcPr>
          <w:p w14:paraId="3B3E5BB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629" w:type="dxa"/>
          </w:tcPr>
          <w:p w14:paraId="6252802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370" w:type="dxa"/>
          </w:tcPr>
          <w:p w14:paraId="120A7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36C5A8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1DC6EBD" w14:textId="77777777">
        <w:trPr>
          <w:cantSplit/>
        </w:trPr>
        <w:tc>
          <w:tcPr>
            <w:tcW w:w="2400" w:type="dxa"/>
          </w:tcPr>
          <w:p w14:paraId="62EA003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629" w:type="dxa"/>
          </w:tcPr>
          <w:p w14:paraId="461670C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370" w:type="dxa"/>
          </w:tcPr>
          <w:p w14:paraId="65F2653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1F224C7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49A353C3" w14:textId="77777777">
        <w:trPr>
          <w:cantSplit/>
        </w:trPr>
        <w:tc>
          <w:tcPr>
            <w:tcW w:w="2400" w:type="dxa"/>
          </w:tcPr>
          <w:p w14:paraId="009105A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629" w:type="dxa"/>
          </w:tcPr>
          <w:p w14:paraId="5692ABF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370" w:type="dxa"/>
          </w:tcPr>
          <w:p w14:paraId="53DBFA7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392488D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0A5311" w14:textId="77777777">
        <w:trPr>
          <w:cantSplit/>
        </w:trPr>
        <w:tc>
          <w:tcPr>
            <w:tcW w:w="2400" w:type="dxa"/>
          </w:tcPr>
          <w:p w14:paraId="19D132A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629" w:type="dxa"/>
          </w:tcPr>
          <w:p w14:paraId="0990660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370" w:type="dxa"/>
          </w:tcPr>
          <w:p w14:paraId="03A76A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48B7D8F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3CBB9F3" w14:textId="77777777">
        <w:trPr>
          <w:cantSplit/>
        </w:trPr>
        <w:tc>
          <w:tcPr>
            <w:tcW w:w="2400" w:type="dxa"/>
          </w:tcPr>
          <w:p w14:paraId="372191E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629" w:type="dxa"/>
          </w:tcPr>
          <w:p w14:paraId="1DE67BB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370" w:type="dxa"/>
          </w:tcPr>
          <w:p w14:paraId="2E251BE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60AC79D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6357A88" w14:textId="77777777">
        <w:trPr>
          <w:cantSplit/>
        </w:trPr>
        <w:tc>
          <w:tcPr>
            <w:tcW w:w="2400" w:type="dxa"/>
          </w:tcPr>
          <w:p w14:paraId="49A96EA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629" w:type="dxa"/>
          </w:tcPr>
          <w:p w14:paraId="0405D7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370" w:type="dxa"/>
          </w:tcPr>
          <w:p w14:paraId="6F2FE2B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1B1A2CC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625E75C4" w14:textId="77777777">
        <w:trPr>
          <w:cantSplit/>
        </w:trPr>
        <w:tc>
          <w:tcPr>
            <w:tcW w:w="2400" w:type="dxa"/>
          </w:tcPr>
          <w:p w14:paraId="5CAA86E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629" w:type="dxa"/>
          </w:tcPr>
          <w:p w14:paraId="1505268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370" w:type="dxa"/>
          </w:tcPr>
          <w:p w14:paraId="01A4CDA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2A71949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C541B6C" w14:textId="77777777">
        <w:trPr>
          <w:cantSplit/>
        </w:trPr>
        <w:tc>
          <w:tcPr>
            <w:tcW w:w="2400" w:type="dxa"/>
          </w:tcPr>
          <w:p w14:paraId="5CD8D0C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Safety</w:t>
            </w:r>
          </w:p>
        </w:tc>
        <w:tc>
          <w:tcPr>
            <w:tcW w:w="2629" w:type="dxa"/>
          </w:tcPr>
          <w:p w14:paraId="04CE7275"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370" w:type="dxa"/>
          </w:tcPr>
          <w:p w14:paraId="7F09B842"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32EEC0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11ACC2B9"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4.3. Extent of Compliance of Auditrix with ISO/IEC 25010</w:t>
      </w:r>
      <w:r>
        <w:fldChar w:fldCharType="begin"/>
      </w:r>
      <w:r>
        <w:instrText xml:space="preserve"> TC "Table 4.3. Extent of Compliance of Auditrix with ISO/IEC 25010" \f t \l 1 </w:instrText>
      </w:r>
      <w:r>
        <w:fldChar w:fldCharType="end"/>
      </w:r>
    </w:p>
    <w:p w14:paraId="2BB6E76F" w14:textId="77777777" w:rsidR="00094483" w:rsidRDefault="00000000">
      <w:pPr>
        <w:pageBreakBefore/>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22D957F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Alugar, R., &amp; Itaas,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07100230" w14:textId="77777777" w:rsidR="00094483"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0C30970D" w14:textId="77777777" w:rsidR="00094483"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3F1F7642"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3508A615"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Halover,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27D840E2"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2E3DDBFE"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Largoza,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162D7A77"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69BFDCE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00897FAE"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35F3E4D1"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689DFF0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104D20A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Miña, L. M., Bercasio, R. R. O., &amp; Llenaresas,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79E9BB11"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16BA81AD" w14:textId="77777777" w:rsidR="00094483"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0C0D7F2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 xml:space="preserve">(SQuaRE)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7CD2A7B8" w14:textId="77777777" w:rsidR="00094483"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Akari Software. (2023). </w:t>
      </w:r>
    </w:p>
    <w:p w14:paraId="3879276B"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46" w:tgtFrame="_blank" w:history="1">
        <w:r w:rsidR="00094483">
          <w:rPr>
            <w:rFonts w:ascii="Courier New" w:hAnsi="Courier New" w:cs="Courier New"/>
            <w:sz w:val="24"/>
            <w:szCs w:val="24"/>
          </w:rPr>
          <w:t>https://akarisoftware.com/curriculum-management-software-</w:t>
        </w:r>
        <w:r w:rsidR="00094483">
          <w:rPr>
            <w:rFonts w:ascii="Courier New" w:hAnsi="Courier New" w:cs="Courier New"/>
            <w:sz w:val="24"/>
            <w:szCs w:val="24"/>
            <w:lang w:val="en-US"/>
          </w:rPr>
          <w:tab/>
        </w:r>
        <w:r w:rsidR="00094483">
          <w:rPr>
            <w:rFonts w:ascii="Courier New" w:hAnsi="Courier New" w:cs="Courier New"/>
            <w:sz w:val="24"/>
            <w:szCs w:val="24"/>
          </w:rPr>
          <w:t>guide/</w:t>
        </w:r>
      </w:hyperlink>
    </w:p>
    <w:p w14:paraId="1AEA0B2A"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lastRenderedPageBreak/>
        <w:t xml:space="preserve">Akulova, B., Tashtobaeva, B., Vassilev, T., &amp; Koychumanov, B. (2025). </w:t>
      </w:r>
    </w:p>
    <w:p w14:paraId="1FBB1530"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67289E7D"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47" w:tgtFrame="_blank" w:history="1">
        <w:r w:rsidR="00094483">
          <w:rPr>
            <w:rFonts w:ascii="Courier New" w:hAnsi="Courier New" w:cs="Courier New"/>
            <w:i/>
            <w:iCs/>
            <w:color w:val="0000FF"/>
            <w:sz w:val="24"/>
            <w:szCs w:val="24"/>
          </w:rPr>
          <w:t>https://doi.org/10.1109/ICAI63830.2025.00045</w:t>
        </w:r>
      </w:hyperlink>
    </w:p>
    <w:p w14:paraId="1C55094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Al-Fedaghi, S., &amp; Al-Muhanna, A. (2022). </w:t>
      </w:r>
    </w:p>
    <w:p w14:paraId="05511FBE" w14:textId="77777777" w:rsidR="00094483"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48" w:tgtFrame="_blank" w:history="1">
        <w:r w:rsidR="00094483">
          <w:rPr>
            <w:rFonts w:ascii="Courier New" w:hAnsi="Courier New" w:cs="Courier New"/>
            <w:color w:val="0000FF"/>
            <w:sz w:val="24"/>
            <w:szCs w:val="24"/>
          </w:rPr>
          <w:t>https://doi.org/10.1007/s10639-021-10650-3</w:t>
        </w:r>
      </w:hyperlink>
    </w:p>
    <w:p w14:paraId="143B6BAE"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programme accreditation instruments. </w:t>
      </w:r>
      <w:r>
        <w:rPr>
          <w:rFonts w:ascii="Courier New" w:hAnsi="Courier New" w:cs="Courier New"/>
          <w:sz w:val="24"/>
          <w:szCs w:val="24"/>
          <w:lang w:val="en-US" w:eastAsia="zh-CN"/>
        </w:rPr>
        <w:tab/>
        <w:t xml:space="preserve">Sinkron: Jurnal dan Penelitian Teknik Informatika, 8(3), </w:t>
      </w:r>
      <w:r>
        <w:rPr>
          <w:rFonts w:ascii="Courier New" w:hAnsi="Courier New" w:cs="Courier New"/>
          <w:sz w:val="24"/>
          <w:szCs w:val="24"/>
          <w:lang w:val="en-US" w:eastAsia="zh-CN"/>
        </w:rPr>
        <w:tab/>
        <w:t xml:space="preserve">1917-1926. </w:t>
      </w:r>
      <w:hyperlink r:id="rId49" w:tgtFrame="_blank" w:history="1">
        <w:r w:rsidR="00094483">
          <w:rPr>
            <w:rFonts w:ascii="Courier New" w:hAnsi="Courier New" w:cs="Courier New"/>
            <w:sz w:val="24"/>
            <w:szCs w:val="24"/>
          </w:rPr>
          <w:t>https://doi.org/10.33395/sinkron.v8i3.12799</w:t>
        </w:r>
      </w:hyperlink>
    </w:p>
    <w:p w14:paraId="469EB9C4"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52497FF3"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50" w:tgtFrame="_blank" w:history="1">
        <w:r w:rsidR="00094483">
          <w:rPr>
            <w:rFonts w:ascii="Courier New" w:hAnsi="Courier New" w:cs="Courier New"/>
            <w:i/>
            <w:iCs/>
            <w:color w:val="0000FF"/>
            <w:sz w:val="24"/>
            <w:szCs w:val="24"/>
          </w:rPr>
          <w:t>https://doi.org/10.22190/FUTLTeD2302165J</w:t>
        </w:r>
      </w:hyperlink>
    </w:p>
    <w:p w14:paraId="68BE6EC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6CABEE6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51" w:tgtFrame="_blank" w:history="1">
        <w:r w:rsidR="00094483">
          <w:rPr>
            <w:rFonts w:ascii="Courier New" w:hAnsi="Courier New" w:cs="Courier New"/>
            <w:sz w:val="24"/>
            <w:szCs w:val="24"/>
          </w:rPr>
          <w:t>https://doi.org/10.20853/37-1-5675</w:t>
        </w:r>
      </w:hyperlink>
    </w:p>
    <w:p w14:paraId="1AE4DA47"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Nurkadri, N., Srisudarso, M., &amp; Pratama, I. G. L. (2024). </w:t>
      </w:r>
    </w:p>
    <w:p w14:paraId="5896A3F1"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52" w:tgtFrame="_blank" w:history="1">
        <w:r w:rsidR="00094483">
          <w:rPr>
            <w:rFonts w:ascii="Courier New" w:hAnsi="Courier New" w:cs="Courier New"/>
            <w:i/>
            <w:iCs/>
            <w:color w:val="0000FF"/>
            <w:sz w:val="24"/>
            <w:szCs w:val="24"/>
          </w:rPr>
          <w:t>https://doi.org/10.23887/jere.v8i1.12345</w:t>
        </w:r>
      </w:hyperlink>
    </w:p>
    <w:p w14:paraId="261C3FB3"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Oware, E. N., &amp; Mokoena, S. (2025). </w:t>
      </w:r>
    </w:p>
    <w:p w14:paraId="24C48621"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53" w:tgtFrame="_blank" w:history="1">
        <w:r w:rsidR="00094483">
          <w:rPr>
            <w:rFonts w:ascii="Courier New" w:hAnsi="Courier New" w:cs="Courier New"/>
            <w:i/>
            <w:iCs/>
            <w:color w:val="0000FF"/>
            <w:sz w:val="24"/>
            <w:szCs w:val="24"/>
          </w:rPr>
          <w:t>https://doi.org/10.3389/feduc.2025.1673932</w:t>
        </w:r>
      </w:hyperlink>
    </w:p>
    <w:p w14:paraId="225A5A23"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7F40A264"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t xml:space="preserve">education:Case studies. QAA. </w:t>
      </w:r>
      <w:r>
        <w:rPr>
          <w:rFonts w:ascii="Courier New" w:hAnsi="Courier New" w:cs="Courier New"/>
          <w:sz w:val="24"/>
          <w:szCs w:val="24"/>
          <w:lang w:val="en-US" w:eastAsia="zh-CN"/>
        </w:rPr>
        <w:tab/>
      </w:r>
      <w:r>
        <w:rPr>
          <w:rFonts w:ascii="Courier New" w:hAnsi="Courier New" w:cs="Courier New"/>
          <w:sz w:val="24"/>
          <w:szCs w:val="24"/>
          <w:lang w:val="en-US" w:eastAsia="zh-CN"/>
        </w:rPr>
        <w:tab/>
      </w:r>
      <w:hyperlink r:id="rId54" w:tgtFrame="_blank" w:history="1">
        <w:r w:rsidR="00094483">
          <w:rPr>
            <w:rFonts w:ascii="Courier New" w:hAnsi="Courier New" w:cs="Courier New"/>
            <w:i/>
            <w:iCs/>
            <w:color w:val="0000FF"/>
            <w:sz w:val="24"/>
            <w:szCs w:val="24"/>
          </w:rPr>
          <w:t>https://www.qaa.ac.uk/membership/benefits-of-qaa-</w:t>
        </w:r>
        <w:r w:rsidR="00094483">
          <w:rPr>
            <w:rFonts w:ascii="Courier New" w:hAnsi="Courier New" w:cs="Courier New"/>
            <w:i/>
            <w:iCs/>
            <w:color w:val="0000FF"/>
            <w:sz w:val="24"/>
            <w:szCs w:val="24"/>
            <w:lang w:val="en-US"/>
          </w:rPr>
          <w:tab/>
        </w:r>
        <w:r w:rsidR="00094483">
          <w:rPr>
            <w:rFonts w:ascii="Courier New" w:hAnsi="Courier New" w:cs="Courier New"/>
            <w:i/>
            <w:iCs/>
            <w:color w:val="0000FF"/>
            <w:sz w:val="24"/>
            <w:szCs w:val="24"/>
          </w:rPr>
          <w:t>membership/collaborative-enhancement-projects</w:t>
        </w:r>
      </w:hyperlink>
    </w:p>
    <w:p w14:paraId="6DA2C09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17C2B720"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lastRenderedPageBreak/>
        <w:t xml:space="preserve">A web-based student learning outcome assessment system for secondary education: Design, development, and empirical evaluation. Ceddi Journal of Education, 4(2), 33-41. </w:t>
      </w:r>
      <w:hyperlink r:id="rId55" w:tgtFrame="_blank" w:history="1">
        <w:r w:rsidR="00094483">
          <w:rPr>
            <w:rFonts w:ascii="Courier New" w:hAnsi="Courier New" w:cs="Courier New"/>
            <w:sz w:val="24"/>
            <w:szCs w:val="24"/>
          </w:rPr>
          <w:t>https://doi.org/10.56134/cje.v4i2.157</w:t>
        </w:r>
      </w:hyperlink>
    </w:p>
    <w:p w14:paraId="23F7F38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Saeed, S., Almuhaideb, A. M., Bamarouf, Y. A., &amp; Al-Malaise Al-Ghamdi, A. (2021).</w:t>
      </w:r>
      <w:r>
        <w:rPr>
          <w:rFonts w:ascii="Courier New" w:hAnsi="Courier New" w:cs="Courier New"/>
          <w:sz w:val="24"/>
          <w:szCs w:val="24"/>
          <w:lang w:val="en-US" w:eastAsia="zh-CN"/>
        </w:rPr>
        <w:t xml:space="preserve"> </w:t>
      </w:r>
    </w:p>
    <w:p w14:paraId="7A45947F"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56" w:tgtFrame="_blank" w:history="1">
        <w:r w:rsidR="00094483">
          <w:rPr>
            <w:rFonts w:ascii="Courier New" w:hAnsi="Courier New" w:cs="Courier New"/>
            <w:sz w:val="24"/>
            <w:szCs w:val="24"/>
          </w:rPr>
          <w:t>https://doi.org/10.3390/ijerph182312691</w:t>
        </w:r>
      </w:hyperlink>
    </w:p>
    <w:p w14:paraId="5A5EB6E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Salleh, S. F., Ujir, H., Sapawi,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57" w:tgtFrame="_blank" w:history="1">
        <w:r w:rsidR="00094483">
          <w:rPr>
            <w:rFonts w:ascii="Courier New" w:hAnsi="Courier New" w:cs="Courier New"/>
            <w:sz w:val="24"/>
            <w:szCs w:val="24"/>
          </w:rPr>
          <w:t>https://doi.org/10.11591/ijere.v9i1.20418</w:t>
        </w:r>
      </w:hyperlink>
    </w:p>
    <w:p w14:paraId="7E9BDC56"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Taufiqurrahman, Junaedy, &amp; Syarifuddin,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58" w:tgtFrame="_blank" w:history="1">
        <w:r w:rsidR="00094483">
          <w:rPr>
            <w:rFonts w:ascii="Courier New" w:hAnsi="Courier New" w:cs="Courier New"/>
            <w:sz w:val="24"/>
            <w:szCs w:val="24"/>
          </w:rPr>
          <w:t>https://doi.org/10.47776/nuai.v1i2.1663</w:t>
        </w:r>
      </w:hyperlink>
    </w:p>
    <w:p w14:paraId="3C60CB5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6865013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59" w:tgtFrame="_blank" w:history="1">
        <w:r w:rsidR="00094483">
          <w:rPr>
            <w:rFonts w:ascii="Courier New" w:hAnsi="Courier New" w:cs="Courier New"/>
            <w:sz w:val="24"/>
            <w:szCs w:val="24"/>
          </w:rPr>
          <w:t>https://www.watermarkinsights.com/solutions/planning-self-study/</w:t>
        </w:r>
      </w:hyperlink>
    </w:p>
    <w:p w14:paraId="05EBD766"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43B31DAD"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60" w:tgtFrame="_blank" w:history="1">
        <w:r w:rsidR="00094483">
          <w:rPr>
            <w:rFonts w:ascii="Courier New" w:hAnsi="Courier New" w:cs="Courier New"/>
            <w:sz w:val="24"/>
            <w:szCs w:val="24"/>
          </w:rPr>
          <w:t>https://doi.org/10.46827/ejmms.v8i2.1441</w:t>
        </w:r>
      </w:hyperlink>
    </w:p>
    <w:p w14:paraId="4986437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3ED759B1"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61" w:tgtFrame="_blank" w:history="1">
        <w:r w:rsidR="00094483">
          <w:rPr>
            <w:rFonts w:ascii="Courier New" w:hAnsi="Courier New" w:cs="Courier New"/>
            <w:sz w:val="24"/>
            <w:szCs w:val="24"/>
          </w:rPr>
          <w:t>https://www.sajst.org/online/index.php/sajst/article/view/157</w:t>
        </w:r>
      </w:hyperlink>
    </w:p>
    <w:p w14:paraId="6698A1E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088738F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62" w:tgtFrame="_blank" w:history="1">
        <w:r w:rsidR="00094483">
          <w:rPr>
            <w:rFonts w:ascii="Courier New" w:hAnsi="Courier New" w:cs="Courier New"/>
            <w:sz w:val="24"/>
            <w:szCs w:val="24"/>
          </w:rPr>
          <w:t>http://www.pnuresearchportal.org/wp-content/uploads/2015/08/Handbook-on-Typology-Outcomes.pdf</w:t>
        </w:r>
      </w:hyperlink>
    </w:p>
    <w:p w14:paraId="46A20C3D"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Commission on Higher Education. (2012).</w:t>
      </w:r>
      <w:r>
        <w:rPr>
          <w:rFonts w:ascii="Courier New" w:hAnsi="Courier New" w:cs="Courier New"/>
          <w:sz w:val="24"/>
          <w:szCs w:val="24"/>
          <w:lang w:val="en-US" w:eastAsia="zh-CN"/>
        </w:rPr>
        <w:t xml:space="preserve"> </w:t>
      </w:r>
    </w:p>
    <w:p w14:paraId="51BC6131"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CMO No. 46, Series of 2012: Policy-standard to enhance quality assurance (QA) in Philippine higher education. CHED.</w:t>
      </w:r>
    </w:p>
    <w:p w14:paraId="42E9774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1190EC61"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(NatPlan) 2026-2035. Republic of the Philippines.</w:t>
      </w:r>
    </w:p>
    <w:p w14:paraId="7FC91110"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Guimaras State University. (2025).</w:t>
      </w:r>
      <w:r>
        <w:rPr>
          <w:rFonts w:ascii="Courier New" w:hAnsi="Courier New" w:cs="Courier New"/>
          <w:sz w:val="24"/>
          <w:szCs w:val="24"/>
          <w:lang w:val="en-US" w:eastAsia="zh-CN"/>
        </w:rPr>
        <w:t xml:space="preserve"> </w:t>
      </w:r>
    </w:p>
    <w:p w14:paraId="5FA08C1F"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63" w:tgtFrame="_blank" w:history="1">
        <w:r w:rsidR="00094483">
          <w:rPr>
            <w:rFonts w:ascii="Courier New" w:hAnsi="Courier New" w:cs="Courier New"/>
            <w:i/>
            <w:iCs/>
            <w:color w:val="0000FF"/>
            <w:sz w:val="24"/>
            <w:szCs w:val="24"/>
          </w:rPr>
          <w:t>https://www.gsu.edu.ph/quality-assurance/</w:t>
        </w:r>
      </w:hyperlink>
    </w:p>
    <w:p w14:paraId="2D2C5E19"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1A22C0F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64" w:tgtFrame="_blank" w:history="1">
        <w:r w:rsidR="00094483">
          <w:rPr>
            <w:rFonts w:ascii="Courier New" w:hAnsi="Courier New" w:cs="Courier New"/>
            <w:i/>
            <w:iCs/>
            <w:color w:val="0000FF"/>
            <w:sz w:val="24"/>
            <w:szCs w:val="24"/>
          </w:rPr>
          <w:t>https://doi.org/10.9734/ajess/2024/v50/111641</w:t>
        </w:r>
      </w:hyperlink>
    </w:p>
    <w:p w14:paraId="4250D1E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3191DB38"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65" w:tgtFrame="_blank" w:history="1">
        <w:r w:rsidR="00094483">
          <w:rPr>
            <w:rFonts w:ascii="Courier New" w:hAnsi="Courier New" w:cs="Courier New"/>
            <w:i/>
            <w:iCs/>
            <w:color w:val="0000FF"/>
            <w:sz w:val="24"/>
            <w:szCs w:val="24"/>
          </w:rPr>
          <w:t>https://doi.org/10.37394/232015.2021.17.11</w:t>
        </w:r>
      </w:hyperlink>
    </w:p>
    <w:p w14:paraId="4393CBAF"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Necosia, R. I. M. T., &amp; Sealza, I. S. (2024).</w:t>
      </w:r>
    </w:p>
    <w:p w14:paraId="17F9D856"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66" w:tgtFrame="_blank" w:history="1">
        <w:r w:rsidR="00094483">
          <w:rPr>
            <w:rFonts w:ascii="Courier New" w:hAnsi="Courier New" w:cs="Courier New"/>
            <w:i/>
            <w:iCs/>
            <w:color w:val="0000FF"/>
            <w:sz w:val="24"/>
            <w:szCs w:val="24"/>
          </w:rPr>
          <w:t>https://doi.org/10.69569/jip.2024.0036</w:t>
        </w:r>
      </w:hyperlink>
    </w:p>
    <w:p w14:paraId="66ED13F6"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67" w:tgtFrame="_blank" w:history="1">
        <w:r w:rsidR="00094483">
          <w:rPr>
            <w:rFonts w:ascii="Courier New" w:hAnsi="Courier New" w:cs="Courier New"/>
            <w:i/>
            <w:iCs/>
            <w:color w:val="0000FF"/>
            <w:sz w:val="24"/>
            <w:szCs w:val="24"/>
          </w:rPr>
          <w:t>https://pidswebs.pids.gov.ph/CDN/document/pidsdps2441.pdf</w:t>
        </w:r>
      </w:hyperlink>
    </w:p>
    <w:p w14:paraId="3023B177"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645BE7B0"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68" w:tgtFrame="_blank" w:history="1">
        <w:r w:rsidR="00094483">
          <w:rPr>
            <w:rFonts w:ascii="Courier New" w:hAnsi="Courier New" w:cs="Courier New"/>
            <w:i/>
            <w:iCs/>
            <w:color w:val="0000FF"/>
            <w:sz w:val="24"/>
            <w:szCs w:val="24"/>
          </w:rPr>
          <w:t>https://doi.org/10.69569/jip.2025.0042</w:t>
        </w:r>
      </w:hyperlink>
    </w:p>
    <w:p w14:paraId="34D43363"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4BC43EBF"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Batas Pambansa Blg. 232: Education Act of 1982.</w:t>
      </w:r>
    </w:p>
    <w:p w14:paraId="42A800CD"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42338307"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69" w:tgtFrame="_blank" w:history="1">
        <w:r w:rsidR="00094483">
          <w:rPr>
            <w:rFonts w:ascii="Courier New" w:hAnsi="Courier New" w:cs="Courier New"/>
            <w:i/>
            <w:iCs/>
            <w:color w:val="0000FF"/>
            <w:sz w:val="24"/>
            <w:szCs w:val="24"/>
          </w:rPr>
          <w:t>https://doi.org/10.2139/ssrn.4735068</w:t>
        </w:r>
      </w:hyperlink>
    </w:p>
    <w:p w14:paraId="4D36731E"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Surigao State College of Technology. (2025).</w:t>
      </w:r>
      <w:r>
        <w:rPr>
          <w:rFonts w:ascii="Courier New" w:hAnsi="Courier New" w:cs="Courier New"/>
          <w:sz w:val="24"/>
          <w:szCs w:val="24"/>
          <w:lang w:val="en-US" w:eastAsia="zh-CN"/>
        </w:rPr>
        <w:t xml:space="preserve"> </w:t>
      </w:r>
    </w:p>
    <w:p w14:paraId="3CEB1BFE"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General Education Program Curriculum Map: Outcomes-Based Education Framework. </w:t>
      </w:r>
      <w:hyperlink r:id="rId70" w:tgtFrame="_blank" w:history="1">
        <w:r w:rsidR="00094483">
          <w:rPr>
            <w:rFonts w:ascii="Courier New" w:hAnsi="Courier New" w:cs="Courier New"/>
            <w:i/>
            <w:iCs/>
            <w:color w:val="0000FF"/>
            <w:sz w:val="24"/>
            <w:szCs w:val="24"/>
          </w:rPr>
          <w:t>https://www.scribd.com/document/841955371/Final-OBE-PEO-Map-PO-Map-Curriculum-Map-Course-Outcome-Map-GenEd</w:t>
        </w:r>
      </w:hyperlink>
    </w:p>
    <w:p w14:paraId="229DADC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71" w:tgtFrame="_blank" w:history="1">
        <w:r w:rsidR="00094483">
          <w:rPr>
            <w:rFonts w:ascii="Courier New" w:hAnsi="Courier New" w:cs="Courier New"/>
            <w:i/>
            <w:iCs/>
            <w:color w:val="0000FF"/>
            <w:sz w:val="24"/>
            <w:szCs w:val="24"/>
          </w:rPr>
          <w:t>https://documents1.worldbank.org/curated/en/099925001062333685/pdf/P17757402843a10c90b3e30308406a38304.pdf</w:t>
        </w:r>
      </w:hyperlink>
    </w:p>
    <w:p w14:paraId="162152BD"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(2020). Student handbook (2020 ed.). Kalinga State University.</w:t>
      </w:r>
    </w:p>
    <w:p w14:paraId="176FD828"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w:t>
      </w:r>
      <w:r>
        <w:rPr>
          <w:rFonts w:ascii="Courier New" w:hAnsi="Courier New" w:cs="Courier New"/>
          <w:sz w:val="24"/>
          <w:szCs w:val="24"/>
          <w:lang w:val="en-US" w:eastAsia="zh-CN"/>
        </w:rPr>
        <w:t xml:space="preserve"> Operations manual: Student development services &amp; placement guide. Kalinga State University.</w:t>
      </w:r>
    </w:p>
    <w:sectPr w:rsidR="003B1F7A" w:rsidSect="00D42FC3">
      <w:headerReference w:type="default" r:id="rId72"/>
      <w:headerReference w:type="first" r:id="rId73"/>
      <w:pgSz w:w="12240" w:h="15840"/>
      <w:pgMar w:top="1440" w:right="1440" w:bottom="1440" w:left="216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onnnmirabueno@outlook.com" w:date="2026-10-14T14:01:00Z" w:initials="l">
    <w:p w14:paraId="617894E2" w14:textId="77777777" w:rsidR="00D4172A" w:rsidRDefault="00D4172A" w:rsidP="00D4172A">
      <w:pPr>
        <w:pStyle w:val="CommentText"/>
      </w:pPr>
      <w:r>
        <w:rPr>
          <w:rStyle w:val="CommentReference"/>
        </w:rPr>
        <w:annotationRef/>
      </w:r>
      <w:r>
        <w:t>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7894E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585C5E" w16cex:dateUtc="2026-10-14T06: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7894E2" w16cid:durableId="61585C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FD633" w14:textId="77777777" w:rsidR="00016A4E" w:rsidRDefault="00016A4E">
      <w:pPr>
        <w:spacing w:after="0" w:line="240" w:lineRule="auto"/>
      </w:pPr>
      <w:r>
        <w:separator/>
      </w:r>
    </w:p>
  </w:endnote>
  <w:endnote w:type="continuationSeparator" w:id="0">
    <w:p w14:paraId="0AAB7A18" w14:textId="77777777" w:rsidR="00016A4E" w:rsidRDefault="00016A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A8D5D" w14:textId="77777777" w:rsidR="002804FF" w:rsidRDefault="002804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4DF30E7"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9024"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1163DE52" w14:textId="77777777" w:rsidR="00094483" w:rsidRDefault="000944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5B6BA" w14:textId="77777777" w:rsidR="00094483" w:rsidRDefault="00094483">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195098"/>
    </w:sdtPr>
    <w:sdtContent>
      <w:p w14:paraId="1F7A58AC"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0048"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264350393" name="Straight Connector 1264350393"/>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33A87C4D" w14:textId="77777777" w:rsidR="00094483" w:rsidRDefault="00094483">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15BBE03D"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1072"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63964366" w14:textId="205A289C" w:rsidR="00094483" w:rsidRDefault="000944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811797"/>
    </w:sdtPr>
    <w:sdtContent>
      <w:p w14:paraId="558DF7A6"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2096"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279864202" name="Straight Connector 127986420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426281F5" w14:textId="77777777" w:rsidR="00094483" w:rsidRDefault="000944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5E146" w14:textId="77777777" w:rsidR="00016A4E" w:rsidRDefault="00016A4E">
      <w:pPr>
        <w:spacing w:after="0" w:line="240" w:lineRule="auto"/>
      </w:pPr>
      <w:r>
        <w:separator/>
      </w:r>
    </w:p>
  </w:footnote>
  <w:footnote w:type="continuationSeparator" w:id="0">
    <w:p w14:paraId="7173FCF1" w14:textId="77777777" w:rsidR="00016A4E" w:rsidRDefault="00016A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3960C" w14:textId="77777777" w:rsidR="002804FF" w:rsidRDefault="002804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184F15DA"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1616"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673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2640"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4688"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2D060E5C"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C61A1CF"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8784"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2889597E" w14:textId="77777777" w:rsidR="00094483" w:rsidRDefault="00000000">
        <w:pPr>
          <w:pStyle w:val="Header"/>
          <w:jc w:val="right"/>
          <w:rPr>
            <w:rFonts w:ascii="Courier New" w:hAnsi="Courier New" w:cs="Courier New"/>
          </w:rPr>
        </w:pPr>
      </w:p>
    </w:sdtContent>
  </w:sdt>
  <w:p w14:paraId="383B01B4" w14:textId="77777777" w:rsidR="00094483" w:rsidRDefault="00094483">
    <w:pPr>
      <w:pStyle w:val="Header"/>
      <w:rPr>
        <w:rFonts w:ascii="Courier New" w:hAnsi="Courier New" w:cs="Courier Ne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2C759FF9" w14:textId="77777777" w:rsidR="00094483" w:rsidRDefault="00094483">
        <w:pPr>
          <w:pStyle w:val="Header"/>
          <w:rPr>
            <w:rFonts w:ascii="Courier New" w:hAnsi="Courier New" w:cs="Courier New"/>
            <w:sz w:val="20"/>
            <w:szCs w:val="20"/>
          </w:rPr>
        </w:pPr>
      </w:p>
      <w:p w14:paraId="3786D8D7" w14:textId="77777777" w:rsidR="00094483" w:rsidRDefault="00000000">
        <w:pPr>
          <w:pStyle w:val="Header"/>
          <w:jc w:val="right"/>
          <w:rPr>
            <w:rFonts w:ascii="Courier New" w:hAnsi="Courier New" w:cs="Courier New"/>
          </w:rPr>
        </w:pPr>
      </w:p>
    </w:sdtContent>
  </w:sdt>
  <w:p w14:paraId="4B399196" w14:textId="77777777" w:rsidR="00094483" w:rsidRDefault="0009448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3C26FADA"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0592"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7760"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3664"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571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3E725443"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3176ABA"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8000"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r w:rsidR="00207133">
          <w:rPr>
            <w:rFonts w:ascii="Courier New" w:hAnsi="Courier New" w:cs="Courier New"/>
            <w:sz w:val="24"/>
            <w:szCs w:val="24"/>
            <w:lang w:val="en-US"/>
          </w:rPr>
          <w:t>y</w:t>
        </w:r>
      </w:p>
      <w:p w14:paraId="746639FC" w14:textId="77777777" w:rsidR="00094483" w:rsidRDefault="00000000">
        <w:pPr>
          <w:pStyle w:val="Header"/>
          <w:jc w:val="right"/>
          <w:rPr>
            <w:rFonts w:ascii="Courier New" w:hAnsi="Courier New" w:cs="Courier New"/>
          </w:rPr>
        </w:pPr>
      </w:p>
    </w:sdtContent>
  </w:sdt>
  <w:p w14:paraId="10CB5F47" w14:textId="77777777" w:rsidR="00094483" w:rsidRDefault="0009448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7B7B9F0"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7216"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0288"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9264"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E64E163"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16281F2" w14:textId="400A94D9"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6F276B74" w14:textId="1B20053F" w:rsidR="00D42FC3" w:rsidRDefault="00D42FC3" w:rsidP="00043F26">
        <w:pPr>
          <w:pStyle w:val="Header"/>
          <w:tabs>
            <w:tab w:val="clear" w:pos="9360"/>
            <w:tab w:val="left" w:pos="2256"/>
            <w:tab w:val="center" w:pos="4320"/>
            <w:tab w:val="right" w:pos="8642"/>
          </w:tabs>
          <w:rPr>
            <w:rFonts w:ascii="Courier New" w:hAnsi="Courier New" w:cs="Courier New"/>
            <w:sz w:val="24"/>
          </w:rPr>
        </w:pPr>
      </w:p>
      <w:p w14:paraId="56522ED6" w14:textId="2BAFD6CD" w:rsidR="00D42FC3" w:rsidRPr="00693157" w:rsidRDefault="00D42FC3">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1856" behindDoc="0" locked="0" layoutInCell="1" allowOverlap="1" wp14:anchorId="7431897F" wp14:editId="2B74C09A">
                  <wp:simplePos x="0" y="0"/>
                  <wp:positionH relativeFrom="page">
                    <wp:align>right</wp:align>
                  </wp:positionH>
                  <wp:positionV relativeFrom="paragraph">
                    <wp:posOffset>204470</wp:posOffset>
                  </wp:positionV>
                  <wp:extent cx="7772400" cy="0"/>
                  <wp:effectExtent l="0" t="19050" r="19050" b="19050"/>
                  <wp:wrapNone/>
                  <wp:docPr id="9902"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29DB9E96" w14:textId="77777777" w:rsidR="00D42FC3" w:rsidRDefault="00D42FC3">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0A583B0"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3120"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6192"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5168"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FCE86E7" w14:textId="77777777" w:rsidR="00AC0F55"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0277AB15" w14:textId="02433A77"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6912" behindDoc="0" locked="0" layoutInCell="1" allowOverlap="1" wp14:anchorId="2551971C" wp14:editId="461ED481">
                  <wp:simplePos x="0" y="0"/>
                  <wp:positionH relativeFrom="page">
                    <wp:align>right</wp:align>
                  </wp:positionH>
                  <wp:positionV relativeFrom="paragraph">
                    <wp:posOffset>204470</wp:posOffset>
                  </wp:positionV>
                  <wp:extent cx="7772400" cy="0"/>
                  <wp:effectExtent l="0" t="19050" r="19050" b="19050"/>
                  <wp:wrapNone/>
                  <wp:docPr id="1248340941" name="Straight Connector 124834094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1B9303E" id="Straight Connector 1248340941" o:spid="_x0000_s1026" style="position:absolute;z-index:251686912;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28B9D99F" w14:textId="43EAE4A0"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7CDE64B3" w14:textId="4E1E7B31" w:rsidR="00043F26" w:rsidRDefault="00000000">
        <w:pPr>
          <w:pStyle w:val="Header"/>
          <w:jc w:val="right"/>
          <w:rPr>
            <w:rFonts w:ascii="Courier New" w:hAnsi="Courier New" w:cs="Courier New"/>
          </w:rPr>
        </w:pPr>
      </w:p>
    </w:sdtContent>
  </w:sdt>
  <w:p w14:paraId="7ACA3337" w14:textId="77777777" w:rsidR="00043F26" w:rsidRDefault="00043F26">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E4293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5408"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8480"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7456"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B170000"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7C3693A5" w14:textId="2EB47059"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0C67B115" w14:textId="54CB1514" w:rsidR="00693157" w:rsidRDefault="00693157" w:rsidP="00043F26">
        <w:pPr>
          <w:pStyle w:val="Header"/>
          <w:tabs>
            <w:tab w:val="clear" w:pos="9360"/>
            <w:tab w:val="left" w:pos="2256"/>
            <w:tab w:val="center" w:pos="4320"/>
            <w:tab w:val="right" w:pos="8642"/>
          </w:tabs>
          <w:rPr>
            <w:rFonts w:ascii="Courier New" w:hAnsi="Courier New" w:cs="Courier New"/>
            <w:sz w:val="24"/>
          </w:rPr>
        </w:pPr>
      </w:p>
      <w:p w14:paraId="01012522" w14:textId="77777777" w:rsidR="00693157" w:rsidRPr="00693157" w:rsidRDefault="004702A7">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14:anchorId="002F5DB9" wp14:editId="342B3F33">
                  <wp:simplePos x="0" y="0"/>
                  <wp:positionH relativeFrom="page">
                    <wp:align>right</wp:align>
                  </wp:positionH>
                  <wp:positionV relativeFrom="paragraph">
                    <wp:posOffset>204470</wp:posOffset>
                  </wp:positionV>
                  <wp:extent cx="7772400" cy="0"/>
                  <wp:effectExtent l="0" t="19050" r="19050" b="19050"/>
                  <wp:wrapNone/>
                  <wp:docPr id="9904"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23FA4D2A"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42590AFE"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1312"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4384"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3360"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D07942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485761" w14:textId="23F6E2CF"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91008" behindDoc="0" locked="0" layoutInCell="1" allowOverlap="1" wp14:anchorId="3C96E421" wp14:editId="03BA9DBC">
                  <wp:simplePos x="0" y="0"/>
                  <wp:positionH relativeFrom="page">
                    <wp:align>right</wp:align>
                  </wp:positionH>
                  <wp:positionV relativeFrom="paragraph">
                    <wp:posOffset>204470</wp:posOffset>
                  </wp:positionV>
                  <wp:extent cx="7772400" cy="0"/>
                  <wp:effectExtent l="0" t="19050" r="19050" b="19050"/>
                  <wp:wrapNone/>
                  <wp:docPr id="510785009" name="Straight Connector 51078500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3331B9C" id="Straight Connector 510785009" o:spid="_x0000_s1026" style="position:absolute;z-index:251691008;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648F2B26" w14:textId="6D4CF66F" w:rsidR="00AC0F55" w:rsidRDefault="00AC0F55" w:rsidP="00043F26">
        <w:pPr>
          <w:pStyle w:val="Header"/>
          <w:tabs>
            <w:tab w:val="clear" w:pos="9360"/>
            <w:tab w:val="left" w:pos="2256"/>
            <w:tab w:val="center" w:pos="4320"/>
            <w:tab w:val="right" w:pos="8642"/>
          </w:tabs>
          <w:rPr>
            <w:rFonts w:ascii="Courier New" w:hAnsi="Courier New" w:cs="Courier New"/>
            <w:sz w:val="24"/>
          </w:rPr>
        </w:pPr>
      </w:p>
      <w:p w14:paraId="56CA985E" w14:textId="7DEDDD88"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35443B05" w14:textId="77777777" w:rsidR="00693157" w:rsidRPr="00693157" w:rsidRDefault="00000000">
        <w:pPr>
          <w:pStyle w:val="Header"/>
          <w:jc w:val="right"/>
          <w:rPr>
            <w:rFonts w:ascii="Courier New" w:hAnsi="Courier New" w:cs="Courier New"/>
            <w:sz w:val="20"/>
            <w:szCs w:val="20"/>
          </w:rPr>
        </w:pPr>
      </w:p>
    </w:sdtContent>
  </w:sdt>
  <w:p w14:paraId="159905BC"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36FE3F0C"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3600"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6672"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4624"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5648"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2C56EF9"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233D23F" w14:textId="734C3526"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7B3F2876" w14:textId="4D9FF03C" w:rsidR="00693157" w:rsidRDefault="002804FF"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97152" behindDoc="0" locked="0" layoutInCell="1" allowOverlap="1" wp14:anchorId="2B287E8E" wp14:editId="5698381B">
                  <wp:simplePos x="0" y="0"/>
                  <wp:positionH relativeFrom="page">
                    <wp:posOffset>-17780</wp:posOffset>
                  </wp:positionH>
                  <wp:positionV relativeFrom="paragraph">
                    <wp:posOffset>313690</wp:posOffset>
                  </wp:positionV>
                  <wp:extent cx="7772400" cy="0"/>
                  <wp:effectExtent l="0" t="19050" r="19050" b="19050"/>
                  <wp:wrapNone/>
                  <wp:docPr id="1406826386" name="Straight Connector 140682638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7A9781" id="Straight Connector 1406826386" o:spid="_x0000_s1026" style="position:absolute;z-index:251697152;visibility:visible;mso-wrap-style:square;mso-wrap-distance-left:9pt;mso-wrap-distance-top:0;mso-wrap-distance-right:9pt;mso-wrap-distance-bottom:0;mso-position-horizontal:absolute;mso-position-horizontal-relative:page;mso-position-vertical:absolute;mso-position-vertical-relative:text" from="-1.4pt,24.7pt" to="610.6pt,2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" strokecolor="black [3200]" strokeweight="3pt">
                  <v:stroke joinstyle="miter"/>
                  <w10:wrap anchorx="page"/>
                </v:line>
              </w:pict>
            </mc:Fallback>
          </mc:AlternateContent>
        </w:r>
      </w:p>
      <w:p w14:paraId="4100272F" w14:textId="1EC76B99"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DEC1AB4" w14:textId="77777777" w:rsidR="00693157" w:rsidRDefault="00693157">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351E5DDB"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950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257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155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03785E"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E819230" w14:textId="347E4FCC" w:rsidR="00AC0F55" w:rsidRDefault="00693157"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6976" behindDoc="0" locked="0" layoutInCell="1" allowOverlap="1" wp14:anchorId="34B28411" wp14:editId="3F8150CD">
                  <wp:simplePos x="0" y="0"/>
                  <wp:positionH relativeFrom="page">
                    <wp:align>right</wp:align>
                  </wp:positionH>
                  <wp:positionV relativeFrom="paragraph">
                    <wp:posOffset>204470</wp:posOffset>
                  </wp:positionV>
                  <wp:extent cx="7772400" cy="0"/>
                  <wp:effectExtent l="0" t="19050" r="19050" b="19050"/>
                  <wp:wrapNone/>
                  <wp:docPr id="9907"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5104" behindDoc="0" locked="0" layoutInCell="1" allowOverlap="1" wp14:anchorId="2433E5BA" wp14:editId="7600DD85">
                  <wp:simplePos x="0" y="0"/>
                  <wp:positionH relativeFrom="page">
                    <wp:align>right</wp:align>
                  </wp:positionH>
                  <wp:positionV relativeFrom="paragraph">
                    <wp:posOffset>204470</wp:posOffset>
                  </wp:positionV>
                  <wp:extent cx="7772400" cy="0"/>
                  <wp:effectExtent l="0" t="19050" r="19050" b="19050"/>
                  <wp:wrapNone/>
                  <wp:docPr id="1895472449" name="Straight Connector 189547244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04A0D9E" id="Straight Connector 1895472449" o:spid="_x0000_s1026" style="position:absolute;z-index:251695104;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452D97DF" w14:textId="5BD20C6F" w:rsidR="00693157" w:rsidRDefault="00693157" w:rsidP="00043F26">
        <w:pPr>
          <w:pStyle w:val="Header"/>
          <w:tabs>
            <w:tab w:val="clear" w:pos="9360"/>
            <w:tab w:val="left" w:pos="2256"/>
            <w:tab w:val="center" w:pos="4320"/>
            <w:tab w:val="right" w:pos="8642"/>
          </w:tabs>
          <w:rPr>
            <w:rFonts w:ascii="Courier New" w:hAnsi="Courier New" w:cs="Courier New"/>
            <w:sz w:val="24"/>
          </w:rPr>
        </w:pPr>
      </w:p>
      <w:p w14:paraId="01282B2B" w14:textId="77777777" w:rsidR="00693157" w:rsidRPr="00693157" w:rsidRDefault="00000000">
        <w:pPr>
          <w:pStyle w:val="Header"/>
          <w:jc w:val="right"/>
          <w:rPr>
            <w:rFonts w:ascii="Courier New" w:hAnsi="Courier New" w:cs="Courier New"/>
            <w:sz w:val="20"/>
            <w:szCs w:val="20"/>
          </w:rPr>
        </w:pPr>
      </w:p>
    </w:sdtContent>
  </w:sdt>
  <w:p w14:paraId="7D0CCC56" w14:textId="77777777" w:rsidR="00693157" w:rsidRDefault="00693157">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1F898504"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1792"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4864"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2816"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3840"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9C0BA8C"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CC15ED4" w14:textId="69F5553A"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71C193BA" w14:textId="015FD7BE" w:rsidR="000F43AB" w:rsidRDefault="000F43AB" w:rsidP="00043F26">
        <w:pPr>
          <w:pStyle w:val="Header"/>
          <w:tabs>
            <w:tab w:val="clear" w:pos="9360"/>
            <w:tab w:val="left" w:pos="2256"/>
            <w:tab w:val="center" w:pos="4320"/>
            <w:tab w:val="right" w:pos="8642"/>
          </w:tabs>
          <w:rPr>
            <w:rFonts w:ascii="Courier New" w:hAnsi="Courier New" w:cs="Courier New"/>
            <w:sz w:val="24"/>
          </w:rPr>
        </w:pPr>
      </w:p>
      <w:p w14:paraId="2A4D44FA" w14:textId="77777777" w:rsidR="000F43AB" w:rsidRPr="00693157" w:rsidRDefault="00FE5B08">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9808" behindDoc="0" locked="0" layoutInCell="1" allowOverlap="1" wp14:anchorId="5F058D08" wp14:editId="73004D76">
                  <wp:simplePos x="0" y="0"/>
                  <wp:positionH relativeFrom="page">
                    <wp:align>right</wp:align>
                  </wp:positionH>
                  <wp:positionV relativeFrom="paragraph">
                    <wp:posOffset>204470</wp:posOffset>
                  </wp:positionV>
                  <wp:extent cx="777240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715BEEC7" w14:textId="77777777" w:rsidR="000F43AB" w:rsidRDefault="000F43AB">
    <w:pPr>
      <w:pStyle w:val="Header"/>
      <w:rPr>
        <w:rFonts w:ascii="Courier New" w:hAnsi="Courier New" w:cs="Courier New"/>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454B32A4"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7696"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0768"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8720"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9744"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0E29F82"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08F89006" w14:textId="71BF8E42" w:rsidR="00AC0F55" w:rsidRDefault="003F68EB"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0832" behindDoc="0" locked="0" layoutInCell="1" allowOverlap="1" wp14:anchorId="6DA894BC" wp14:editId="775EEDA6">
                  <wp:simplePos x="0" y="0"/>
                  <wp:positionH relativeFrom="page">
                    <wp:align>right</wp:align>
                  </wp:positionH>
                  <wp:positionV relativeFrom="paragraph">
                    <wp:posOffset>204470</wp:posOffset>
                  </wp:positionV>
                  <wp:extent cx="7772400" cy="0"/>
                  <wp:effectExtent l="0" t="19050" r="19050" b="19050"/>
                  <wp:wrapNone/>
                  <wp:docPr id="9901"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9200" behindDoc="0" locked="0" layoutInCell="1" allowOverlap="1" wp14:anchorId="6EBEE0CD" wp14:editId="2BC2F862">
                  <wp:simplePos x="0" y="0"/>
                  <wp:positionH relativeFrom="page">
                    <wp:align>right</wp:align>
                  </wp:positionH>
                  <wp:positionV relativeFrom="paragraph">
                    <wp:posOffset>204470</wp:posOffset>
                  </wp:positionV>
                  <wp:extent cx="7772400" cy="0"/>
                  <wp:effectExtent l="0" t="19050" r="19050" b="19050"/>
                  <wp:wrapNone/>
                  <wp:docPr id="2130945655" name="Straight Connector 21309456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E0AE3B" id="Straight Connector 2130945655" o:spid="_x0000_s1026" style="position:absolute;z-index:251699200;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410E2793" w14:textId="42B9D8CC" w:rsidR="003F68EB" w:rsidRDefault="003F68EB" w:rsidP="00043F26">
        <w:pPr>
          <w:pStyle w:val="Header"/>
          <w:tabs>
            <w:tab w:val="clear" w:pos="9360"/>
            <w:tab w:val="left" w:pos="2256"/>
            <w:tab w:val="center" w:pos="4320"/>
            <w:tab w:val="right" w:pos="8642"/>
          </w:tabs>
          <w:rPr>
            <w:rFonts w:ascii="Courier New" w:hAnsi="Courier New" w:cs="Courier New"/>
            <w:sz w:val="24"/>
          </w:rPr>
        </w:pPr>
      </w:p>
      <w:p w14:paraId="57111B3A" w14:textId="77777777" w:rsidR="003F68EB" w:rsidRPr="00693157" w:rsidRDefault="00000000">
        <w:pPr>
          <w:pStyle w:val="Header"/>
          <w:jc w:val="right"/>
          <w:rPr>
            <w:rFonts w:ascii="Courier New" w:hAnsi="Courier New" w:cs="Courier New"/>
            <w:sz w:val="20"/>
            <w:szCs w:val="20"/>
          </w:rPr>
        </w:pPr>
      </w:p>
    </w:sdtContent>
  </w:sdt>
  <w:p w14:paraId="464E5E54"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onnnmirabueno@outlook.com">
    <w15:presenceInfo w15:providerId="Windows Live" w15:userId="acdcbd766da33e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16A4E"/>
    <w:rsid w:val="00030440"/>
    <w:rsid w:val="00032944"/>
    <w:rsid w:val="00034DEB"/>
    <w:rsid w:val="0003738E"/>
    <w:rsid w:val="00043F26"/>
    <w:rsid w:val="0004484A"/>
    <w:rsid w:val="000451DF"/>
    <w:rsid w:val="00062C4C"/>
    <w:rsid w:val="000654E5"/>
    <w:rsid w:val="00065C3A"/>
    <w:rsid w:val="000715FA"/>
    <w:rsid w:val="00082A58"/>
    <w:rsid w:val="00094483"/>
    <w:rsid w:val="000A4438"/>
    <w:rsid w:val="000E0614"/>
    <w:rsid w:val="000E6F57"/>
    <w:rsid w:val="000F4102"/>
    <w:rsid w:val="000F43AB"/>
    <w:rsid w:val="00116527"/>
    <w:rsid w:val="00121E21"/>
    <w:rsid w:val="00153936"/>
    <w:rsid w:val="001637A4"/>
    <w:rsid w:val="0016384F"/>
    <w:rsid w:val="00164382"/>
    <w:rsid w:val="00165663"/>
    <w:rsid w:val="00166718"/>
    <w:rsid w:val="001711E6"/>
    <w:rsid w:val="001755F6"/>
    <w:rsid w:val="00176968"/>
    <w:rsid w:val="00183423"/>
    <w:rsid w:val="00191FAE"/>
    <w:rsid w:val="00193730"/>
    <w:rsid w:val="0019659E"/>
    <w:rsid w:val="001A447A"/>
    <w:rsid w:val="001B2978"/>
    <w:rsid w:val="001B3EDB"/>
    <w:rsid w:val="001D40D5"/>
    <w:rsid w:val="001F5D5D"/>
    <w:rsid w:val="001F669E"/>
    <w:rsid w:val="00204DE1"/>
    <w:rsid w:val="0020697A"/>
    <w:rsid w:val="00207133"/>
    <w:rsid w:val="002204CD"/>
    <w:rsid w:val="00227703"/>
    <w:rsid w:val="00231FF2"/>
    <w:rsid w:val="00232E20"/>
    <w:rsid w:val="00233D79"/>
    <w:rsid w:val="00235569"/>
    <w:rsid w:val="00257ACB"/>
    <w:rsid w:val="002804FF"/>
    <w:rsid w:val="00281C3E"/>
    <w:rsid w:val="00285B84"/>
    <w:rsid w:val="00286D38"/>
    <w:rsid w:val="00290B3E"/>
    <w:rsid w:val="002A7E86"/>
    <w:rsid w:val="002B71E5"/>
    <w:rsid w:val="002E2B4E"/>
    <w:rsid w:val="002F1030"/>
    <w:rsid w:val="002F7FF6"/>
    <w:rsid w:val="00322AEC"/>
    <w:rsid w:val="003435D5"/>
    <w:rsid w:val="003502CB"/>
    <w:rsid w:val="00354190"/>
    <w:rsid w:val="00354C19"/>
    <w:rsid w:val="003551F3"/>
    <w:rsid w:val="0036085E"/>
    <w:rsid w:val="00364019"/>
    <w:rsid w:val="00364634"/>
    <w:rsid w:val="00370016"/>
    <w:rsid w:val="003770D4"/>
    <w:rsid w:val="0039142D"/>
    <w:rsid w:val="00392FEA"/>
    <w:rsid w:val="003937D4"/>
    <w:rsid w:val="003A1908"/>
    <w:rsid w:val="003A2BB0"/>
    <w:rsid w:val="003B06CC"/>
    <w:rsid w:val="003B1F7A"/>
    <w:rsid w:val="003C6C44"/>
    <w:rsid w:val="003D1856"/>
    <w:rsid w:val="003D4C44"/>
    <w:rsid w:val="003E58C8"/>
    <w:rsid w:val="003F68EB"/>
    <w:rsid w:val="004065B8"/>
    <w:rsid w:val="004349CC"/>
    <w:rsid w:val="00452203"/>
    <w:rsid w:val="00461D24"/>
    <w:rsid w:val="00464315"/>
    <w:rsid w:val="00465FE1"/>
    <w:rsid w:val="004702A7"/>
    <w:rsid w:val="00475682"/>
    <w:rsid w:val="004B2B7E"/>
    <w:rsid w:val="004E507C"/>
    <w:rsid w:val="00511FFF"/>
    <w:rsid w:val="00556A13"/>
    <w:rsid w:val="00566CD6"/>
    <w:rsid w:val="00576F4A"/>
    <w:rsid w:val="00580212"/>
    <w:rsid w:val="00590F96"/>
    <w:rsid w:val="0059781B"/>
    <w:rsid w:val="005B05A6"/>
    <w:rsid w:val="005B6232"/>
    <w:rsid w:val="005B69C3"/>
    <w:rsid w:val="005B76A7"/>
    <w:rsid w:val="005C6688"/>
    <w:rsid w:val="005D3B9B"/>
    <w:rsid w:val="005D7A48"/>
    <w:rsid w:val="005E0870"/>
    <w:rsid w:val="005F0D2A"/>
    <w:rsid w:val="005F5E31"/>
    <w:rsid w:val="00605641"/>
    <w:rsid w:val="00621540"/>
    <w:rsid w:val="00627A68"/>
    <w:rsid w:val="00634791"/>
    <w:rsid w:val="00655175"/>
    <w:rsid w:val="006659AC"/>
    <w:rsid w:val="006773FB"/>
    <w:rsid w:val="00693157"/>
    <w:rsid w:val="006A28E4"/>
    <w:rsid w:val="006A4101"/>
    <w:rsid w:val="006B2967"/>
    <w:rsid w:val="006B7748"/>
    <w:rsid w:val="006B7976"/>
    <w:rsid w:val="006C014C"/>
    <w:rsid w:val="006C6F62"/>
    <w:rsid w:val="006C7CEC"/>
    <w:rsid w:val="006D1993"/>
    <w:rsid w:val="006E15E8"/>
    <w:rsid w:val="006F3406"/>
    <w:rsid w:val="00721D10"/>
    <w:rsid w:val="007241C4"/>
    <w:rsid w:val="00736572"/>
    <w:rsid w:val="00745914"/>
    <w:rsid w:val="007557AA"/>
    <w:rsid w:val="00763210"/>
    <w:rsid w:val="00766D89"/>
    <w:rsid w:val="00772956"/>
    <w:rsid w:val="0078365B"/>
    <w:rsid w:val="00791BAD"/>
    <w:rsid w:val="007D3A7A"/>
    <w:rsid w:val="007D448B"/>
    <w:rsid w:val="007D5394"/>
    <w:rsid w:val="007D5CDB"/>
    <w:rsid w:val="007D681D"/>
    <w:rsid w:val="007E0C8E"/>
    <w:rsid w:val="007E39B1"/>
    <w:rsid w:val="007E56A2"/>
    <w:rsid w:val="007E7CC0"/>
    <w:rsid w:val="00800346"/>
    <w:rsid w:val="008303A0"/>
    <w:rsid w:val="00860FBA"/>
    <w:rsid w:val="00893BA3"/>
    <w:rsid w:val="00896A9A"/>
    <w:rsid w:val="008A3187"/>
    <w:rsid w:val="008A4541"/>
    <w:rsid w:val="008B52CE"/>
    <w:rsid w:val="008B624D"/>
    <w:rsid w:val="008F16E7"/>
    <w:rsid w:val="008F4F47"/>
    <w:rsid w:val="00925CE1"/>
    <w:rsid w:val="00925DCE"/>
    <w:rsid w:val="00926410"/>
    <w:rsid w:val="00940581"/>
    <w:rsid w:val="00940C33"/>
    <w:rsid w:val="00940C6B"/>
    <w:rsid w:val="00945A97"/>
    <w:rsid w:val="0095147D"/>
    <w:rsid w:val="009570FB"/>
    <w:rsid w:val="0099367D"/>
    <w:rsid w:val="00994AB6"/>
    <w:rsid w:val="0099562A"/>
    <w:rsid w:val="009A7606"/>
    <w:rsid w:val="009A7FD3"/>
    <w:rsid w:val="009B2172"/>
    <w:rsid w:val="009E003C"/>
    <w:rsid w:val="009F12C2"/>
    <w:rsid w:val="009F172D"/>
    <w:rsid w:val="00A07FAD"/>
    <w:rsid w:val="00A25CC2"/>
    <w:rsid w:val="00A32A02"/>
    <w:rsid w:val="00A44A3D"/>
    <w:rsid w:val="00A54016"/>
    <w:rsid w:val="00AB1450"/>
    <w:rsid w:val="00AC0C73"/>
    <w:rsid w:val="00AC0F55"/>
    <w:rsid w:val="00AC4A58"/>
    <w:rsid w:val="00AD25F6"/>
    <w:rsid w:val="00AE31CB"/>
    <w:rsid w:val="00B117A3"/>
    <w:rsid w:val="00B20169"/>
    <w:rsid w:val="00B2330C"/>
    <w:rsid w:val="00B2742E"/>
    <w:rsid w:val="00B52031"/>
    <w:rsid w:val="00B848A7"/>
    <w:rsid w:val="00BB088B"/>
    <w:rsid w:val="00BB43F5"/>
    <w:rsid w:val="00BB5C40"/>
    <w:rsid w:val="00BB5EB3"/>
    <w:rsid w:val="00BD55B1"/>
    <w:rsid w:val="00BE3A9D"/>
    <w:rsid w:val="00BE3EF9"/>
    <w:rsid w:val="00BF51BA"/>
    <w:rsid w:val="00C0604D"/>
    <w:rsid w:val="00C06B83"/>
    <w:rsid w:val="00C11FF9"/>
    <w:rsid w:val="00C147CF"/>
    <w:rsid w:val="00C23807"/>
    <w:rsid w:val="00C31890"/>
    <w:rsid w:val="00C3444F"/>
    <w:rsid w:val="00C43180"/>
    <w:rsid w:val="00C65FE8"/>
    <w:rsid w:val="00C77B25"/>
    <w:rsid w:val="00CC42BE"/>
    <w:rsid w:val="00CF0EBE"/>
    <w:rsid w:val="00D01BB6"/>
    <w:rsid w:val="00D07971"/>
    <w:rsid w:val="00D4172A"/>
    <w:rsid w:val="00D42FC3"/>
    <w:rsid w:val="00D44825"/>
    <w:rsid w:val="00D56796"/>
    <w:rsid w:val="00D63916"/>
    <w:rsid w:val="00D73966"/>
    <w:rsid w:val="00D814AD"/>
    <w:rsid w:val="00D822A5"/>
    <w:rsid w:val="00DA53FA"/>
    <w:rsid w:val="00DC1152"/>
    <w:rsid w:val="00DC1246"/>
    <w:rsid w:val="00DE24E7"/>
    <w:rsid w:val="00DF44F3"/>
    <w:rsid w:val="00E102F7"/>
    <w:rsid w:val="00E17630"/>
    <w:rsid w:val="00E24983"/>
    <w:rsid w:val="00E30FC2"/>
    <w:rsid w:val="00E32852"/>
    <w:rsid w:val="00E7325B"/>
    <w:rsid w:val="00E8527F"/>
    <w:rsid w:val="00E91CB9"/>
    <w:rsid w:val="00EB59C2"/>
    <w:rsid w:val="00EB74D8"/>
    <w:rsid w:val="00EC7D3C"/>
    <w:rsid w:val="00ED515B"/>
    <w:rsid w:val="00EE00B7"/>
    <w:rsid w:val="00EF2DD5"/>
    <w:rsid w:val="00EF4242"/>
    <w:rsid w:val="00F014D8"/>
    <w:rsid w:val="00F12131"/>
    <w:rsid w:val="00F26892"/>
    <w:rsid w:val="00F45111"/>
    <w:rsid w:val="00F53A27"/>
    <w:rsid w:val="00F60E9F"/>
    <w:rsid w:val="00F80D3E"/>
    <w:rsid w:val="00F953A9"/>
    <w:rsid w:val="00FA048D"/>
    <w:rsid w:val="00FA463E"/>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E12EBF"/>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header" Target="header5.xml"/><Relationship Id="rId42" Type="http://schemas.openxmlformats.org/officeDocument/2006/relationships/image" Target="media/image15.png"/><Relationship Id="rId47" Type="http://schemas.openxmlformats.org/officeDocument/2006/relationships/hyperlink" Target="https://doi.org/10.1109/ICAI63830.2025.00045" TargetMode="External"/><Relationship Id="rId63" Type="http://schemas.openxmlformats.org/officeDocument/2006/relationships/hyperlink" Target="https://www.gsu.edu.ph/quality-assurance/" TargetMode="External"/><Relationship Id="rId68" Type="http://schemas.openxmlformats.org/officeDocument/2006/relationships/hyperlink" Target="https://doi.org/10.69569/jip.2025.0042" TargetMode="Externa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header" Target="header10.xml"/><Relationship Id="rId11" Type="http://schemas.openxmlformats.org/officeDocument/2006/relationships/footer" Target="footer1.xml"/><Relationship Id="rId24" Type="http://schemas.openxmlformats.org/officeDocument/2006/relationships/footer" Target="footer6.xml"/><Relationship Id="rId32" Type="http://schemas.openxmlformats.org/officeDocument/2006/relationships/image" Target="media/image5.png"/><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hyperlink" Target="https://doi.org/10.3389/feduc.2025.1673932" TargetMode="External"/><Relationship Id="rId58" Type="http://schemas.openxmlformats.org/officeDocument/2006/relationships/hyperlink" Target="https://doi.org/10.47776/nuai.v1i2.1663" TargetMode="External"/><Relationship Id="rId66" Type="http://schemas.openxmlformats.org/officeDocument/2006/relationships/hyperlink" Target="https://doi.org/10.69569/jip.2024.0036" TargetMode="External"/><Relationship Id="rId74"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s://www.sajst.org/online/index.php/sajst/article/view/157" TargetMode="External"/><Relationship Id="rId19" Type="http://schemas.microsoft.com/office/2016/09/relationships/commentsIds" Target="commentsIds.xml"/><Relationship Id="rId14" Type="http://schemas.openxmlformats.org/officeDocument/2006/relationships/footer" Target="footer3.xml"/><Relationship Id="rId22" Type="http://schemas.openxmlformats.org/officeDocument/2006/relationships/footer" Target="footer5.xml"/><Relationship Id="rId27" Type="http://schemas.openxmlformats.org/officeDocument/2006/relationships/image" Target="media/image2.png"/><Relationship Id="rId30" Type="http://schemas.openxmlformats.org/officeDocument/2006/relationships/image" Target="media/image3.png"/><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hyperlink" Target="https://doi.org/10.1007/s10639-021-10650-3" TargetMode="External"/><Relationship Id="rId56" Type="http://schemas.openxmlformats.org/officeDocument/2006/relationships/hyperlink" Target="https://doi.org/10.3390/ijerph182312691" TargetMode="External"/><Relationship Id="rId64" Type="http://schemas.openxmlformats.org/officeDocument/2006/relationships/hyperlink" Target="https://doi.org/10.9734/ajess/2024/v50/111641" TargetMode="External"/><Relationship Id="rId69" Type="http://schemas.openxmlformats.org/officeDocument/2006/relationships/hyperlink" Target="https://doi.org/10.2139/ssrn.4735068" TargetMode="External"/><Relationship Id="rId8" Type="http://schemas.openxmlformats.org/officeDocument/2006/relationships/endnotes" Target="endnotes.xml"/><Relationship Id="rId51" Type="http://schemas.openxmlformats.org/officeDocument/2006/relationships/hyperlink" Target="https://doi.org/10.20853/37-1-5675" TargetMode="External"/><Relationship Id="rId72" Type="http://schemas.openxmlformats.org/officeDocument/2006/relationships/header" Target="header1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comments" Target="comments.xml"/><Relationship Id="rId25" Type="http://schemas.openxmlformats.org/officeDocument/2006/relationships/header" Target="header7.xml"/><Relationship Id="rId33" Type="http://schemas.openxmlformats.org/officeDocument/2006/relationships/image" Target="media/image6.png"/><Relationship Id="rId38" Type="http://schemas.openxmlformats.org/officeDocument/2006/relationships/image" Target="media/image11.png"/><Relationship Id="rId46" Type="http://schemas.openxmlformats.org/officeDocument/2006/relationships/hyperlink" Target="https://akarisoftware.com/curriculum-management-software-guide/" TargetMode="External"/><Relationship Id="rId59" Type="http://schemas.openxmlformats.org/officeDocument/2006/relationships/hyperlink" Target="https://www.watermarkinsights.com/solutions/planning-self-study/" TargetMode="External"/><Relationship Id="rId67" Type="http://schemas.openxmlformats.org/officeDocument/2006/relationships/hyperlink" Target="https://pidswebs.pids.gov.ph/CDN/document/pidsdps2441.pdf" TargetMode="External"/><Relationship Id="rId20" Type="http://schemas.microsoft.com/office/2018/08/relationships/commentsExtensible" Target="commentsExtensible.xml"/><Relationship Id="rId41" Type="http://schemas.openxmlformats.org/officeDocument/2006/relationships/image" Target="media/image14.png"/><Relationship Id="rId54" Type="http://schemas.openxmlformats.org/officeDocument/2006/relationships/hyperlink" Target="https://www.qaa.ac.uk/membership/benefits-of-qaa-membership/collaborative-enhancement-projects" TargetMode="External"/><Relationship Id="rId62" Type="http://schemas.openxmlformats.org/officeDocument/2006/relationships/hyperlink" Target="http://www.pnuresearchportal.org/wp-content/uploads/2015/08/Handbook-on-Typology-Outcomes.pdf" TargetMode="External"/><Relationship Id="rId70" Type="http://schemas.openxmlformats.org/officeDocument/2006/relationships/hyperlink" Target="https://www.scribd.com/document/841955371/Final-OBE-PEO-Map-PO-Map-Curriculum-Map-Course-Outcome-Map-GenEd" TargetMode="External"/><Relationship Id="rId75"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6.xml"/><Relationship Id="rId28" Type="http://schemas.openxmlformats.org/officeDocument/2006/relationships/header" Target="header9.xml"/><Relationship Id="rId36" Type="http://schemas.openxmlformats.org/officeDocument/2006/relationships/image" Target="media/image9.png"/><Relationship Id="rId49" Type="http://schemas.openxmlformats.org/officeDocument/2006/relationships/hyperlink" Target="https://doi.org/10.33395/sinkron.v8i3.12799" TargetMode="External"/><Relationship Id="rId57" Type="http://schemas.openxmlformats.org/officeDocument/2006/relationships/hyperlink" Target="https://doi.org/10.11591/ijere.v9i1.20418" TargetMode="External"/><Relationship Id="rId10" Type="http://schemas.openxmlformats.org/officeDocument/2006/relationships/header" Target="header2.xml"/><Relationship Id="rId31" Type="http://schemas.openxmlformats.org/officeDocument/2006/relationships/image" Target="media/image4.png"/><Relationship Id="rId44" Type="http://schemas.openxmlformats.org/officeDocument/2006/relationships/image" Target="media/image17.png"/><Relationship Id="rId52" Type="http://schemas.openxmlformats.org/officeDocument/2006/relationships/hyperlink" Target="https://doi.org/10.23887/jere.v8i1.12345" TargetMode="External"/><Relationship Id="rId60" Type="http://schemas.openxmlformats.org/officeDocument/2006/relationships/hyperlink" Target="https://doi.org/10.46827/ejmms.v8i2.1441" TargetMode="External"/><Relationship Id="rId65" Type="http://schemas.openxmlformats.org/officeDocument/2006/relationships/hyperlink" Target="https://doi.org/10.37394/232015.2021.17.11" TargetMode="External"/><Relationship Id="rId73" Type="http://schemas.openxmlformats.org/officeDocument/2006/relationships/header" Target="header12.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microsoft.com/office/2011/relationships/commentsExtended" Target="commentsExtended.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hyperlink" Target="https://doi.org/10.22190/FUTLTeD2302165J" TargetMode="External"/><Relationship Id="rId55" Type="http://schemas.openxmlformats.org/officeDocument/2006/relationships/hyperlink" Target="https://doi.org/10.56134/cje.v4i2.157" TargetMode="External"/><Relationship Id="rId7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hyperlink" Target="https://documents1.worldbank.org/curated/en/099925001062333685/pdf/P17757402843a10c90b3e30308406a38304.pdf" TargetMode="External"/><Relationship Id="rIdOrgChart" Type="http://schemas.openxmlformats.org/officeDocument/2006/relationships/image" Target="media/orgchart.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3480</TotalTime>
  <Pages>100</Pages>
  <Words>15790</Words>
  <Characters>90003</Characters>
  <Application>Microsoft Office Word</Application>
  <DocSecurity>0</DocSecurity>
  <Lines>750</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25</cp:revision>
  <cp:lastPrinted>2026-03-23T12:07:00Z</cp:lastPrinted>
  <dcterms:created xsi:type="dcterms:W3CDTF">2026-03-29T10:34:00Z</dcterms:created>
  <dcterms:modified xsi:type="dcterms:W3CDTF">2026-10-15T23:45:00Z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