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E7177" w14:textId="77777777" w:rsidR="00094483" w:rsidRDefault="00094483">
      <w:pPr>
        <w:spacing w:after="0" w:line="240" w:lineRule="auto"/>
        <w:jc w:val="center"/>
        <w:rPr>
          <w:rFonts w:ascii="Courier New" w:hAnsi="Courier New" w:cs="Courier New"/>
          <w:b/>
          <w:bCs/>
          <w:sz w:val="24"/>
          <w:szCs w:val="24"/>
          <w:lang w:val="en-US"/>
        </w:rPr>
      </w:pPr>
    </w:p>
    <w:p w14:paraId="47C3A78A" w14:textId="77777777" w:rsidR="00094483" w:rsidRDefault="00000000">
      <w:pPr>
        <w:keepNext/>
        <w:spacing w:after="0" w:line="240" w:lineRule="auto"/>
        <w:jc w:val="center"/>
        <w:rPr>
          <w:rFonts w:ascii="Courier New" w:hAnsi="Courier New" w:cs="Courier New"/>
          <w:b/>
          <w:bCs/>
          <w:sz w:val="24"/>
          <w:szCs w:val="24"/>
          <w:lang w:val="en-US"/>
        </w:rPr>
      </w:pPr>
      <w:r>
        <w:rPr>
          <w:rFonts w:ascii="Courier New" w:hAnsi="Courier New" w:cs="Courier New"/>
          <w:b/>
          <w:bCs/>
          <w:sz w:val="24"/>
          <w:szCs w:val="24"/>
          <w:lang w:val="en-US"/>
        </w:rPr>
        <w:t>Auditrix - A Curriculum Audit System for KSU</w:t>
      </w:r>
    </w:p>
    <w:p w14:paraId="37FF33A6" w14:textId="77777777" w:rsidR="00094483" w:rsidRDefault="00094483">
      <w:pPr>
        <w:spacing w:line="240" w:lineRule="auto"/>
        <w:jc w:val="center"/>
        <w:rPr>
          <w:rFonts w:ascii="Courier New" w:hAnsi="Courier New" w:cs="Courier New"/>
          <w:b/>
          <w:bCs/>
          <w:sz w:val="24"/>
          <w:szCs w:val="24"/>
          <w:lang w:val="en-US"/>
        </w:rPr>
      </w:pPr>
    </w:p>
    <w:p w14:paraId="546D2AF7" w14:textId="77777777" w:rsidR="00094483" w:rsidRDefault="00094483">
      <w:pPr>
        <w:spacing w:line="240" w:lineRule="auto"/>
        <w:jc w:val="center"/>
        <w:rPr>
          <w:rFonts w:ascii="Courier New" w:hAnsi="Courier New" w:cs="Courier New"/>
          <w:b/>
          <w:bCs/>
          <w:sz w:val="24"/>
          <w:szCs w:val="24"/>
          <w:lang w:val="en-US"/>
        </w:rPr>
      </w:pPr>
    </w:p>
    <w:p w14:paraId="7B162064" w14:textId="77777777" w:rsidR="00094483" w:rsidRDefault="00094483">
      <w:pPr>
        <w:spacing w:line="240" w:lineRule="auto"/>
        <w:jc w:val="center"/>
        <w:rPr>
          <w:rFonts w:ascii="Courier New" w:hAnsi="Courier New" w:cs="Courier New"/>
          <w:b/>
          <w:bCs/>
          <w:sz w:val="24"/>
          <w:szCs w:val="24"/>
          <w:lang w:val="en-US"/>
        </w:rPr>
      </w:pPr>
    </w:p>
    <w:p w14:paraId="1AE5944A" w14:textId="77777777" w:rsidR="00094483" w:rsidRDefault="00094483">
      <w:pPr>
        <w:spacing w:line="240" w:lineRule="auto"/>
        <w:jc w:val="center"/>
        <w:rPr>
          <w:rFonts w:ascii="Courier New" w:hAnsi="Courier New" w:cs="Courier New"/>
          <w:b/>
          <w:bCs/>
          <w:sz w:val="24"/>
          <w:szCs w:val="24"/>
          <w:lang w:val="en-US"/>
        </w:rPr>
      </w:pPr>
    </w:p>
    <w:p w14:paraId="7476AD60"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07E63B8E"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26877DD8" w14:textId="77777777" w:rsidR="00094483" w:rsidRDefault="00094483">
      <w:pPr>
        <w:spacing w:line="240" w:lineRule="auto"/>
        <w:jc w:val="center"/>
        <w:rPr>
          <w:rFonts w:ascii="Courier New" w:hAnsi="Courier New" w:cs="Courier New"/>
          <w:sz w:val="24"/>
          <w:szCs w:val="24"/>
        </w:rPr>
      </w:pPr>
    </w:p>
    <w:p w14:paraId="36F39758" w14:textId="77777777" w:rsidR="00094483" w:rsidRDefault="00094483">
      <w:pPr>
        <w:spacing w:line="240" w:lineRule="auto"/>
        <w:jc w:val="center"/>
        <w:rPr>
          <w:rFonts w:ascii="Courier New" w:hAnsi="Courier New" w:cs="Courier New"/>
          <w:sz w:val="24"/>
          <w:szCs w:val="24"/>
        </w:rPr>
      </w:pPr>
    </w:p>
    <w:p w14:paraId="3A01D692" w14:textId="77777777" w:rsidR="00094483" w:rsidRDefault="00094483">
      <w:pPr>
        <w:spacing w:line="240" w:lineRule="auto"/>
        <w:jc w:val="center"/>
        <w:rPr>
          <w:rFonts w:ascii="Courier New" w:hAnsi="Courier New" w:cs="Courier New"/>
          <w:sz w:val="24"/>
          <w:szCs w:val="24"/>
        </w:rPr>
      </w:pPr>
    </w:p>
    <w:p w14:paraId="73918371" w14:textId="77777777" w:rsidR="00094483" w:rsidRDefault="00094483">
      <w:pPr>
        <w:spacing w:line="240" w:lineRule="auto"/>
        <w:jc w:val="center"/>
        <w:rPr>
          <w:rFonts w:ascii="Courier New" w:hAnsi="Courier New" w:cs="Courier New"/>
          <w:sz w:val="24"/>
          <w:szCs w:val="24"/>
        </w:rPr>
      </w:pPr>
    </w:p>
    <w:p w14:paraId="306C6F2D" w14:textId="77777777" w:rsidR="00094483" w:rsidRDefault="00094483">
      <w:pPr>
        <w:spacing w:line="240" w:lineRule="auto"/>
        <w:jc w:val="center"/>
        <w:rPr>
          <w:rFonts w:ascii="Courier New" w:hAnsi="Courier New" w:cs="Courier New"/>
          <w:sz w:val="24"/>
          <w:szCs w:val="24"/>
        </w:rPr>
      </w:pPr>
    </w:p>
    <w:p w14:paraId="4AF1E531" w14:textId="77777777" w:rsidR="00094483" w:rsidRDefault="00094483">
      <w:pPr>
        <w:spacing w:line="240" w:lineRule="auto"/>
        <w:jc w:val="center"/>
        <w:rPr>
          <w:rFonts w:ascii="Courier New" w:hAnsi="Courier New" w:cs="Courier New"/>
          <w:sz w:val="24"/>
          <w:szCs w:val="24"/>
        </w:rPr>
      </w:pPr>
    </w:p>
    <w:p w14:paraId="3CF26C75"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3B378E4F" w14:textId="77777777" w:rsidR="00094483" w:rsidRDefault="00094483">
      <w:pPr>
        <w:spacing w:line="240" w:lineRule="auto"/>
        <w:jc w:val="center"/>
        <w:rPr>
          <w:rFonts w:ascii="Courier New" w:hAnsi="Courier New" w:cs="Courier New"/>
          <w:sz w:val="24"/>
          <w:szCs w:val="24"/>
        </w:rPr>
      </w:pPr>
    </w:p>
    <w:p w14:paraId="5D5B4351" w14:textId="77777777" w:rsidR="00094483" w:rsidRDefault="00094483">
      <w:pPr>
        <w:spacing w:line="240" w:lineRule="auto"/>
        <w:jc w:val="center"/>
        <w:rPr>
          <w:rFonts w:ascii="Courier New" w:hAnsi="Courier New" w:cs="Courier New"/>
          <w:sz w:val="24"/>
          <w:szCs w:val="24"/>
        </w:rPr>
      </w:pPr>
    </w:p>
    <w:p w14:paraId="1132535E" w14:textId="77777777" w:rsidR="00094483" w:rsidRDefault="00094483">
      <w:pPr>
        <w:spacing w:line="240" w:lineRule="auto"/>
        <w:jc w:val="center"/>
        <w:rPr>
          <w:rFonts w:ascii="Courier New" w:hAnsi="Courier New" w:cs="Courier New"/>
          <w:sz w:val="24"/>
          <w:szCs w:val="24"/>
        </w:rPr>
      </w:pPr>
    </w:p>
    <w:p w14:paraId="52B507ED" w14:textId="77777777" w:rsidR="00094483" w:rsidRDefault="00094483">
      <w:pPr>
        <w:spacing w:line="240" w:lineRule="auto"/>
        <w:jc w:val="center"/>
        <w:rPr>
          <w:rFonts w:ascii="Courier New" w:hAnsi="Courier New" w:cs="Courier New"/>
          <w:sz w:val="24"/>
          <w:szCs w:val="24"/>
        </w:rPr>
      </w:pPr>
    </w:p>
    <w:p w14:paraId="05FDF395" w14:textId="77777777" w:rsidR="00094483" w:rsidRDefault="00094483">
      <w:pPr>
        <w:spacing w:line="240" w:lineRule="auto"/>
        <w:jc w:val="center"/>
        <w:rPr>
          <w:rFonts w:ascii="Courier New" w:hAnsi="Courier New" w:cs="Courier New"/>
          <w:sz w:val="24"/>
          <w:szCs w:val="24"/>
        </w:rPr>
      </w:pPr>
    </w:p>
    <w:p w14:paraId="7A763E7E" w14:textId="77777777" w:rsidR="00094483" w:rsidRDefault="00094483">
      <w:pPr>
        <w:spacing w:line="240" w:lineRule="auto"/>
        <w:jc w:val="center"/>
        <w:rPr>
          <w:rFonts w:ascii="Courier New" w:hAnsi="Courier New" w:cs="Courier New"/>
          <w:sz w:val="24"/>
          <w:szCs w:val="24"/>
        </w:rPr>
      </w:pPr>
    </w:p>
    <w:p w14:paraId="25485DCA"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Jhonrey Binaraba</w:t>
      </w:r>
    </w:p>
    <w:p w14:paraId="6442C52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709260E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Kenneth Christian Tockiapao</w:t>
      </w:r>
    </w:p>
    <w:p w14:paraId="3A9C61CC" w14:textId="77777777" w:rsidR="00094483" w:rsidRDefault="00094483">
      <w:pPr>
        <w:spacing w:after="0" w:line="240" w:lineRule="auto"/>
        <w:jc w:val="center"/>
        <w:rPr>
          <w:rFonts w:ascii="Courier New" w:hAnsi="Courier New" w:cs="Courier New"/>
          <w:sz w:val="24"/>
          <w:szCs w:val="24"/>
        </w:rPr>
      </w:pPr>
    </w:p>
    <w:p w14:paraId="1C60ADE5" w14:textId="77777777" w:rsidR="00094483" w:rsidRDefault="00094483">
      <w:pPr>
        <w:spacing w:after="0" w:line="240" w:lineRule="auto"/>
        <w:jc w:val="center"/>
        <w:rPr>
          <w:rFonts w:ascii="Courier New" w:hAnsi="Courier New" w:cs="Courier New"/>
          <w:sz w:val="24"/>
          <w:szCs w:val="24"/>
        </w:rPr>
      </w:pPr>
    </w:p>
    <w:p w14:paraId="43FBFB6A" w14:textId="77777777" w:rsidR="00094483" w:rsidRDefault="00094483">
      <w:pPr>
        <w:spacing w:after="0" w:line="240" w:lineRule="auto"/>
        <w:jc w:val="center"/>
        <w:rPr>
          <w:rFonts w:ascii="Courier New" w:hAnsi="Courier New" w:cs="Courier New"/>
          <w:sz w:val="24"/>
          <w:szCs w:val="24"/>
        </w:rPr>
      </w:pPr>
    </w:p>
    <w:p w14:paraId="34E8E774" w14:textId="77777777" w:rsidR="00094483" w:rsidRDefault="00094483">
      <w:pPr>
        <w:spacing w:after="0" w:line="240" w:lineRule="auto"/>
        <w:rPr>
          <w:rFonts w:ascii="Courier New" w:hAnsi="Courier New" w:cs="Courier New"/>
          <w:b/>
          <w:sz w:val="24"/>
          <w:szCs w:val="24"/>
        </w:rPr>
      </w:pPr>
    </w:p>
    <w:p w14:paraId="66040DBA" w14:textId="70646B73" w:rsidR="00094483" w:rsidRDefault="007E56A2">
      <w:pPr>
        <w:spacing w:after="0" w:line="240" w:lineRule="auto"/>
        <w:jc w:val="center"/>
        <w:rPr>
          <w:rFonts w:ascii="Courier New" w:hAnsi="Courier New" w:cs="Courier New"/>
          <w:bCs/>
          <w:sz w:val="24"/>
          <w:szCs w:val="24"/>
        </w:rPr>
        <w:sectPr w:rsidR="00094483">
          <w:headerReference w:type="default" r:id="rId9"/>
          <w:footerReference w:type="default" r:id="rId10"/>
          <w:headerReference w:type="first" r:id="rId11"/>
          <w:footerReference w:type="first" r:id="rId12"/>
          <w:pgSz w:w="12240" w:h="15840"/>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ABSTRACT</w:t>
      </w:r>
      <w:r>
        <w:fldChar w:fldCharType="begin"/>
      </w:r>
      <w:r>
        <w:instrText xml:space="preserve"> TC "ABSTRACT" \f c \l 1 </w:instrText>
      </w:r>
      <w:r>
        <w:fldChar w:fldCharType="end"/>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Program chairpersons of Kalinga State University (KSU) check by hand whether students have met the prerequisites of the subjects they take. Interviews with the six Program Chairpersons of the College of Engineering and Information Technology (CEIT) showed that this review is done against the curriculum map within a compressed enrollment period, so violations are often discovered only at the graduation audit. This study designed and developed Auditrix: A Curriculum Audit System for KSU, a web-based system that checks every subject a student has taken against the prerequisites, co-requisites and year-standing requirements of the student's curriculum version.</w:t>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system was developed using the Iterative and Incremental Development model with Next.js, React, TypeScript, Tailwind CSS and Supabase (PostgreSQL with row-level security), and was tested with the BSCpE, BSIT and BSCE programs of the CEIT. Its audit engine compares the term in which each subject was taken with the term in which each requirement was passed, so the results do not depend on the order in which grades are encoded, and it marks each subject as Completed, Available, Pending, Unavailable or Violation, giving the reason for every violation. Following the KSU Student Handbook and Operations Manual, the system also determines each student's year level from the units passed and classifies students as regular or irregular against the prescribed load of the current semester. Other modules cover curriculum versions with import preview and export, student registration and import from KSU-MIS class lists, term-based grade entry with a grade logbook, shifts, transfers and drops, and dashboards for chairpersons and deans.</w:t>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All 149 automated unit and integration tests pass, and functional testing of each feature in a web browser passed after the defects found were fixed. The evaluation of the system against the ISO/IEC 25010 software quality model is yet to be conducted.</w:t>
      </w:r>
    </w:p>
    <w:p>
      <w:pPr>
        <w:spacing w:line="480" w:lineRule="auto"/>
        <w:jc w:val="both"/>
        <w:rPr>
          <w:rFonts w:ascii="Courier New" w:hAnsi="Courier New" w:cs="Courier New"/>
          <w:sz w:val="24"/>
          <w:szCs w:val="24"/>
        </w:rPr>
      </w:pPr>
      <w:r>
        <w:rPr>
          <w:rFonts w:ascii="Courier New" w:hAnsi="Courier New" w:cs="Courier New"/>
          <w:b/>
          <w:bCs/>
          <w:sz w:val="24"/>
          <w:szCs w:val="24"/>
        </w:rPr>
        <w:t xml:space="preserve">Keywords: </w:t>
      </w:r>
      <w:r>
        <w:rPr>
          <w:rFonts w:ascii="Courier New" w:hAnsi="Courier New" w:cs="Courier New"/>
          <w:i/>
          <w:iCs/>
          <w:sz w:val="24"/>
          <w:szCs w:val="24"/>
        </w:rPr>
        <w:t xml:space="preserve">curriculum audit, prerequisite checking, academic records, web-based system, ISO/IEC 25010</w:t>
      </w:r>
    </w:p>
    <w:p>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TABLE OF CONTENTS</w:t>
      </w:r>
    </w:p>
    <w:p>
      <w:pPr>
        <w:pStyle w:val="TOC1"/>
      </w:pPr>
      <w:r>
        <w:fldChar w:fldCharType="begin" w:dirty="true"/>
      </w:r>
      <w:r>
        <w:instrText xml:space="preserve"> TOC \f c \h \z </w:instrText>
      </w:r>
      <w:r>
        <w:fldChar w:fldCharType="separate"/>
      </w:r>
      <w:r>
        <w:rPr>
          <w:rFonts w:ascii="Courier New" w:hAnsi="Courier New" w:cs="Courier New"/>
          <w:sz w:val="24"/>
          <w:szCs w:val="24"/>
        </w:rPr>
        <w:t xml:space="preserve">ABSTRACT</w:t>
      </w:r>
      <w:r>
        <w:rPr>
          <w:rFonts w:ascii="Courier New" w:hAnsi="Courier New" w:cs="Courier New"/>
          <w:sz w:val="24"/>
          <w:szCs w:val="24"/>
        </w:rPr>
        <w:tab/>
      </w:r>
      <w:r>
        <w:rPr>
          <w:rFonts w:ascii="Courier New" w:hAnsi="Courier New" w:cs="Courier New"/>
          <w:sz w:val="24"/>
          <w:szCs w:val="24"/>
        </w:rPr>
        <w:t xml:space="preserve">ii</w:t>
      </w:r>
    </w:p>
    <w:p>
      <w:pPr>
        <w:pStyle w:val="TOC1"/>
      </w:pPr>
      <w:r>
        <w:rPr>
          <w:rFonts w:ascii="Courier New" w:hAnsi="Courier New" w:cs="Courier New"/>
          <w:sz w:val="24"/>
          <w:szCs w:val="24"/>
        </w:rPr>
        <w:t xml:space="preserve">LIST OF TABLES</w:t>
      </w:r>
      <w:r>
        <w:rPr>
          <w:rFonts w:ascii="Courier New" w:hAnsi="Courier New" w:cs="Courier New"/>
          <w:sz w:val="24"/>
          <w:szCs w:val="24"/>
        </w:rPr>
        <w:tab/>
      </w:r>
      <w:r>
        <w:rPr>
          <w:rFonts w:ascii="Courier New" w:hAnsi="Courier New" w:cs="Courier New"/>
          <w:sz w:val="24"/>
          <w:szCs w:val="24"/>
        </w:rPr>
        <w:t xml:space="preserve">vi</w:t>
      </w:r>
    </w:p>
    <w:p>
      <w:pPr>
        <w:pStyle w:val="TOC1"/>
      </w:pPr>
      <w:r>
        <w:rPr>
          <w:rFonts w:ascii="Courier New" w:hAnsi="Courier New" w:cs="Courier New"/>
          <w:sz w:val="24"/>
          <w:szCs w:val="24"/>
        </w:rPr>
        <w:t xml:space="preserve">LIST OF FIGURES</w:t>
      </w:r>
      <w:r>
        <w:rPr>
          <w:rFonts w:ascii="Courier New" w:hAnsi="Courier New" w:cs="Courier New"/>
          <w:sz w:val="24"/>
          <w:szCs w:val="24"/>
        </w:rPr>
        <w:tab/>
      </w:r>
      <w:r>
        <w:rPr>
          <w:rFonts w:ascii="Courier New" w:hAnsi="Courier New" w:cs="Courier New"/>
          <w:sz w:val="24"/>
          <w:szCs w:val="24"/>
        </w:rPr>
        <w:t xml:space="preserve">vii</w:t>
      </w:r>
    </w:p>
    <w:p>
      <w:pPr>
        <w:pStyle w:val="TOC1"/>
      </w:pPr>
      <w:r>
        <w:rPr>
          <w:rFonts w:ascii="Courier New" w:hAnsi="Courier New" w:cs="Courier New"/>
          <w:sz w:val="24"/>
          <w:szCs w:val="24"/>
        </w:rPr>
        <w:t xml:space="preserve">CHAPTER 1  INTRODUCTION</w:t>
      </w:r>
      <w:r>
        <w:rPr>
          <w:rFonts w:ascii="Courier New" w:hAnsi="Courier New" w:cs="Courier New"/>
          <w:sz w:val="24"/>
          <w:szCs w:val="24"/>
        </w:rPr>
        <w:tab/>
      </w:r>
      <w:r>
        <w:rPr>
          <w:rFonts w:ascii="Courier New" w:hAnsi="Courier New" w:cs="Courier New"/>
          <w:sz w:val="24"/>
          <w:szCs w:val="24"/>
        </w:rPr>
        <w:t xml:space="preserve">1</w:t>
      </w:r>
    </w:p>
    <w:p>
      <w:pPr>
        <w:pStyle w:val="TOC2"/>
      </w:pPr>
      <w:r>
        <w:rPr>
          <w:rFonts w:ascii="Courier New" w:hAnsi="Courier New" w:cs="Courier New"/>
          <w:sz w:val="24"/>
          <w:szCs w:val="24"/>
        </w:rPr>
        <w:t xml:space="preserve">Background of the Study</w:t>
      </w:r>
      <w:r>
        <w:rPr>
          <w:rFonts w:ascii="Courier New" w:hAnsi="Courier New" w:cs="Courier New"/>
          <w:sz w:val="24"/>
          <w:szCs w:val="24"/>
        </w:rPr>
        <w:tab/>
      </w:r>
      <w:r>
        <w:rPr>
          <w:rFonts w:ascii="Courier New" w:hAnsi="Courier New" w:cs="Courier New"/>
          <w:sz w:val="24"/>
          <w:szCs w:val="24"/>
        </w:rPr>
        <w:t xml:space="preserve">1</w:t>
      </w:r>
    </w:p>
    <w:p>
      <w:pPr>
        <w:pStyle w:val="TOC2"/>
      </w:pPr>
      <w:r>
        <w:rPr>
          <w:rFonts w:ascii="Courier New" w:hAnsi="Courier New" w:cs="Courier New"/>
          <w:sz w:val="24"/>
          <w:szCs w:val="24"/>
        </w:rPr>
        <w:t xml:space="preserve">State of the Art</w:t>
      </w:r>
      <w:r>
        <w:rPr>
          <w:rFonts w:ascii="Courier New" w:hAnsi="Courier New" w:cs="Courier New"/>
          <w:sz w:val="24"/>
          <w:szCs w:val="24"/>
        </w:rPr>
        <w:tab/>
      </w:r>
      <w:r>
        <w:rPr>
          <w:rFonts w:ascii="Courier New" w:hAnsi="Courier New" w:cs="Courier New"/>
          <w:sz w:val="24"/>
          <w:szCs w:val="24"/>
        </w:rPr>
        <w:t xml:space="preserve">7</w:t>
      </w:r>
    </w:p>
    <w:p>
      <w:pPr>
        <w:pStyle w:val="TOC2"/>
      </w:pPr>
      <w:r>
        <w:rPr>
          <w:rFonts w:ascii="Courier New" w:hAnsi="Courier New" w:cs="Courier New"/>
          <w:sz w:val="24"/>
          <w:szCs w:val="24"/>
        </w:rPr>
        <w:t xml:space="preserve">Company Profile</w:t>
      </w:r>
      <w:r>
        <w:rPr>
          <w:rFonts w:ascii="Courier New" w:hAnsi="Courier New" w:cs="Courier New"/>
          <w:sz w:val="24"/>
          <w:szCs w:val="24"/>
        </w:rPr>
        <w:tab/>
      </w:r>
      <w:r>
        <w:rPr>
          <w:rFonts w:ascii="Courier New" w:hAnsi="Courier New" w:cs="Courier New"/>
          <w:sz w:val="24"/>
          <w:szCs w:val="24"/>
        </w:rPr>
        <w:t xml:space="preserve">8</w:t>
      </w:r>
    </w:p>
    <w:p>
      <w:pPr>
        <w:pStyle w:val="TOC2"/>
      </w:pPr>
      <w:r>
        <w:rPr>
          <w:rFonts w:ascii="Courier New" w:hAnsi="Courier New" w:cs="Courier New"/>
          <w:sz w:val="24"/>
          <w:szCs w:val="24"/>
        </w:rPr>
        <w:t xml:space="preserve">Statement of the Problem</w:t>
      </w:r>
      <w:r>
        <w:rPr>
          <w:rFonts w:ascii="Courier New" w:hAnsi="Courier New" w:cs="Courier New"/>
          <w:sz w:val="24"/>
          <w:szCs w:val="24"/>
        </w:rPr>
        <w:tab/>
      </w:r>
      <w:r>
        <w:rPr>
          <w:rFonts w:ascii="Courier New" w:hAnsi="Courier New" w:cs="Courier New"/>
          <w:sz w:val="24"/>
          <w:szCs w:val="24"/>
        </w:rPr>
        <w:t xml:space="preserve">10</w:t>
      </w:r>
    </w:p>
    <w:p>
      <w:pPr>
        <w:pStyle w:val="TOC2"/>
      </w:pPr>
      <w:r>
        <w:rPr>
          <w:rFonts w:ascii="Courier New" w:hAnsi="Courier New" w:cs="Courier New"/>
          <w:sz w:val="24"/>
          <w:szCs w:val="24"/>
        </w:rPr>
        <w:t xml:space="preserve">Objectives of the Study</w:t>
      </w:r>
      <w:r>
        <w:rPr>
          <w:rFonts w:ascii="Courier New" w:hAnsi="Courier New" w:cs="Courier New"/>
          <w:sz w:val="24"/>
          <w:szCs w:val="24"/>
        </w:rPr>
        <w:tab/>
      </w:r>
      <w:r>
        <w:rPr>
          <w:rFonts w:ascii="Courier New" w:hAnsi="Courier New" w:cs="Courier New"/>
          <w:sz w:val="24"/>
          <w:szCs w:val="24"/>
        </w:rPr>
        <w:t xml:space="preserve">11</w:t>
      </w:r>
    </w:p>
    <w:p>
      <w:pPr>
        <w:pStyle w:val="TOC2"/>
      </w:pPr>
      <w:r>
        <w:rPr>
          <w:rFonts w:ascii="Courier New" w:hAnsi="Courier New" w:cs="Courier New"/>
          <w:sz w:val="24"/>
          <w:szCs w:val="24"/>
        </w:rPr>
        <w:t xml:space="preserve">Significance of the Study</w:t>
      </w:r>
      <w:r>
        <w:rPr>
          <w:rFonts w:ascii="Courier New" w:hAnsi="Courier New" w:cs="Courier New"/>
          <w:sz w:val="24"/>
          <w:szCs w:val="24"/>
        </w:rPr>
        <w:tab/>
      </w:r>
      <w:r>
        <w:rPr>
          <w:rFonts w:ascii="Courier New" w:hAnsi="Courier New" w:cs="Courier New"/>
          <w:sz w:val="24"/>
          <w:szCs w:val="24"/>
        </w:rPr>
        <w:t xml:space="preserve">12</w:t>
      </w:r>
    </w:p>
    <w:p>
      <w:pPr>
        <w:pStyle w:val="TOC2"/>
      </w:pPr>
      <w:r>
        <w:rPr>
          <w:rFonts w:ascii="Courier New" w:hAnsi="Courier New" w:cs="Courier New"/>
          <w:sz w:val="24"/>
          <w:szCs w:val="24"/>
        </w:rPr>
        <w:t xml:space="preserve">Scope and Delimitations</w:t>
      </w:r>
      <w:r>
        <w:rPr>
          <w:rFonts w:ascii="Courier New" w:hAnsi="Courier New" w:cs="Courier New"/>
          <w:sz w:val="24"/>
          <w:szCs w:val="24"/>
        </w:rPr>
        <w:tab/>
      </w:r>
      <w:r>
        <w:rPr>
          <w:rFonts w:ascii="Courier New" w:hAnsi="Courier New" w:cs="Courier New"/>
          <w:sz w:val="24"/>
          <w:szCs w:val="24"/>
        </w:rPr>
        <w:t xml:space="preserve">15</w:t>
      </w:r>
    </w:p>
    <w:p>
      <w:pPr>
        <w:pStyle w:val="TOC2"/>
      </w:pPr>
      <w:r>
        <w:rPr>
          <w:rFonts w:ascii="Courier New" w:hAnsi="Courier New" w:cs="Courier New"/>
          <w:sz w:val="24"/>
          <w:szCs w:val="24"/>
        </w:rPr>
        <w:t xml:space="preserve">Definition of Terms</w:t>
      </w:r>
      <w:r>
        <w:rPr>
          <w:rFonts w:ascii="Courier New" w:hAnsi="Courier New" w:cs="Courier New"/>
          <w:sz w:val="24"/>
          <w:szCs w:val="24"/>
        </w:rPr>
        <w:tab/>
      </w:r>
      <w:r>
        <w:rPr>
          <w:rFonts w:ascii="Courier New" w:hAnsi="Courier New" w:cs="Courier New"/>
          <w:sz w:val="24"/>
          <w:szCs w:val="24"/>
        </w:rPr>
        <w:t xml:space="preserve">18</w:t>
      </w:r>
    </w:p>
    <w:p>
      <w:pPr>
        <w:pStyle w:val="TOC1"/>
      </w:pPr>
      <w:r>
        <w:rPr>
          <w:rFonts w:ascii="Courier New" w:hAnsi="Courier New" w:cs="Courier New"/>
          <w:sz w:val="24"/>
          <w:szCs w:val="24"/>
        </w:rPr>
        <w:t xml:space="preserve">CHAPTER 2  REVIEW OF RELATED LITERATURE</w:t>
      </w:r>
      <w:r>
        <w:rPr>
          <w:rFonts w:ascii="Courier New" w:hAnsi="Courier New" w:cs="Courier New"/>
          <w:sz w:val="24"/>
          <w:szCs w:val="24"/>
        </w:rPr>
        <w:tab/>
      </w:r>
      <w:r>
        <w:rPr>
          <w:rFonts w:ascii="Courier New" w:hAnsi="Courier New" w:cs="Courier New"/>
          <w:sz w:val="24"/>
          <w:szCs w:val="24"/>
        </w:rPr>
        <w:t xml:space="preserve">22</w:t>
      </w:r>
    </w:p>
    <w:p>
      <w:pPr>
        <w:pStyle w:val="TOC2"/>
      </w:pPr>
      <w:r>
        <w:rPr>
          <w:rFonts w:ascii="Courier New" w:hAnsi="Courier New" w:cs="Courier New"/>
          <w:sz w:val="24"/>
          <w:szCs w:val="24"/>
        </w:rPr>
        <w:t xml:space="preserve">Global Literature</w:t>
      </w:r>
      <w:r>
        <w:rPr>
          <w:rFonts w:ascii="Courier New" w:hAnsi="Courier New" w:cs="Courier New"/>
          <w:sz w:val="24"/>
          <w:szCs w:val="24"/>
        </w:rPr>
        <w:tab/>
      </w:r>
      <w:r>
        <w:rPr>
          <w:rFonts w:ascii="Courier New" w:hAnsi="Courier New" w:cs="Courier New"/>
          <w:sz w:val="24"/>
          <w:szCs w:val="24"/>
        </w:rPr>
        <w:t xml:space="preserve">22</w:t>
      </w:r>
    </w:p>
    <w:p>
      <w:pPr>
        <w:pStyle w:val="TOC2"/>
      </w:pPr>
      <w:r>
        <w:rPr>
          <w:rFonts w:ascii="Courier New" w:hAnsi="Courier New" w:cs="Courier New"/>
          <w:sz w:val="24"/>
          <w:szCs w:val="24"/>
        </w:rPr>
        <w:t xml:space="preserve">Local Literature</w:t>
      </w:r>
      <w:r>
        <w:rPr>
          <w:rFonts w:ascii="Courier New" w:hAnsi="Courier New" w:cs="Courier New"/>
          <w:sz w:val="24"/>
          <w:szCs w:val="24"/>
        </w:rPr>
        <w:tab/>
      </w:r>
      <w:r>
        <w:rPr>
          <w:rFonts w:ascii="Courier New" w:hAnsi="Courier New" w:cs="Courier New"/>
          <w:sz w:val="24"/>
          <w:szCs w:val="24"/>
        </w:rPr>
        <w:t xml:space="preserve">28</w:t>
      </w:r>
    </w:p>
    <w:p>
      <w:pPr>
        <w:pStyle w:val="TOC1"/>
      </w:pPr>
      <w:r>
        <w:rPr>
          <w:rFonts w:ascii="Courier New" w:hAnsi="Courier New" w:cs="Courier New"/>
          <w:sz w:val="24"/>
          <w:szCs w:val="24"/>
        </w:rPr>
        <w:t xml:space="preserve">CHAPTER 3  DESIGN AND METHODOLOGY</w:t>
      </w:r>
      <w:r>
        <w:rPr>
          <w:rFonts w:ascii="Courier New" w:hAnsi="Courier New" w:cs="Courier New"/>
          <w:sz w:val="24"/>
          <w:szCs w:val="24"/>
        </w:rPr>
        <w:tab/>
      </w:r>
      <w:r>
        <w:rPr>
          <w:rFonts w:ascii="Courier New" w:hAnsi="Courier New" w:cs="Courier New"/>
          <w:sz w:val="24"/>
          <w:szCs w:val="24"/>
        </w:rPr>
        <w:t xml:space="preserve">37</w:t>
      </w:r>
    </w:p>
    <w:p>
      <w:pPr>
        <w:pStyle w:val="TOC2"/>
      </w:pPr>
      <w:r>
        <w:rPr>
          <w:rFonts w:ascii="Courier New" w:hAnsi="Courier New" w:cs="Courier New"/>
          <w:sz w:val="24"/>
          <w:szCs w:val="24"/>
        </w:rPr>
        <w:t xml:space="preserve">Software Development Methodology</w:t>
      </w:r>
      <w:r>
        <w:rPr>
          <w:rFonts w:ascii="Courier New" w:hAnsi="Courier New" w:cs="Courier New"/>
          <w:sz w:val="24"/>
          <w:szCs w:val="24"/>
        </w:rPr>
        <w:tab/>
      </w:r>
      <w:r>
        <w:rPr>
          <w:rFonts w:ascii="Courier New" w:hAnsi="Courier New" w:cs="Courier New"/>
          <w:sz w:val="24"/>
          <w:szCs w:val="24"/>
        </w:rPr>
        <w:t xml:space="preserve">37</w:t>
      </w:r>
    </w:p>
    <w:p>
      <w:pPr>
        <w:pStyle w:val="TOC2"/>
      </w:pPr>
      <w:r>
        <w:rPr>
          <w:rFonts w:ascii="Courier New" w:hAnsi="Courier New" w:cs="Courier New"/>
          <w:sz w:val="24"/>
          <w:szCs w:val="24"/>
        </w:rPr>
        <w:t xml:space="preserve">Locale and Population of the Study</w:t>
      </w:r>
      <w:r>
        <w:rPr>
          <w:rFonts w:ascii="Courier New" w:hAnsi="Courier New" w:cs="Courier New"/>
          <w:sz w:val="24"/>
          <w:szCs w:val="24"/>
        </w:rPr>
        <w:tab/>
      </w:r>
      <w:r>
        <w:rPr>
          <w:rFonts w:ascii="Courier New" w:hAnsi="Courier New" w:cs="Courier New"/>
          <w:sz w:val="24"/>
          <w:szCs w:val="24"/>
        </w:rPr>
        <w:t xml:space="preserve">42</w:t>
      </w:r>
    </w:p>
    <w:p>
      <w:pPr>
        <w:pStyle w:val="TOC2"/>
      </w:pPr>
      <w:r>
        <w:rPr>
          <w:rFonts w:ascii="Courier New" w:hAnsi="Courier New" w:cs="Courier New"/>
          <w:sz w:val="24"/>
          <w:szCs w:val="24"/>
        </w:rPr>
        <w:t xml:space="preserve">Data Gathering Techniques</w:t>
      </w:r>
      <w:r>
        <w:rPr>
          <w:rFonts w:ascii="Courier New" w:hAnsi="Courier New" w:cs="Courier New"/>
          <w:sz w:val="24"/>
          <w:szCs w:val="24"/>
        </w:rPr>
        <w:tab/>
      </w:r>
      <w:r>
        <w:rPr>
          <w:rFonts w:ascii="Courier New" w:hAnsi="Courier New" w:cs="Courier New"/>
          <w:sz w:val="24"/>
          <w:szCs w:val="24"/>
        </w:rPr>
        <w:t xml:space="preserve">43</w:t>
      </w:r>
    </w:p>
    <w:p>
      <w:pPr>
        <w:pStyle w:val="TOC2"/>
      </w:pPr>
      <w:r>
        <w:rPr>
          <w:rFonts w:ascii="Courier New" w:hAnsi="Courier New" w:cs="Courier New"/>
          <w:sz w:val="24"/>
          <w:szCs w:val="24"/>
        </w:rPr>
        <w:t xml:space="preserve">Data Gathering Tools</w:t>
      </w:r>
      <w:r>
        <w:rPr>
          <w:rFonts w:ascii="Courier New" w:hAnsi="Courier New" w:cs="Courier New"/>
          <w:sz w:val="24"/>
          <w:szCs w:val="24"/>
        </w:rPr>
        <w:tab/>
      </w:r>
      <w:r>
        <w:rPr>
          <w:rFonts w:ascii="Courier New" w:hAnsi="Courier New" w:cs="Courier New"/>
          <w:sz w:val="24"/>
          <w:szCs w:val="24"/>
        </w:rPr>
        <w:t xml:space="preserve">44</w:t>
      </w:r>
    </w:p>
    <w:p>
      <w:pPr>
        <w:pStyle w:val="TOC2"/>
      </w:pPr>
      <w:r>
        <w:rPr>
          <w:rFonts w:ascii="Courier New" w:hAnsi="Courier New" w:cs="Courier New"/>
          <w:sz w:val="24"/>
          <w:szCs w:val="24"/>
        </w:rPr>
        <w:t xml:space="preserve">Sources of the Data</w:t>
      </w:r>
      <w:r>
        <w:rPr>
          <w:rFonts w:ascii="Courier New" w:hAnsi="Courier New" w:cs="Courier New"/>
          <w:sz w:val="24"/>
          <w:szCs w:val="24"/>
        </w:rPr>
        <w:tab/>
      </w:r>
      <w:r>
        <w:rPr>
          <w:rFonts w:ascii="Courier New" w:hAnsi="Courier New" w:cs="Courier New"/>
          <w:sz w:val="24"/>
          <w:szCs w:val="24"/>
        </w:rPr>
        <w:t xml:space="preserve">45</w:t>
      </w:r>
    </w:p>
    <w:p>
      <w:pPr>
        <w:pStyle w:val="TOC2"/>
      </w:pPr>
      <w:r>
        <w:rPr>
          <w:rFonts w:ascii="Courier New" w:hAnsi="Courier New" w:cs="Courier New"/>
          <w:sz w:val="24"/>
          <w:szCs w:val="24"/>
        </w:rPr>
        <w:t xml:space="preserve">Data Analysis</w:t>
      </w:r>
      <w:r>
        <w:rPr>
          <w:rFonts w:ascii="Courier New" w:hAnsi="Courier New" w:cs="Courier New"/>
          <w:sz w:val="24"/>
          <w:szCs w:val="24"/>
        </w:rPr>
        <w:tab/>
      </w:r>
      <w:r>
        <w:rPr>
          <w:rFonts w:ascii="Courier New" w:hAnsi="Courier New" w:cs="Courier New"/>
          <w:sz w:val="24"/>
          <w:szCs w:val="24"/>
        </w:rPr>
        <w:t xml:space="preserve">46</w:t>
      </w:r>
    </w:p>
    <w:p>
      <w:pPr>
        <w:pStyle w:val="TOC2"/>
      </w:pPr>
      <w:r>
        <w:rPr>
          <w:rFonts w:ascii="Courier New" w:hAnsi="Courier New" w:cs="Courier New"/>
          <w:sz w:val="24"/>
          <w:szCs w:val="24"/>
        </w:rPr>
        <w:t xml:space="preserve">Software Development Tools</w:t>
      </w:r>
      <w:r>
        <w:rPr>
          <w:rFonts w:ascii="Courier New" w:hAnsi="Courier New" w:cs="Courier New"/>
          <w:sz w:val="24"/>
          <w:szCs w:val="24"/>
        </w:rPr>
        <w:tab/>
      </w:r>
      <w:r>
        <w:rPr>
          <w:rFonts w:ascii="Courier New" w:hAnsi="Courier New" w:cs="Courier New"/>
          <w:sz w:val="24"/>
          <w:szCs w:val="24"/>
        </w:rPr>
        <w:t xml:space="preserve">47</w:t>
      </w:r>
    </w:p>
    <w:p>
      <w:pPr>
        <w:pStyle w:val="TOC1"/>
      </w:pPr>
      <w:r>
        <w:rPr>
          <w:rFonts w:ascii="Courier New" w:hAnsi="Courier New" w:cs="Courier New"/>
          <w:sz w:val="24"/>
          <w:szCs w:val="24"/>
        </w:rPr>
        <w:t xml:space="preserve">CHAPTER 4  RESULTS AND DISCUSSION</w:t>
      </w:r>
      <w:r>
        <w:rPr>
          <w:rFonts w:ascii="Courier New" w:hAnsi="Courier New" w:cs="Courier New"/>
          <w:sz w:val="24"/>
          <w:szCs w:val="24"/>
        </w:rPr>
        <w:tab/>
      </w:r>
      <w:r>
        <w:rPr>
          <w:rFonts w:ascii="Courier New" w:hAnsi="Courier New" w:cs="Courier New"/>
          <w:sz w:val="24"/>
          <w:szCs w:val="24"/>
        </w:rPr>
        <w:t xml:space="preserve">50</w:t>
      </w:r>
    </w:p>
    <w:p>
      <w:pPr>
        <w:pStyle w:val="TOC2"/>
      </w:pPr>
      <w:r>
        <w:rPr>
          <w:rFonts w:ascii="Courier New" w:hAnsi="Courier New" w:cs="Courier New"/>
          <w:sz w:val="24"/>
          <w:szCs w:val="24"/>
        </w:rPr>
        <w:t xml:space="preserve">Process of the Existing System (SOP No. 1)</w:t>
      </w:r>
      <w:r>
        <w:rPr>
          <w:rFonts w:ascii="Courier New" w:hAnsi="Courier New" w:cs="Courier New"/>
          <w:sz w:val="24"/>
          <w:szCs w:val="24"/>
        </w:rPr>
        <w:tab/>
      </w:r>
      <w:r>
        <w:rPr>
          <w:rFonts w:ascii="Courier New" w:hAnsi="Courier New" w:cs="Courier New"/>
          <w:sz w:val="24"/>
          <w:szCs w:val="24"/>
        </w:rPr>
        <w:t xml:space="preserve">50</w:t>
      </w:r>
    </w:p>
    <w:p>
      <w:pPr>
        <w:pStyle w:val="TOC2"/>
      </w:pPr>
      <w:r>
        <w:rPr>
          <w:rFonts w:ascii="Courier New" w:hAnsi="Courier New" w:cs="Courier New"/>
          <w:sz w:val="24"/>
          <w:szCs w:val="24"/>
        </w:rPr>
        <w:t xml:space="preserve">Problems Encountered in the Current System (SOP No. 2)</w:t>
      </w:r>
      <w:r>
        <w:rPr>
          <w:rFonts w:ascii="Courier New" w:hAnsi="Courier New" w:cs="Courier New"/>
          <w:sz w:val="24"/>
          <w:szCs w:val="24"/>
        </w:rPr>
        <w:tab/>
      </w:r>
      <w:r>
        <w:rPr>
          <w:rFonts w:ascii="Courier New" w:hAnsi="Courier New" w:cs="Courier New"/>
          <w:sz w:val="24"/>
          <w:szCs w:val="24"/>
        </w:rPr>
        <w:t xml:space="preserve">53</w:t>
      </w:r>
    </w:p>
    <w:p>
      <w:pPr>
        <w:pStyle w:val="TOC2"/>
      </w:pPr>
      <w:r>
        <w:rPr>
          <w:rFonts w:ascii="Courier New" w:hAnsi="Courier New" w:cs="Courier New"/>
          <w:sz w:val="24"/>
          <w:szCs w:val="24"/>
        </w:rPr>
        <w:t xml:space="preserve">Narrative Description of the Proposed System (SOP No. 3)</w:t>
      </w:r>
      <w:r>
        <w:rPr>
          <w:rFonts w:ascii="Courier New" w:hAnsi="Courier New" w:cs="Courier New"/>
          <w:sz w:val="24"/>
          <w:szCs w:val="24"/>
        </w:rPr>
        <w:tab/>
      </w:r>
      <w:r>
        <w:rPr>
          <w:rFonts w:ascii="Courier New" w:hAnsi="Courier New" w:cs="Courier New"/>
          <w:sz w:val="24"/>
          <w:szCs w:val="24"/>
        </w:rPr>
        <w:t xml:space="preserve">55</w:t>
      </w:r>
    </w:p>
    <w:p>
      <w:pPr>
        <w:pStyle w:val="TOC2"/>
      </w:pPr>
      <w:r>
        <w:rPr>
          <w:rFonts w:ascii="Courier New" w:hAnsi="Courier New" w:cs="Courier New"/>
          <w:sz w:val="24"/>
          <w:szCs w:val="24"/>
        </w:rPr>
        <w:t xml:space="preserve">Decisions Made with the Adviser</w:t>
      </w:r>
      <w:r>
        <w:rPr>
          <w:rFonts w:ascii="Courier New" w:hAnsi="Courier New" w:cs="Courier New"/>
          <w:sz w:val="24"/>
          <w:szCs w:val="24"/>
        </w:rPr>
        <w:tab/>
      </w:r>
      <w:r>
        <w:rPr>
          <w:rFonts w:ascii="Courier New" w:hAnsi="Courier New" w:cs="Courier New"/>
          <w:sz w:val="24"/>
          <w:szCs w:val="24"/>
        </w:rPr>
        <w:t xml:space="preserve">64</w:t>
      </w:r>
    </w:p>
    <w:p>
      <w:pPr>
        <w:pStyle w:val="TOC2"/>
      </w:pPr>
      <w:r>
        <w:rPr>
          <w:rFonts w:ascii="Courier New" w:hAnsi="Courier New" w:cs="Courier New"/>
          <w:sz w:val="24"/>
          <w:szCs w:val="24"/>
        </w:rPr>
        <w:t xml:space="preserve">Features of the Proposed System</w:t>
      </w:r>
      <w:r>
        <w:rPr>
          <w:rFonts w:ascii="Courier New" w:hAnsi="Courier New" w:cs="Courier New"/>
          <w:sz w:val="24"/>
          <w:szCs w:val="24"/>
        </w:rPr>
        <w:tab/>
      </w:r>
      <w:r>
        <w:rPr>
          <w:rFonts w:ascii="Courier New" w:hAnsi="Courier New" w:cs="Courier New"/>
          <w:sz w:val="24"/>
          <w:szCs w:val="24"/>
        </w:rPr>
        <w:t xml:space="preserve">65</w:t>
      </w:r>
    </w:p>
    <w:p>
      <w:pPr>
        <w:pStyle w:val="TOC2"/>
      </w:pPr>
      <w:r>
        <w:rPr>
          <w:rFonts w:ascii="Courier New" w:hAnsi="Courier New" w:cs="Courier New"/>
          <w:sz w:val="24"/>
          <w:szCs w:val="24"/>
        </w:rPr>
        <w:t xml:space="preserve">Input-Process-Output (IPO) Diagram of the Proposed System</w:t>
      </w:r>
      <w:r>
        <w:rPr>
          <w:rFonts w:ascii="Courier New" w:hAnsi="Courier New" w:cs="Courier New"/>
          <w:sz w:val="24"/>
          <w:szCs w:val="24"/>
        </w:rPr>
        <w:tab/>
      </w:r>
      <w:r>
        <w:rPr>
          <w:rFonts w:ascii="Courier New" w:hAnsi="Courier New" w:cs="Courier New"/>
          <w:sz w:val="24"/>
          <w:szCs w:val="24"/>
        </w:rPr>
        <w:t xml:space="preserve">67</w:t>
      </w:r>
    </w:p>
    <w:p>
      <w:pPr>
        <w:pStyle w:val="TOC2"/>
      </w:pPr>
      <w:r>
        <w:rPr>
          <w:rFonts w:ascii="Courier New" w:hAnsi="Courier New" w:cs="Courier New"/>
          <w:sz w:val="24"/>
          <w:szCs w:val="24"/>
        </w:rPr>
        <w:t xml:space="preserve">Non-Functional Requirements of the Proposed System</w:t>
      </w:r>
      <w:r>
        <w:rPr>
          <w:rFonts w:ascii="Courier New" w:hAnsi="Courier New" w:cs="Courier New"/>
          <w:sz w:val="24"/>
          <w:szCs w:val="24"/>
        </w:rPr>
        <w:tab/>
      </w:r>
      <w:r>
        <w:rPr>
          <w:rFonts w:ascii="Courier New" w:hAnsi="Courier New" w:cs="Courier New"/>
          <w:sz w:val="24"/>
          <w:szCs w:val="24"/>
        </w:rPr>
        <w:t xml:space="preserve">83</w:t>
      </w:r>
    </w:p>
    <w:p>
      <w:pPr>
        <w:pStyle w:val="TOC2"/>
      </w:pPr>
      <w:r>
        <w:rPr>
          <w:rFonts w:ascii="Courier New" w:hAnsi="Courier New" w:cs="Courier New"/>
          <w:sz w:val="24"/>
          <w:szCs w:val="24"/>
        </w:rPr>
        <w:t xml:space="preserve">Testing of the System</w:t>
      </w:r>
      <w:r>
        <w:rPr>
          <w:rFonts w:ascii="Courier New" w:hAnsi="Courier New" w:cs="Courier New"/>
          <w:sz w:val="24"/>
          <w:szCs w:val="24"/>
        </w:rPr>
        <w:tab/>
      </w:r>
      <w:r>
        <w:rPr>
          <w:rFonts w:ascii="Courier New" w:hAnsi="Courier New" w:cs="Courier New"/>
          <w:sz w:val="24"/>
          <w:szCs w:val="24"/>
        </w:rPr>
        <w:t xml:space="preserve">84</w:t>
      </w:r>
    </w:p>
    <w:p>
      <w:pPr>
        <w:pStyle w:val="TOC2"/>
      </w:pPr>
      <w:r>
        <w:rPr>
          <w:rFonts w:ascii="Courier New" w:hAnsi="Courier New" w:cs="Courier New"/>
          <w:sz w:val="24"/>
          <w:szCs w:val="24"/>
        </w:rPr>
        <w:t xml:space="preserve">Extent of Compliance of the Proposed System (SOP No. 4)</w:t>
      </w:r>
      <w:r>
        <w:rPr>
          <w:rFonts w:ascii="Courier New" w:hAnsi="Courier New" w:cs="Courier New"/>
          <w:sz w:val="24"/>
          <w:szCs w:val="24"/>
        </w:rPr>
        <w:tab/>
      </w:r>
      <w:r>
        <w:rPr>
          <w:rFonts w:ascii="Courier New" w:hAnsi="Courier New" w:cs="Courier New"/>
          <w:sz w:val="24"/>
          <w:szCs w:val="24"/>
        </w:rPr>
        <w:t xml:space="preserve">87</w:t>
      </w:r>
    </w:p>
    <w:p>
      <w:pPr>
        <w:pStyle w:val="TOC1"/>
      </w:pPr>
      <w:r>
        <w:rPr>
          <w:rFonts w:ascii="Courier New" w:hAnsi="Courier New" w:cs="Courier New"/>
          <w:sz w:val="24"/>
          <w:szCs w:val="24"/>
        </w:rPr>
        <w:t xml:space="preserve">REFERENCES</w:t>
      </w:r>
      <w:r>
        <w:rPr>
          <w:rFonts w:ascii="Courier New" w:hAnsi="Courier New" w:cs="Courier New"/>
          <w:sz w:val="24"/>
          <w:szCs w:val="24"/>
        </w:rPr>
        <w:tab/>
      </w:r>
      <w:r>
        <w:rPr>
          <w:rFonts w:ascii="Courier New" w:hAnsi="Courier New" w:cs="Courier New"/>
          <w:sz w:val="24"/>
          <w:szCs w:val="24"/>
        </w:rPr>
        <w:t xml:space="preserve">90</w:t>
      </w:r>
      <w:r>
        <w:fldChar w:fldCharType="end"/>
      </w:r>
    </w:p>
    <w:p>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LIST OF TABLES</w:t>
      </w:r>
      <w:r>
        <w:fldChar w:fldCharType="begin"/>
      </w:r>
      <w:r>
        <w:instrText xml:space="preserve"> TC "LIST OF TABLES" \f c \l 1 </w:instrText>
      </w:r>
      <w:r>
        <w:fldChar w:fldCharType="end"/>
      </w:r>
    </w:p>
    <w:p>
      <w:pPr>
        <w:pStyle w:val="TableofFigures"/>
      </w:pPr>
      <w:r>
        <w:fldChar w:fldCharType="begin" w:dirty="true"/>
      </w:r>
      <w:r>
        <w:instrText xml:space="preserve"> TOC \f t \h \z </w:instrText>
      </w:r>
      <w:r>
        <w:fldChar w:fldCharType="separate"/>
      </w:r>
      <w:r>
        <w:rPr>
          <w:rFonts w:ascii="Courier New" w:hAnsi="Courier New" w:cs="Courier New"/>
          <w:sz w:val="24"/>
          <w:szCs w:val="24"/>
        </w:rPr>
        <w:t xml:space="preserve">Table 4.1. Status of a Subject in the Student Audit</w:t>
      </w:r>
      <w:r>
        <w:rPr>
          <w:rFonts w:ascii="Courier New" w:hAnsi="Courier New" w:cs="Courier New"/>
          <w:sz w:val="24"/>
          <w:szCs w:val="24"/>
        </w:rPr>
        <w:tab/>
      </w:r>
      <w:r>
        <w:rPr>
          <w:rFonts w:ascii="Courier New" w:hAnsi="Courier New" w:cs="Courier New"/>
          <w:sz w:val="24"/>
          <w:szCs w:val="24"/>
        </w:rPr>
        <w:t xml:space="preserve">57</w:t>
      </w:r>
    </w:p>
    <w:p>
      <w:pPr>
        <w:pStyle w:val="TableofFigures"/>
      </w:pPr>
      <w:r>
        <w:rPr>
          <w:rFonts w:ascii="Courier New" w:hAnsi="Courier New" w:cs="Courier New"/>
          <w:sz w:val="24"/>
          <w:szCs w:val="24"/>
        </w:rPr>
        <w:t xml:space="preserve">Table 4.2. Year Level by Share of Curriculum Units Passed</w:t>
      </w:r>
      <w:r>
        <w:rPr>
          <w:rFonts w:ascii="Courier New" w:hAnsi="Courier New" w:cs="Courier New"/>
          <w:sz w:val="24"/>
          <w:szCs w:val="24"/>
        </w:rPr>
        <w:tab/>
      </w:r>
      <w:r>
        <w:rPr>
          <w:rFonts w:ascii="Courier New" w:hAnsi="Courier New" w:cs="Courier New"/>
          <w:sz w:val="24"/>
          <w:szCs w:val="24"/>
        </w:rPr>
        <w:t xml:space="preserve">60</w:t>
      </w:r>
    </w:p>
    <w:p>
      <w:pPr>
        <w:pStyle w:val="TableofFigures"/>
      </w:pPr>
      <w:r>
        <w:rPr>
          <w:rFonts w:ascii="Courier New" w:hAnsi="Courier New" w:cs="Courier New"/>
          <w:sz w:val="24"/>
          <w:szCs w:val="24"/>
        </w:rPr>
        <w:t xml:space="preserve">Table 4.3. Decisions Made with the Adviser</w:t>
      </w:r>
      <w:r>
        <w:rPr>
          <w:rFonts w:ascii="Courier New" w:hAnsi="Courier New" w:cs="Courier New"/>
          <w:sz w:val="24"/>
          <w:szCs w:val="24"/>
        </w:rPr>
        <w:tab/>
      </w:r>
      <w:r>
        <w:rPr>
          <w:rFonts w:ascii="Courier New" w:hAnsi="Courier New" w:cs="Courier New"/>
          <w:sz w:val="24"/>
          <w:szCs w:val="24"/>
        </w:rPr>
        <w:t xml:space="preserve">65</w:t>
      </w:r>
    </w:p>
    <w:p>
      <w:pPr>
        <w:pStyle w:val="TableofFigures"/>
      </w:pPr>
      <w:r>
        <w:rPr>
          <w:rFonts w:ascii="Courier New" w:hAnsi="Courier New" w:cs="Courier New"/>
          <w:sz w:val="24"/>
          <w:szCs w:val="24"/>
        </w:rPr>
        <w:t xml:space="preserve">Table 4.4. Summary of the Automated Tests</w:t>
      </w:r>
      <w:r>
        <w:rPr>
          <w:rFonts w:ascii="Courier New" w:hAnsi="Courier New" w:cs="Courier New"/>
          <w:sz w:val="24"/>
          <w:szCs w:val="24"/>
        </w:rPr>
        <w:tab/>
      </w:r>
      <w:r>
        <w:rPr>
          <w:rFonts w:ascii="Courier New" w:hAnsi="Courier New" w:cs="Courier New"/>
          <w:sz w:val="24"/>
          <w:szCs w:val="24"/>
        </w:rPr>
        <w:t xml:space="preserve">85</w:t>
      </w:r>
    </w:p>
    <w:p>
      <w:pPr>
        <w:pStyle w:val="TableofFigures"/>
      </w:pPr>
      <w:r>
        <w:rPr>
          <w:rFonts w:ascii="Courier New" w:hAnsi="Courier New" w:cs="Courier New"/>
          <w:sz w:val="24"/>
          <w:szCs w:val="24"/>
        </w:rPr>
        <w:t xml:space="preserve">Table 4.5. Extent of Compliance of Auditrix with ISO/IEC 25010</w:t>
      </w:r>
      <w:r>
        <w:rPr>
          <w:rFonts w:ascii="Courier New" w:hAnsi="Courier New" w:cs="Courier New"/>
          <w:sz w:val="24"/>
          <w:szCs w:val="24"/>
        </w:rPr>
        <w:tab/>
      </w:r>
      <w:r>
        <w:rPr>
          <w:rFonts w:ascii="Courier New" w:hAnsi="Courier New" w:cs="Courier New"/>
          <w:sz w:val="24"/>
          <w:szCs w:val="24"/>
        </w:rPr>
        <w:t xml:space="preserve">89</w:t>
      </w:r>
      <w:r>
        <w:fldChar w:fldCharType="end"/>
      </w:r>
    </w:p>
    <w:p>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LIST OF FIGURES</w:t>
      </w:r>
      <w:r>
        <w:fldChar w:fldCharType="begin"/>
      </w:r>
      <w:r>
        <w:instrText xml:space="preserve"> TC "LIST OF FIGURES" \f c \l 1 </w:instrText>
      </w:r>
      <w:r>
        <w:fldChar w:fldCharType="end"/>
      </w:r>
    </w:p>
    <w:p>
      <w:pPr>
        <w:pStyle w:val="TableofFigures"/>
      </w:pPr>
      <w:r>
        <w:fldChar w:fldCharType="begin" w:dirty="true"/>
      </w:r>
      <w:r>
        <w:instrText xml:space="preserve"> TOC \f f \h \z </w:instrText>
      </w:r>
      <w:r>
        <w:fldChar w:fldCharType="separate"/>
      </w:r>
      <w:r>
        <w:rPr>
          <w:rFonts w:ascii="Courier New" w:hAnsi="Courier New" w:cs="Courier New"/>
          <w:sz w:val="24"/>
          <w:szCs w:val="24"/>
        </w:rPr>
        <w:t xml:space="preserve">Figure 1. Iterative and Incremental SDLC</w:t>
      </w:r>
      <w:r>
        <w:rPr>
          <w:rFonts w:ascii="Courier New" w:hAnsi="Courier New" w:cs="Courier New"/>
          <w:sz w:val="24"/>
          <w:szCs w:val="24"/>
        </w:rPr>
        <w:tab/>
      </w:r>
      <w:r>
        <w:rPr>
          <w:rFonts w:ascii="Courier New" w:hAnsi="Courier New" w:cs="Courier New"/>
          <w:sz w:val="24"/>
          <w:szCs w:val="24"/>
        </w:rPr>
        <w:t xml:space="preserve">38</w:t>
      </w:r>
    </w:p>
    <w:p>
      <w:pPr>
        <w:pStyle w:val="TableofFigures"/>
      </w:pPr>
      <w:r>
        <w:rPr>
          <w:rFonts w:ascii="Courier New" w:hAnsi="Courier New" w:cs="Courier New"/>
          <w:sz w:val="24"/>
          <w:szCs w:val="24"/>
        </w:rPr>
        <w:t xml:space="preserve">Figure 4.1. Input-Process-Output Diagram of the Existing System</w:t>
      </w:r>
      <w:r>
        <w:rPr>
          <w:rFonts w:ascii="Courier New" w:hAnsi="Courier New" w:cs="Courier New"/>
          <w:sz w:val="24"/>
          <w:szCs w:val="24"/>
        </w:rPr>
        <w:tab/>
      </w:r>
      <w:r>
        <w:rPr>
          <w:rFonts w:ascii="Courier New" w:hAnsi="Courier New" w:cs="Courier New"/>
          <w:sz w:val="24"/>
          <w:szCs w:val="24"/>
        </w:rPr>
        <w:t xml:space="preserve">53</w:t>
      </w:r>
    </w:p>
    <w:p>
      <w:pPr>
        <w:pStyle w:val="TableofFigures"/>
      </w:pPr>
      <w:r>
        <w:rPr>
          <w:rFonts w:ascii="Courier New" w:hAnsi="Courier New" w:cs="Courier New"/>
          <w:sz w:val="24"/>
          <w:szCs w:val="24"/>
        </w:rPr>
        <w:t xml:space="preserve">Figure 4.2. Ishikawa (Fishbone) Diagram of the Problems in the Existing System</w:t>
      </w:r>
      <w:r>
        <w:rPr>
          <w:rFonts w:ascii="Courier New" w:hAnsi="Courier New" w:cs="Courier New"/>
          <w:sz w:val="24"/>
          <w:szCs w:val="24"/>
        </w:rPr>
        <w:tab/>
      </w:r>
      <w:r>
        <w:rPr>
          <w:rFonts w:ascii="Courier New" w:hAnsi="Courier New" w:cs="Courier New"/>
          <w:sz w:val="24"/>
          <w:szCs w:val="24"/>
        </w:rPr>
        <w:t xml:space="preserve">55</w:t>
      </w:r>
    </w:p>
    <w:p>
      <w:pPr>
        <w:pStyle w:val="TableofFigures"/>
      </w:pPr>
      <w:r>
        <w:rPr>
          <w:rFonts w:ascii="Courier New" w:hAnsi="Courier New" w:cs="Courier New"/>
          <w:sz w:val="24"/>
          <w:szCs w:val="24"/>
        </w:rPr>
        <w:t xml:space="preserve">Figure 4.3. Input-Process-Output Diagram of the Proposed System</w:t>
      </w:r>
      <w:r>
        <w:rPr>
          <w:rFonts w:ascii="Courier New" w:hAnsi="Courier New" w:cs="Courier New"/>
          <w:sz w:val="24"/>
          <w:szCs w:val="24"/>
        </w:rPr>
        <w:tab/>
      </w:r>
      <w:r>
        <w:rPr>
          <w:rFonts w:ascii="Courier New" w:hAnsi="Courier New" w:cs="Courier New"/>
          <w:sz w:val="24"/>
          <w:szCs w:val="24"/>
        </w:rPr>
        <w:t xml:space="preserve">67</w:t>
      </w:r>
    </w:p>
    <w:p>
      <w:pPr>
        <w:pStyle w:val="TableofFigures"/>
      </w:pPr>
      <w:r>
        <w:rPr>
          <w:rFonts w:ascii="Courier New" w:hAnsi="Courier New" w:cs="Courier New"/>
          <w:sz w:val="24"/>
          <w:szCs w:val="24"/>
        </w:rPr>
        <w:t xml:space="preserve">Figure 4.4. Use Case Diagram of Auditrix</w:t>
      </w:r>
      <w:r>
        <w:rPr>
          <w:rFonts w:ascii="Courier New" w:hAnsi="Courier New" w:cs="Courier New"/>
          <w:sz w:val="24"/>
          <w:szCs w:val="24"/>
        </w:rPr>
        <w:tab/>
      </w:r>
      <w:r>
        <w:rPr>
          <w:rFonts w:ascii="Courier New" w:hAnsi="Courier New" w:cs="Courier New"/>
          <w:sz w:val="24"/>
          <w:szCs w:val="24"/>
        </w:rPr>
        <w:t xml:space="preserve">68</w:t>
      </w:r>
    </w:p>
    <w:p>
      <w:pPr>
        <w:pStyle w:val="TableofFigures"/>
      </w:pPr>
      <w:r>
        <w:rPr>
          <w:rFonts w:ascii="Courier New" w:hAnsi="Courier New" w:cs="Courier New"/>
          <w:sz w:val="24"/>
          <w:szCs w:val="24"/>
        </w:rPr>
        <w:t xml:space="preserve">Figure 4.5. Activity Diagram of the Audit of a Subject</w:t>
      </w:r>
      <w:r>
        <w:rPr>
          <w:rFonts w:ascii="Courier New" w:hAnsi="Courier New" w:cs="Courier New"/>
          <w:sz w:val="24"/>
          <w:szCs w:val="24"/>
        </w:rPr>
        <w:tab/>
      </w:r>
      <w:r>
        <w:rPr>
          <w:rFonts w:ascii="Courier New" w:hAnsi="Courier New" w:cs="Courier New"/>
          <w:sz w:val="24"/>
          <w:szCs w:val="24"/>
        </w:rPr>
        <w:t xml:space="preserve">69</w:t>
      </w:r>
    </w:p>
    <w:p>
      <w:pPr>
        <w:pStyle w:val="TableofFigures"/>
      </w:pPr>
      <w:r>
        <w:rPr>
          <w:rFonts w:ascii="Courier New" w:hAnsi="Courier New" w:cs="Courier New"/>
          <w:sz w:val="24"/>
          <w:szCs w:val="24"/>
        </w:rPr>
        <w:t xml:space="preserve">Figure 4.6. Menu Diagram of Auditrix</w:t>
      </w:r>
      <w:r>
        <w:rPr>
          <w:rFonts w:ascii="Courier New" w:hAnsi="Courier New" w:cs="Courier New"/>
          <w:sz w:val="24"/>
          <w:szCs w:val="24"/>
        </w:rPr>
        <w:tab/>
      </w:r>
      <w:r>
        <w:rPr>
          <w:rFonts w:ascii="Courier New" w:hAnsi="Courier New" w:cs="Courier New"/>
          <w:sz w:val="24"/>
          <w:szCs w:val="24"/>
        </w:rPr>
        <w:t xml:space="preserve">71</w:t>
      </w:r>
    </w:p>
    <w:p>
      <w:pPr>
        <w:pStyle w:val="TableofFigures"/>
      </w:pPr>
      <w:r>
        <w:rPr>
          <w:rFonts w:ascii="Courier New" w:hAnsi="Courier New" w:cs="Courier New"/>
          <w:sz w:val="24"/>
          <w:szCs w:val="24"/>
        </w:rPr>
        <w:t xml:space="preserve">Figure 4.7. User Interface of Auditrix</w:t>
      </w:r>
      <w:r>
        <w:rPr>
          <w:rFonts w:ascii="Courier New" w:hAnsi="Courier New" w:cs="Courier New"/>
          <w:sz w:val="24"/>
          <w:szCs w:val="24"/>
        </w:rPr>
        <w:tab/>
      </w:r>
      <w:r>
        <w:rPr>
          <w:rFonts w:ascii="Courier New" w:hAnsi="Courier New" w:cs="Courier New"/>
          <w:sz w:val="24"/>
          <w:szCs w:val="24"/>
        </w:rPr>
        <w:t xml:space="preserve">72</w:t>
      </w:r>
    </w:p>
    <w:p>
      <w:pPr>
        <w:pStyle w:val="TableofFigures"/>
      </w:pPr>
      <w:r>
        <w:rPr>
          <w:rFonts w:ascii="Courier New" w:hAnsi="Courier New" w:cs="Courier New"/>
          <w:sz w:val="24"/>
          <w:szCs w:val="24"/>
        </w:rPr>
        <w:t xml:space="preserve">Figure 4.7a. Log In — Dean role</w:t>
      </w:r>
      <w:r>
        <w:rPr>
          <w:rFonts w:ascii="Courier New" w:hAnsi="Courier New" w:cs="Courier New"/>
          <w:sz w:val="24"/>
          <w:szCs w:val="24"/>
        </w:rPr>
        <w:tab/>
      </w:r>
      <w:r>
        <w:rPr>
          <w:rFonts w:ascii="Courier New" w:hAnsi="Courier New" w:cs="Courier New"/>
          <w:sz w:val="24"/>
          <w:szCs w:val="24"/>
        </w:rPr>
        <w:t xml:space="preserve">72</w:t>
      </w:r>
    </w:p>
    <w:p>
      <w:pPr>
        <w:pStyle w:val="TableofFigures"/>
      </w:pPr>
      <w:r>
        <w:rPr>
          <w:rFonts w:ascii="Courier New" w:hAnsi="Courier New" w:cs="Courier New"/>
          <w:sz w:val="24"/>
          <w:szCs w:val="24"/>
        </w:rPr>
        <w:t xml:space="preserve">Figure 4.7b. Log In — Program Chairperson role</w:t>
      </w:r>
      <w:r>
        <w:rPr>
          <w:rFonts w:ascii="Courier New" w:hAnsi="Courier New" w:cs="Courier New"/>
          <w:sz w:val="24"/>
          <w:szCs w:val="24"/>
        </w:rPr>
        <w:tab/>
      </w:r>
      <w:r>
        <w:rPr>
          <w:rFonts w:ascii="Courier New" w:hAnsi="Courier New" w:cs="Courier New"/>
          <w:sz w:val="24"/>
          <w:szCs w:val="24"/>
        </w:rPr>
        <w:t xml:space="preserve">73</w:t>
      </w:r>
    </w:p>
    <w:p>
      <w:pPr>
        <w:pStyle w:val="TableofFigures"/>
      </w:pPr>
      <w:r>
        <w:rPr>
          <w:rFonts w:ascii="Courier New" w:hAnsi="Courier New" w:cs="Courier New"/>
          <w:sz w:val="24"/>
          <w:szCs w:val="24"/>
        </w:rPr>
        <w:t xml:space="preserve">Figure 4.7c. Students — search and list view</w:t>
      </w:r>
      <w:r>
        <w:rPr>
          <w:rFonts w:ascii="Courier New" w:hAnsi="Courier New" w:cs="Courier New"/>
          <w:sz w:val="24"/>
          <w:szCs w:val="24"/>
        </w:rPr>
        <w:tab/>
      </w:r>
      <w:r>
        <w:rPr>
          <w:rFonts w:ascii="Courier New" w:hAnsi="Courier New" w:cs="Courier New"/>
          <w:sz w:val="24"/>
          <w:szCs w:val="24"/>
        </w:rPr>
        <w:t xml:space="preserve">73</w:t>
      </w:r>
    </w:p>
    <w:p>
      <w:pPr>
        <w:pStyle w:val="TableofFigures"/>
      </w:pPr>
      <w:r>
        <w:rPr>
          <w:rFonts w:ascii="Courier New" w:hAnsi="Courier New" w:cs="Courier New"/>
          <w:sz w:val="24"/>
          <w:szCs w:val="24"/>
        </w:rPr>
        <w:t xml:space="preserve">Figure 4.7d. Student Audit — subject taken out of order and Irregular status</w:t>
      </w:r>
      <w:r>
        <w:rPr>
          <w:rFonts w:ascii="Courier New" w:hAnsi="Courier New" w:cs="Courier New"/>
          <w:sz w:val="24"/>
          <w:szCs w:val="24"/>
        </w:rPr>
        <w:tab/>
      </w:r>
      <w:r>
        <w:rPr>
          <w:rFonts w:ascii="Courier New" w:hAnsi="Courier New" w:cs="Courier New"/>
          <w:sz w:val="24"/>
          <w:szCs w:val="24"/>
        </w:rPr>
        <w:t xml:space="preserve">74</w:t>
      </w:r>
    </w:p>
    <w:p>
      <w:pPr>
        <w:pStyle w:val="TableofFigures"/>
      </w:pPr>
      <w:r>
        <w:rPr>
          <w:rFonts w:ascii="Courier New" w:hAnsi="Courier New" w:cs="Courier New"/>
          <w:sz w:val="24"/>
          <w:szCs w:val="24"/>
        </w:rPr>
        <w:t xml:space="preserve">Figure 4.7e. Transfer / Shift Records</w:t>
      </w:r>
      <w:r>
        <w:rPr>
          <w:rFonts w:ascii="Courier New" w:hAnsi="Courier New" w:cs="Courier New"/>
          <w:sz w:val="24"/>
          <w:szCs w:val="24"/>
        </w:rPr>
        <w:tab/>
      </w:r>
      <w:r>
        <w:rPr>
          <w:rFonts w:ascii="Courier New" w:hAnsi="Courier New" w:cs="Courier New"/>
          <w:sz w:val="24"/>
          <w:szCs w:val="24"/>
        </w:rPr>
        <w:t xml:space="preserve">74</w:t>
      </w:r>
    </w:p>
    <w:p>
      <w:pPr>
        <w:pStyle w:val="TableofFigures"/>
      </w:pPr>
      <w:r>
        <w:rPr>
          <w:rFonts w:ascii="Courier New" w:hAnsi="Courier New" w:cs="Courier New"/>
          <w:sz w:val="24"/>
          <w:szCs w:val="24"/>
        </w:rPr>
        <w:t xml:space="preserve">Figure 4.7f. Enter Grades — choosing the term</w:t>
      </w:r>
      <w:r>
        <w:rPr>
          <w:rFonts w:ascii="Courier New" w:hAnsi="Courier New" w:cs="Courier New"/>
          <w:sz w:val="24"/>
          <w:szCs w:val="24"/>
        </w:rPr>
        <w:tab/>
      </w:r>
      <w:r>
        <w:rPr>
          <w:rFonts w:ascii="Courier New" w:hAnsi="Courier New" w:cs="Courier New"/>
          <w:sz w:val="24"/>
          <w:szCs w:val="24"/>
        </w:rPr>
        <w:t xml:space="preserve">75</w:t>
      </w:r>
    </w:p>
    <w:p>
      <w:pPr>
        <w:pStyle w:val="TableofFigures"/>
      </w:pPr>
      <w:r>
        <w:rPr>
          <w:rFonts w:ascii="Courier New" w:hAnsi="Courier New" w:cs="Courier New"/>
          <w:sz w:val="24"/>
          <w:szCs w:val="24"/>
        </w:rPr>
        <w:t xml:space="preserve">Figure 4.7g. Manage Curriculum Versions</w:t>
      </w:r>
      <w:r>
        <w:rPr>
          <w:rFonts w:ascii="Courier New" w:hAnsi="Courier New" w:cs="Courier New"/>
          <w:sz w:val="24"/>
          <w:szCs w:val="24"/>
        </w:rPr>
        <w:tab/>
      </w:r>
      <w:r>
        <w:rPr>
          <w:rFonts w:ascii="Courier New" w:hAnsi="Courier New" w:cs="Courier New"/>
          <w:sz w:val="24"/>
          <w:szCs w:val="24"/>
        </w:rPr>
        <w:t xml:space="preserve">75</w:t>
      </w:r>
    </w:p>
    <w:p>
      <w:pPr>
        <w:pStyle w:val="TableofFigures"/>
      </w:pPr>
      <w:r>
        <w:rPr>
          <w:rFonts w:ascii="Courier New" w:hAnsi="Courier New" w:cs="Courier New"/>
          <w:sz w:val="24"/>
          <w:szCs w:val="24"/>
        </w:rPr>
        <w:t xml:space="preserve">Figure 4.7h. Student Audit — status, term and reason for each subject</w:t>
      </w:r>
      <w:r>
        <w:rPr>
          <w:rFonts w:ascii="Courier New" w:hAnsi="Courier New" w:cs="Courier New"/>
          <w:sz w:val="24"/>
          <w:szCs w:val="24"/>
        </w:rPr>
        <w:tab/>
      </w:r>
      <w:r>
        <w:rPr>
          <w:rFonts w:ascii="Courier New" w:hAnsi="Courier New" w:cs="Courier New"/>
          <w:sz w:val="24"/>
          <w:szCs w:val="24"/>
        </w:rPr>
        <w:t xml:space="preserve">76</w:t>
      </w:r>
    </w:p>
    <w:p>
      <w:pPr>
        <w:pStyle w:val="TableofFigures"/>
      </w:pPr>
      <w:r>
        <w:rPr>
          <w:rFonts w:ascii="Courier New" w:hAnsi="Courier New" w:cs="Courier New"/>
          <w:sz w:val="24"/>
          <w:szCs w:val="24"/>
        </w:rPr>
        <w:t xml:space="preserve">Figure 4.7i. Student Audit — fully compliant (Regular) example</w:t>
      </w:r>
      <w:r>
        <w:rPr>
          <w:rFonts w:ascii="Courier New" w:hAnsi="Courier New" w:cs="Courier New"/>
          <w:sz w:val="24"/>
          <w:szCs w:val="24"/>
        </w:rPr>
        <w:tab/>
      </w:r>
      <w:r>
        <w:rPr>
          <w:rFonts w:ascii="Courier New" w:hAnsi="Courier New" w:cs="Courier New"/>
          <w:sz w:val="24"/>
          <w:szCs w:val="24"/>
        </w:rPr>
        <w:t xml:space="preserve">76</w:t>
      </w:r>
    </w:p>
    <w:p>
      <w:pPr>
        <w:pStyle w:val="TableofFigures"/>
      </w:pPr>
      <w:r>
        <w:rPr>
          <w:rFonts w:ascii="Courier New" w:hAnsi="Courier New" w:cs="Courier New"/>
          <w:sz w:val="24"/>
          <w:szCs w:val="24"/>
        </w:rPr>
        <w:t xml:space="preserve">Figure 4.7j. Export Curriculum — PDF output</w:t>
      </w:r>
      <w:r>
        <w:rPr>
          <w:rFonts w:ascii="Courier New" w:hAnsi="Courier New" w:cs="Courier New"/>
          <w:sz w:val="24"/>
          <w:szCs w:val="24"/>
        </w:rPr>
        <w:tab/>
      </w:r>
      <w:r>
        <w:rPr>
          <w:rFonts w:ascii="Courier New" w:hAnsi="Courier New" w:cs="Courier New"/>
          <w:sz w:val="24"/>
          <w:szCs w:val="24"/>
        </w:rPr>
        <w:t xml:space="preserve">77</w:t>
      </w:r>
    </w:p>
    <w:p>
      <w:pPr>
        <w:pStyle w:val="TableofFigures"/>
      </w:pPr>
      <w:r>
        <w:rPr>
          <w:rFonts w:ascii="Courier New" w:hAnsi="Courier New" w:cs="Courier New"/>
          <w:sz w:val="24"/>
          <w:szCs w:val="24"/>
        </w:rPr>
        <w:t xml:space="preserve">Figure 4.7k. Create Program — new chairperson account with a temporary password</w:t>
      </w:r>
      <w:r>
        <w:rPr>
          <w:rFonts w:ascii="Courier New" w:hAnsi="Courier New" w:cs="Courier New"/>
          <w:sz w:val="24"/>
          <w:szCs w:val="24"/>
        </w:rPr>
        <w:tab/>
      </w:r>
      <w:r>
        <w:rPr>
          <w:rFonts w:ascii="Courier New" w:hAnsi="Courier New" w:cs="Courier New"/>
          <w:sz w:val="24"/>
          <w:szCs w:val="24"/>
        </w:rPr>
        <w:t xml:space="preserve">77</w:t>
      </w:r>
    </w:p>
    <w:p>
      <w:pPr>
        <w:pStyle w:val="TableofFigures"/>
      </w:pPr>
      <w:r>
        <w:rPr>
          <w:rFonts w:ascii="Courier New" w:hAnsi="Courier New" w:cs="Courier New"/>
          <w:sz w:val="24"/>
          <w:szCs w:val="24"/>
        </w:rPr>
        <w:t xml:space="preserve">Figure 4.7l. First Log In — password change with the rules checklist</w:t>
      </w:r>
      <w:r>
        <w:rPr>
          <w:rFonts w:ascii="Courier New" w:hAnsi="Courier New" w:cs="Courier New"/>
          <w:sz w:val="24"/>
          <w:szCs w:val="24"/>
        </w:rPr>
        <w:tab/>
      </w:r>
      <w:r>
        <w:rPr>
          <w:rFonts w:ascii="Courier New" w:hAnsi="Courier New" w:cs="Courier New"/>
          <w:sz w:val="24"/>
          <w:szCs w:val="24"/>
        </w:rPr>
        <w:t xml:space="preserve">78</w:t>
      </w:r>
    </w:p>
    <w:p>
      <w:pPr>
        <w:pStyle w:val="TableofFigures"/>
      </w:pPr>
      <w:r>
        <w:rPr>
          <w:rFonts w:ascii="Courier New" w:hAnsi="Courier New" w:cs="Courier New"/>
          <w:sz w:val="24"/>
          <w:szCs w:val="24"/>
        </w:rPr>
        <w:t xml:space="preserve">Figure 4.7m. Dean Dashboard — Current semester</w:t>
      </w:r>
      <w:r>
        <w:rPr>
          <w:rFonts w:ascii="Courier New" w:hAnsi="Courier New" w:cs="Courier New"/>
          <w:sz w:val="24"/>
          <w:szCs w:val="24"/>
        </w:rPr>
        <w:tab/>
      </w:r>
      <w:r>
        <w:rPr>
          <w:rFonts w:ascii="Courier New" w:hAnsi="Courier New" w:cs="Courier New"/>
          <w:sz w:val="24"/>
          <w:szCs w:val="24"/>
        </w:rPr>
        <w:t xml:space="preserve">79</w:t>
      </w:r>
    </w:p>
    <w:p>
      <w:pPr>
        <w:pStyle w:val="TableofFigures"/>
      </w:pPr>
      <w:r>
        <w:rPr>
          <w:rFonts w:ascii="Courier New" w:hAnsi="Courier New" w:cs="Courier New"/>
          <w:sz w:val="24"/>
          <w:szCs w:val="24"/>
        </w:rPr>
        <w:t xml:space="preserve">Figure 4.7n. Chairperson Dashboard</w:t>
      </w:r>
      <w:r>
        <w:rPr>
          <w:rFonts w:ascii="Courier New" w:hAnsi="Courier New" w:cs="Courier New"/>
          <w:sz w:val="24"/>
          <w:szCs w:val="24"/>
        </w:rPr>
        <w:tab/>
      </w:r>
      <w:r>
        <w:rPr>
          <w:rFonts w:ascii="Courier New" w:hAnsi="Courier New" w:cs="Courier New"/>
          <w:sz w:val="24"/>
          <w:szCs w:val="24"/>
        </w:rPr>
        <w:t xml:space="preserve">80</w:t>
      </w:r>
    </w:p>
    <w:p>
      <w:pPr>
        <w:pStyle w:val="TableofFigures"/>
      </w:pPr>
      <w:r>
        <w:rPr>
          <w:rFonts w:ascii="Courier New" w:hAnsi="Courier New" w:cs="Courier New"/>
          <w:sz w:val="24"/>
          <w:szCs w:val="24"/>
        </w:rPr>
        <w:t xml:space="preserve">Figure 4.7o. Import Curriculum — preview of changes</w:t>
      </w:r>
      <w:r>
        <w:rPr>
          <w:rFonts w:ascii="Courier New" w:hAnsi="Courier New" w:cs="Courier New"/>
          <w:sz w:val="24"/>
          <w:szCs w:val="24"/>
        </w:rPr>
        <w:tab/>
      </w:r>
      <w:r>
        <w:rPr>
          <w:rFonts w:ascii="Courier New" w:hAnsi="Courier New" w:cs="Courier New"/>
          <w:sz w:val="24"/>
          <w:szCs w:val="24"/>
        </w:rPr>
        <w:t xml:space="preserve">81</w:t>
      </w:r>
    </w:p>
    <w:p>
      <w:pPr>
        <w:pStyle w:val="TableofFigures"/>
      </w:pPr>
      <w:r>
        <w:rPr>
          <w:rFonts w:ascii="Courier New" w:hAnsi="Courier New" w:cs="Courier New"/>
          <w:sz w:val="24"/>
          <w:szCs w:val="24"/>
        </w:rPr>
        <w:t xml:space="preserve">Figure 4.7p. Grade Logbook</w:t>
      </w:r>
      <w:r>
        <w:rPr>
          <w:rFonts w:ascii="Courier New" w:hAnsi="Courier New" w:cs="Courier New"/>
          <w:sz w:val="24"/>
          <w:szCs w:val="24"/>
        </w:rPr>
        <w:tab/>
      </w:r>
      <w:r>
        <w:rPr>
          <w:rFonts w:ascii="Courier New" w:hAnsi="Courier New" w:cs="Courier New"/>
          <w:sz w:val="24"/>
          <w:szCs w:val="24"/>
        </w:rPr>
        <w:t xml:space="preserve">82</w:t>
      </w:r>
    </w:p>
    <w:p>
      <w:pPr>
        <w:pStyle w:val="TableofFigures"/>
        <w:sectPr w:rsidR="00094483">
          <w:headerReference w:type="default" r:id="rId9"/>
          <w:footerReference w:type="default" r:id="rId9301"/>
          <w:pgSz w:w="12240" w:h="15840"/>
          <w:pgMar w:top="1440" w:right="1440" w:bottom="1440" w:left="2160" w:header="709" w:footer="709" w:gutter="0"/>
          <w:pgNumType w:fmt="lowerRoman"/>
          <w:cols w:space="708"/>
          <w:docGrid w:linePitch="360"/>
        </w:sectPr>
      </w:pPr>
      <w:r>
        <w:rPr>
          <w:rFonts w:ascii="Courier New" w:hAnsi="Courier New" w:cs="Courier New"/>
          <w:sz w:val="24"/>
          <w:szCs w:val="24"/>
        </w:rPr>
        <w:t xml:space="preserve">Figure 4.7q. Edit Student — year level (automatic or set by hand)</w:t>
      </w:r>
      <w:r>
        <w:rPr>
          <w:rFonts w:ascii="Courier New" w:hAnsi="Courier New" w:cs="Courier New"/>
          <w:sz w:val="24"/>
          <w:szCs w:val="24"/>
        </w:rPr>
        <w:tab/>
      </w:r>
      <w:r>
        <w:rPr>
          <w:rFonts w:ascii="Courier New" w:hAnsi="Courier New" w:cs="Courier New"/>
          <w:sz w:val="24"/>
          <w:szCs w:val="24"/>
        </w:rPr>
        <w:t xml:space="preserve">83</w:t>
      </w:r>
      <w:r>
        <w:fldChar w:fldCharType="end"/>
      </w:r>
    </w:p>
    <w:p w14:paraId="448F8870"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517211CB"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2021822C" w14:textId="77777777" w:rsidR="00094483" w:rsidRDefault="00094483">
      <w:pPr>
        <w:spacing w:line="240" w:lineRule="auto"/>
        <w:jc w:val="both"/>
        <w:rPr>
          <w:rFonts w:ascii="Courier New" w:hAnsi="Courier New" w:cs="Courier New"/>
          <w:b/>
          <w:bCs/>
          <w:sz w:val="24"/>
          <w:szCs w:val="24"/>
          <w:lang w:val="en-US"/>
        </w:rPr>
      </w:pPr>
    </w:p>
    <w:p w14:paraId="408B9B44" w14:textId="77777777" w:rsidR="00094483" w:rsidRDefault="00000000" w:rsidP="00576F4A">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46D04BE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(Alugar &amp; Itaas, 2021). In higher education, curriculum auditing ensures that students follow the prescribed learning pathway, acquire foundational knowledge before advancing to higher-level courses, and meet graduation requirements.</w:t>
      </w:r>
    </w:p>
    <w:p w14:paraId="3FFCD2B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612C31E8" w14:textId="77777777" w:rsidR="00D42FC3" w:rsidRDefault="00940C6B">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 xml:space="preserve">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(Largoza </w:t>
      </w:r>
      <w:r>
        <w:rPr>
          <w:rFonts w:ascii="Courier New" w:hAnsi="Courier New" w:cs="Courier New"/>
          <w:sz w:val="24"/>
          <w:szCs w:val="24"/>
          <w:lang w:val="en-US"/>
        </w:rPr>
        <w:lastRenderedPageBreak/>
        <w:t>&amp; Fernandez, 2025). However, despite the presence 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(Miña et al., 2021).</w:t>
      </w:r>
    </w:p>
    <w:p w14:paraId="0CFB3906"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1CC75DCB"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Furthermore, the specific situation at Kalinga State University (KSU) illustrates how manual subject evaluation often leads to the late detection of prerequisite violations. In many cases, these critical errors are only uncovered during the final graduation audit, resulting in delayed program completion, increased financial costs, and the sudden prevention of students from graduating alongside their peers. </w:t>
      </w:r>
    </w:p>
    <w:p w14:paraId="2765FA9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E4AE4B3" w14:textId="2FFA86FC"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w:t>
      </w:r>
      <w:r>
        <w:rPr>
          <w:rFonts w:ascii="Courier New" w:hAnsi="Courier New" w:cs="Courier New"/>
          <w:sz w:val="24"/>
          <w:szCs w:val="24"/>
          <w:lang w:val="en-US"/>
        </w:rPr>
        <w:lastRenderedPageBreak/>
        <w:t>requirements. This situation can lead to delays in academic completion.</w:t>
      </w:r>
    </w:p>
    <w:p w14:paraId="6A344DD7"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739B0E63"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Talatala, &amp; Soberano (2024) demonstrate that automated registration systems streamline processes, </w:t>
      </w:r>
      <w:r>
        <w:rPr>
          <w:rFonts w:ascii="Courier New" w:hAnsi="Courier New" w:cs="Courier New"/>
          <w:sz w:val="24"/>
          <w:szCs w:val="24"/>
          <w:lang w:val="en-US"/>
        </w:rPr>
        <w:lastRenderedPageBreak/>
        <w:t>reduce errors, and improve institutional efficiency, making them highly relevant to curriculum auditing.</w:t>
      </w:r>
    </w:p>
    <w:p w14:paraId="1E83F1A4"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46D9D5DA"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2DEDEBA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Auditrix - A Curriculum Audit System for KSU. The system was built to </w:t>
      </w:r>
      <w:r>
        <w:rPr>
          <w:rFonts w:ascii="Courier New" w:hAnsi="Courier New" w:cs="Courier New"/>
          <w:sz w:val="24"/>
          <w:szCs w:val="24"/>
          <w:lang w:val="en-US"/>
        </w:rPr>
        <w:lastRenderedPageBreak/>
        <w:t>serve every college and program of Kalinga State University, and it was developed and tested with the BSCpE, BSIT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with the adviser using the college's actual curricula.</w:t>
      </w:r>
    </w:p>
    <w:p w14:paraId="1B764F3F"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709C2151" w14:textId="577B0E64" w:rsidR="00DC1152"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This study, therefore, proposes the Auditrix - A Curriculum Audit System for KSU as a robust tool for enhancing curriculum integrity at Kalinga State University.</w:t>
      </w:r>
    </w:p>
    <w:p w14:paraId="127A6D31" w14:textId="77777777" w:rsidR="007E56A2" w:rsidRDefault="007E56A2">
      <w:pPr>
        <w:spacing w:line="480" w:lineRule="auto"/>
        <w:ind w:firstLine="720"/>
        <w:jc w:val="both"/>
        <w:rPr>
          <w:rFonts w:ascii="Courier New" w:hAnsi="Courier New" w:cs="Courier New"/>
          <w:sz w:val="24"/>
          <w:szCs w:val="24"/>
          <w:lang w:val="en-US"/>
        </w:rPr>
      </w:pPr>
    </w:p>
    <w:p w14:paraId="30B71AB6"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 of the Art</w:t>
      </w:r>
      <w:r>
        <w:fldChar w:fldCharType="begin"/>
      </w:r>
      <w:r>
        <w:instrText xml:space="preserve"> TC "State of the Art" \f c \l 2 </w:instrText>
      </w:r>
      <w:r>
        <w:fldChar w:fldCharType="end"/>
      </w:r>
    </w:p>
    <w:p w14:paraId="7B887C60" w14:textId="77777777" w:rsidR="00D73966" w:rsidRPr="003551F3" w:rsidRDefault="00000000" w:rsidP="00D73966">
      <w:pPr>
        <w:spacing w:line="480" w:lineRule="auto"/>
        <w:jc w:val="both"/>
        <w:rPr>
          <w:rFonts w:ascii="Courier New" w:hAnsi="Courier New" w:cs="Courier New"/>
          <w:sz w:val="24"/>
          <w:szCs w:val="24"/>
        </w:rPr>
      </w:pPr>
      <w:r>
        <w:rPr>
          <w:rFonts w:ascii="Courier New" w:hAnsi="Courier New" w:cs="Courier New"/>
          <w:sz w:val="24"/>
          <w:szCs w:val="24"/>
          <w:lang w:val="en-US"/>
        </w:rPr>
        <w:t>Auditrix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58F2DB6D" w14:textId="7DBBA253" w:rsidR="00E7325B" w:rsidRPr="007E56A2" w:rsidRDefault="00065C3A">
      <w:pPr>
        <w:spacing w:line="480" w:lineRule="auto"/>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Auditrix imports student lists in the layout of the KSU-MIS "Export to Excel" file, and imports curricula from CSV or .xls files with a preview of every change before it is saved. </w:t>
      </w:r>
      <w:r>
        <w:rPr>
          <w:rFonts w:ascii="Courier New" w:hAnsi="Courier New" w:cs="Courier New"/>
          <w:sz w:val="24"/>
          <w:szCs w:val="24"/>
        </w:rPr>
        <w:lastRenderedPageBreak/>
        <w:t>It also determines each student's year level from the units the student has passed, following the KSU Operations Manual, classifies students as regular or irregular against the prescribed load of the current semester, and summarizes these on a dashboard for program chairpersons and deans.</w:t>
      </w:r>
    </w:p>
    <w:p w14:paraId="77D8BD76" w14:textId="77777777" w:rsidR="003551F3" w:rsidRPr="00D73966" w:rsidRDefault="003551F3">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50E9590B" w14:textId="77777777" w:rsidR="003551F3"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6672" behindDoc="0" locked="0" layoutInCell="1" allowOverlap="1" wp14:anchorId="2DD8834F" wp14:editId="7F8BD47A">
                <wp:simplePos x="0" y="0"/>
                <wp:positionH relativeFrom="column">
                  <wp:posOffset>2743200</wp:posOffset>
                </wp:positionH>
                <wp:positionV relativeFrom="paragraph">
                  <wp:posOffset>389255</wp:posOffset>
                </wp:positionV>
                <wp:extent cx="0" cy="213360"/>
                <wp:effectExtent l="0" t="0" r="38100" b="34290"/>
                <wp:wrapNone/>
                <wp:docPr id="1476821898"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EBD967F" id="Straight Connector 41" o:spid="_x0000_s1026" style="position:absolute;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in,30.65pt" to="3in,47.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ZGWb+eAAAAAJAQAADwAAAGRycy9kb3ducmV2LnhtbEyPQUvDQBCF74L/YRnBm900LcXGTEopiLUg xSrU4zY7JtHsbNjdNum/d4sHPb55jzffyxeDacWJnG8sI4xHCQji0uqGK4T3t8e7exA+KNaqtUwI Z/KwKK6vcpVp2/MrnXahErGEfaYQ6hC6TEpf1mSUH9mOOHqf1hkVonSV1E71sdy0Mk2SmTSq4fih Vh2taiq/d0eD8OLW69Vyc/7i7Yfp9+lmv30enhBvb4blA4hAQ/gLwwU/okMRmQ72yNqLFmE6SeOW gDAbT0DEwO/hgDCfzkEWufy/oPgBAAD//wMAUEsBAi0AFAAGAAgAAAAhALaDOJL+AAAA4QEAABMA AAAAAAAAAAAAAAAAAAAAAFtDb250ZW50X1R5cGVzXS54bWxQSwECLQAUAAYACAAAACEAOP0h/9YA AACUAQAACwAAAAAAAAAAAAAAAAAvAQAAX3JlbHMvLnJlbHNQSwECLQAUAAYACAAAACEA7eHBppoB AACTAwAADgAAAAAAAAAAAAAAAAAuAgAAZHJzL2Uyb0RvYy54bWxQSwECLQAUAAYACAAAACEAZGWb +eAAAAAJAQAADwAAAAAAAAAAAAAAAAD0AwAAZHJzL2Rvd25yZXYueG1sUEsFBgAAAAAEAAQA8wAA AAEF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59264" behindDoc="0" locked="0" layoutInCell="1" allowOverlap="1" wp14:anchorId="0C488455" wp14:editId="48B75893">
                <wp:simplePos x="0" y="0"/>
                <wp:positionH relativeFrom="margin">
                  <wp:align>center</wp:align>
                </wp:positionH>
                <wp:positionV relativeFrom="paragraph">
                  <wp:posOffset>99695</wp:posOffset>
                </wp:positionV>
                <wp:extent cx="1584960" cy="274320"/>
                <wp:effectExtent l="0" t="0" r="15240" b="11430"/>
                <wp:wrapNone/>
                <wp:docPr id="577144645" name="Text Box 40"/>
                <wp:cNvGraphicFramePr/>
                <a:graphic xmlns:a="http://schemas.openxmlformats.org/drawingml/2006/main">
                  <a:graphicData uri="http://schemas.microsoft.com/office/word/2010/wordprocessingShape">
                    <wps:wsp>
                      <wps:cNvSpPr txBox="1"/>
                      <wps:spPr>
                        <a:xfrm>
                          <a:off x="0" y="0"/>
                          <a:ext cx="1584960" cy="274320"/>
                        </a:xfrm>
                        <a:prstGeom prst="rect">
                          <a:avLst/>
                        </a:prstGeom>
                        <a:solidFill>
                          <a:schemeClr val="lt1"/>
                        </a:solidFill>
                        <a:ln w="6350">
                          <a:solidFill>
                            <a:prstClr val="black"/>
                          </a:solidFill>
                        </a:ln>
                      </wps:spPr>
                      <wps:txbx>
                        <w:txbxContent>
                          <w:p w14:paraId="19284BB1" w14:textId="77777777" w:rsidR="00461D24" w:rsidRDefault="00461D24" w:rsidP="00461D24">
                            <w:pPr>
                              <w:jc w:val="center"/>
                            </w:pPr>
                            <w:r>
                              <w:t>SUC President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C488455" id="_x0000_t202" coordsize="21600,21600" o:spt="202" path="m,l,21600r21600,l21600,xe">
                <v:stroke joinstyle="miter"/>
                <v:path gradientshapeok="t" o:connecttype="rect"/>
              </v:shapetype>
              <v:shape id="Text Box 40" o:spid="_x0000_s1026" type="#_x0000_t202" style="position:absolute;left:0;text-align:left;margin-left:0;margin-top:7.85pt;width:124.8pt;height:21.6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" fillcolor="white [3201]" strokeweight=".5pt">
                <v:textbox>
                  <w:txbxContent>
                    <w:p w14:paraId="19284BB1" w14:textId="77777777" w:rsidR="00461D24" w:rsidRDefault="00461D24" w:rsidP="00461D24">
                      <w:pPr>
                        <w:jc w:val="center"/>
                      </w:pPr>
                      <w:r>
                        <w:t>SUC President</w:t>
                      </w:r>
                    </w:p>
                  </w:txbxContent>
                </v:textbox>
                <w10:wrap anchorx="margin"/>
              </v:shape>
            </w:pict>
          </mc:Fallback>
        </mc:AlternateContent>
      </w:r>
    </w:p>
    <w:p w14:paraId="2309DA88" w14:textId="77777777" w:rsidR="00094483"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1312" behindDoc="0" locked="0" layoutInCell="1" allowOverlap="1" wp14:anchorId="51523AAC" wp14:editId="3C03503E">
                <wp:simplePos x="0" y="0"/>
                <wp:positionH relativeFrom="margin">
                  <wp:align>center</wp:align>
                </wp:positionH>
                <wp:positionV relativeFrom="paragraph">
                  <wp:posOffset>164465</wp:posOffset>
                </wp:positionV>
                <wp:extent cx="1584960" cy="502920"/>
                <wp:effectExtent l="0" t="0" r="15240" b="11430"/>
                <wp:wrapNone/>
                <wp:docPr id="2022939289" name="Text Box 40"/>
                <wp:cNvGraphicFramePr/>
                <a:graphic xmlns:a="http://schemas.openxmlformats.org/drawingml/2006/main">
                  <a:graphicData uri="http://schemas.microsoft.com/office/word/2010/wordprocessingShape">
                    <wps:wsp>
                      <wps:cNvSpPr txBox="1"/>
                      <wps:spPr>
                        <a:xfrm>
                          <a:off x="0" y="0"/>
                          <a:ext cx="1584960" cy="502920"/>
                        </a:xfrm>
                        <a:prstGeom prst="rect">
                          <a:avLst/>
                        </a:prstGeom>
                        <a:solidFill>
                          <a:schemeClr val="lt1"/>
                        </a:solidFill>
                        <a:ln w="6350">
                          <a:solidFill>
                            <a:prstClr val="black"/>
                          </a:solidFill>
                        </a:ln>
                      </wps:spPr>
                      <wps:txb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523AAC" id="_x0000_s1027" type="#_x0000_t202" style="position:absolute;left:0;text-align:left;margin-left:0;margin-top:12.95pt;width:124.8pt;height:39.6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" fillcolor="white [3201]" strokeweight=".5pt">
                <v:textbo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v:textbox>
                <w10:wrap anchorx="margin"/>
              </v:shape>
            </w:pict>
          </mc:Fallback>
        </mc:AlternateContent>
      </w:r>
    </w:p>
    <w:p w14:paraId="4C115D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8720" behindDoc="0" locked="0" layoutInCell="1" allowOverlap="1" wp14:anchorId="0184120A" wp14:editId="09D29C94">
                <wp:simplePos x="0" y="0"/>
                <wp:positionH relativeFrom="margin">
                  <wp:align>center</wp:align>
                </wp:positionH>
                <wp:positionV relativeFrom="paragraph">
                  <wp:posOffset>223520</wp:posOffset>
                </wp:positionV>
                <wp:extent cx="0" cy="213360"/>
                <wp:effectExtent l="0" t="0" r="38100" b="34290"/>
                <wp:wrapNone/>
                <wp:docPr id="1362813926"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968EE5B" id="Straight Connector 41" o:spid="_x0000_s1026" style="position:absolute;z-index:251678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17.6pt" to="0,34.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B9m+ydsAAAADAQAADwAAAGRycy9kb3ducmV2LnhtbEyPQUvDQBSE74L/YXmCN7sxYgkxL6UUxFqQ YhXqcZs8k2j2bdjdNum/93nS4zDDzDfFYrK9OpEPnWOE21kCirhydccNwvvb400GKkTDtekdE8KZ AizKy4vC5LUb+ZVOu9goKeGQG4Q2xiHXOlQtWRNmbiAW79N5a6JI3+jam1HKba/TJJlrazqWhdYM tGqp+t4dLcKLX69Xy835i7cfdtynm/32eXpCvL6alg+gIk3xLwy/+IIOpTAd3JHroHoEORIR7u5T UOKKOiDMswx0Wej/7OUPAAAA//8DAFBLAQItABQABgAIAAAAIQC2gziS/gAAAOEBAAATAAAAAAAA AAAAAAAAAAAAAABbQ29udGVudF9UeXBlc10ueG1sUEsBAi0AFAAGAAgAAAAhADj9If/WAAAAlAEA AAsAAAAAAAAAAAAAAAAALwEAAF9yZWxzLy5yZWxzUEsBAi0AFAAGAAgAAAAhAO3hwaaaAQAAkwMA AA4AAAAAAAAAAAAAAAAALgIAAGRycy9lMm9Eb2MueG1sUEsBAi0AFAAGAAgAAAAhAAfZvsnbAAAA AwEAAA8AAAAAAAAAAAAAAAAA9AMAAGRycy9kb3ducmV2LnhtbFBLBQYAAAAABAAEAPMAAAD8BAAA AAA= " strokecolor="#4472c4 [3204]" strokeweight=".5pt">
                <v:stroke joinstyle="miter"/>
                <w10:wrap anchorx="margin"/>
              </v:line>
            </w:pict>
          </mc:Fallback>
        </mc:AlternateContent>
      </w:r>
    </w:p>
    <w:p w14:paraId="514016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5888" behindDoc="0" locked="0" layoutInCell="1" allowOverlap="1" wp14:anchorId="51C679E7" wp14:editId="2595D098">
                <wp:simplePos x="0" y="0"/>
                <wp:positionH relativeFrom="column">
                  <wp:posOffset>942976</wp:posOffset>
                </wp:positionH>
                <wp:positionV relativeFrom="paragraph">
                  <wp:posOffset>162243</wp:posOffset>
                </wp:positionV>
                <wp:extent cx="0" cy="638175"/>
                <wp:effectExtent l="0" t="0" r="38100" b="28575"/>
                <wp:wrapNone/>
                <wp:docPr id="2014381427" name="Straight Connector 42"/>
                <wp:cNvGraphicFramePr/>
                <a:graphic xmlns:a="http://schemas.openxmlformats.org/drawingml/2006/main">
                  <a:graphicData uri="http://schemas.microsoft.com/office/word/2010/wordprocessingShape">
                    <wps:wsp>
                      <wps:cNvCnPr/>
                      <wps:spPr>
                        <a:xfrm>
                          <a:off x="0" y="0"/>
                          <a:ext cx="0" cy="6381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6399B6" id="Straight Connector 42"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25pt,12.8pt" to="74.25pt,63.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bTpmQEAAJMDAAAOAAAAZHJzL2Uyb0RvYy54bWysU01v2zAMvRfYfxB0X2x36AeMODm02C7F VqztD1BlKhYgiQKlxc6/nyQnzrANGFb0QksUH8n3SK+3kzVsDxQ0uo43q5ozcBJ77XYdf3n+/PGW sxCF64VBBx0/QODbzYeL9ehbuMQBTQ/EUhIX2tF3fIjRt1UV5ABWhBV6cOlRIVkR05V2VU9iTNmt qS7r+roakXpPKCGE5L2fH/mm5FcKZPymVIDITMdTb7FYKvY122qzFu2OhB+0PLYh3tCFFdqlokuq exEF+0H6j1RWS8KAKq4k2gqV0hIKh8SmqX9j8zQID4VLEif4Rabwfmnl1/2de6Qkw+hDG/wjZRaT Ipu/qT82FbEOi1gwRSZnp0ze60+3zc1V1rE64zyF+AXQsnzouNEu0xCt2D+EOIeeQhLuXLmc4sFA DjbuOyim+1SrKeiyFHBniO1FGqeQElxsjqVLdIYpbcwCrP8NPMZnKJSF+R/wgiiV0cUFbLVD+lv1 OJ1aVnP8SYGZd5bgFftDmUmRJk2+iHvc0rxav94L/PwvbX4CAAD//wMAUEsDBBQABgAIAAAAIQBs Gt/04AAAAAoBAAAPAAAAZHJzL2Rvd25yZXYueG1sTI9BS8NAEIXvgv9hGcGb3TTYUGI2pRTEWpBi Fepxmx2TaHY27G6b9N879aK3eTOPN98rFqPtxAl9aB0pmE4SEEiVMy3VCt7fHu/mIELUZHTnCBWc McCivL4qdG7cQK942sVacAiFXCtoYuxzKUPVoNVh4nokvn06b3Vk6WtpvB443HYyTZJMWt0Sf2h0 j6sGq+/d0Sp48ev1ark5f9H2ww77dLPfPo9PSt3ejMsHEBHH+GeGCz6jQ8lMB3ckE0TH+n4+Y6uC dJaBuBh+Fwce0mwKsizk/wrlDwAAAP//AwBQSwECLQAUAAYACAAAACEAtoM4kv4AAADhAQAAEwAA AAAAAAAAAAAAAAAAAAAAW0NvbnRlbnRfVHlwZXNdLnhtbFBLAQItABQABgAIAAAAIQA4/SH/1gAA AJQBAAALAAAAAAAAAAAAAAAAAC8BAABfcmVscy8ucmVsc1BLAQItABQABgAIAAAAIQAUgbTpmQEA AJMDAAAOAAAAAAAAAAAAAAAAAC4CAABkcnMvZTJvRG9jLnhtbFBLAQItABQABgAIAAAAIQBsGt/0 4AAAAAoBAAAPAAAAAAAAAAAAAAAAAPMDAABkcnMvZG93bnJldi54bWxQSwUGAAAAAAQABADzAAAA A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3840" behindDoc="0" locked="0" layoutInCell="1" allowOverlap="1" wp14:anchorId="32346111" wp14:editId="639FEE7A">
                <wp:simplePos x="0" y="0"/>
                <wp:positionH relativeFrom="column">
                  <wp:posOffset>938213</wp:posOffset>
                </wp:positionH>
                <wp:positionV relativeFrom="paragraph">
                  <wp:posOffset>160020</wp:posOffset>
                </wp:positionV>
                <wp:extent cx="990600" cy="7620"/>
                <wp:effectExtent l="0" t="0" r="19050" b="30480"/>
                <wp:wrapNone/>
                <wp:docPr id="1911108353"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C9450D" id="Straight Connector 42"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9pt,12.6pt" to="151.9pt,13.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NM8MHDeAAAACQEAAA8AAABkcnMvZG93bnJldi54bWxMj8FOwzAQRO9I/IO1 SFwQdUhLi0KcCiHgUE4tVILbJl6SqPE6it00/D3LCY4zO5p9k68n16mRhtB6NnAzS0ARV962XBt4 f3u+vgMVIrLFzjMZ+KYA6+L8LMfM+hNvadzFWkkJhwwNNDH2mdahashhmPmeWG5ffnAYRQ61tgOe pNx1Ok2SpXbYsnxosKfHhqrD7ugMfAYfnvabcnw5bDcTXr3G9KOyxlxeTA/3oCJN8S8Mv/iCDoUw lf7INqhO9GIl6NFAepuCksA8mYtRirFcgC5y/X9B8QMAAP//AwBQSwECLQAUAAYACAAAACEAtoM4 kv4AAADhAQAAEwAAAAAAAAAAAAAAAAAAAAAAW0NvbnRlbnRfVHlwZXNdLnhtbFBLAQItABQABgAI AAAAIQA4/SH/1gAAAJQBAAALAAAAAAAAAAAAAAAAAC8BAABfcmVscy8ucmVsc1BLAQItABQABgAI AAAAIQB3UilypwEAAKADAAAOAAAAAAAAAAAAAAAAAC4CAABkcnMvZTJvRG9jLnhtbFBLAQItABQA BgAIAAAAIQDTPDBw3gAAAAkBAAAPAAAAAAAAAAAAAAAAAAEEAABkcnMvZG93bnJldi54bWxQSwUG AAAAAAQABADzAAAAD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1792" behindDoc="0" locked="0" layoutInCell="1" allowOverlap="1" wp14:anchorId="3F768A35" wp14:editId="3FD33D9F">
                <wp:simplePos x="0" y="0"/>
                <wp:positionH relativeFrom="column">
                  <wp:posOffset>4519613</wp:posOffset>
                </wp:positionH>
                <wp:positionV relativeFrom="paragraph">
                  <wp:posOffset>152718</wp:posOffset>
                </wp:positionV>
                <wp:extent cx="9525" cy="671512"/>
                <wp:effectExtent l="0" t="0" r="28575" b="33655"/>
                <wp:wrapNone/>
                <wp:docPr id="1039705572" name="Straight Connector 42"/>
                <wp:cNvGraphicFramePr/>
                <a:graphic xmlns:a="http://schemas.openxmlformats.org/drawingml/2006/main">
                  <a:graphicData uri="http://schemas.microsoft.com/office/word/2010/wordprocessingShape">
                    <wps:wsp>
                      <wps:cNvCnPr/>
                      <wps:spPr>
                        <a:xfrm>
                          <a:off x="0" y="0"/>
                          <a:ext cx="9525" cy="671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8B2CAB" id="Straight Connector 42"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5.9pt,12.05pt" to="356.65pt,64.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2O+7nQEAAJYDAAAOAAAAZHJzL2Uyb0RvYy54bWysU8Fu2zAMvQ/oPwi6L7YDpN2MODm02C7F WmzrB6gyFQuQREFSY+fvRymJU2wDhhW90JLIR/I90uvtZA3bQ4gaXcebRc0ZOIm9druOP/388vET ZzEJ1wuDDjp+gMi3m6sP69G3sMQBTQ+BURIX29F3fEjJt1UV5QBWxAV6cORUGKxIdA27qg9ipOzW VMu6vq5GDL0PKCFGer07Ovmm5FcKZHpQKkJipuPUWyo2FPucbbVZi3YXhB+0PLUh3tCFFdpR0TnV nUiCvQT9RyqrZcCIKi0k2gqV0hIKB2LT1L+x+TEID4ULiRP9LFN8v7Ty2/7WPQaSYfSxjf4xZBaT CjZ/qT82FbEOs1gwJSbp8fNqueJMkuP6plk1yyxldYH6ENNXQMvyoeNGu8xEtGJ/H9Mx9BxCuEvx ckoHAznYuO+gmO6pXFPQZS/g1gS2FzRRISW41JxKl+gMU9qYGVj/G3iKz1AoO/M/4BlRKqNLM9hq h+Fv1dN0blkd488KHHlnCZ6xP5SxFGlo+EXc06Lm7Xp9L/DL77T5BQAA//8DAFBLAwQUAAYACAAA ACEACg32++IAAAAKAQAADwAAAGRycy9kb3ducmV2LnhtbEyPQUvDQBCF74L/YRnBm91sKrbGbEop iLUgxSrU4zY7JtHsbMhum/TfO570OLyP977JF6NrxQn70HjSoCYJCKTS24YqDe9vjzdzECEasqb1 hBrOGGBRXF7kJrN+oFc87WIluIRCZjTUMXaZlKGs0Zkw8R0SZ5++dyby2VfS9mbgctfKNEnupDMN 8UJtOlzVWH7vjk7DS79er5ab8xdtP9ywTzf77fP4pPX11bh8ABFxjH8w/OqzOhTsdPBHskG0GmZK sXrUkN4qEAzM1HQK4sBkej8HWeTy/wvFDwAAAP//AwBQSwECLQAUAAYACAAAACEAtoM4kv4AAADh AQAAEwAAAAAAAAAAAAAAAAAAAAAAW0NvbnRlbnRfVHlwZXNdLnhtbFBLAQItABQABgAIAAAAIQA4 /SH/1gAAAJQBAAALAAAAAAAAAAAAAAAAAC8BAABfcmVscy8ucmVsc1BLAQItABQABgAIAAAAIQDH 2O+7nQEAAJYDAAAOAAAAAAAAAAAAAAAAAC4CAABkcnMvZTJvRG9jLnhtbFBLAQItABQABgAIAAAA IQAKDfb74gAAAAoBAAAPAAAAAAAAAAAAAAAAAPcDAABkcnMvZG93bnJldi54bWxQSwUGAAAAAAQA BADzAAAABg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9744" behindDoc="0" locked="0" layoutInCell="1" allowOverlap="1" wp14:anchorId="74ED5990" wp14:editId="6649EBF8">
                <wp:simplePos x="0" y="0"/>
                <wp:positionH relativeFrom="column">
                  <wp:posOffset>3535680</wp:posOffset>
                </wp:positionH>
                <wp:positionV relativeFrom="paragraph">
                  <wp:posOffset>153670</wp:posOffset>
                </wp:positionV>
                <wp:extent cx="990600" cy="7620"/>
                <wp:effectExtent l="0" t="0" r="19050" b="30480"/>
                <wp:wrapNone/>
                <wp:docPr id="1892227180"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5A0C4F" id="Straight Connector 42"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4pt,12.1pt" to="356.4pt,12.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BVWkm7eAAAACQEAAA8AAABkcnMvZG93bnJldi54bWxMj01Pg0AQhu8m/ofN mHgxdikp1SBLY4x6qKdWTfQ2sCOQsrOE3VL8944nPb4feeeZYjO7Xk00hs6zgeUiAUVce9txY+Dt 9en6FlSIyBZ7z2TgmwJsyvOzAnPrT7yjaR8bJSMccjTQxjjkWoe6JYdh4Qdiyb786DCKHBttRzzJ uOt1miRr7bBjudDiQA8t1Yf90Rn4DD48vm+r6fmw28549RLTj9oac3kx39+BijTHvzL84gs6lMJU +SPboHoDWbYW9GggXaWgpHCzTMWoxMhWoMtC//+g/AEAAP//AwBQSwECLQAUAAYACAAAACEAtoM4 kv4AAADhAQAAEwAAAAAAAAAAAAAAAAAAAAAAW0NvbnRlbnRfVHlwZXNdLnhtbFBLAQItABQABgAI AAAAIQA4/SH/1gAAAJQBAAALAAAAAAAAAAAAAAAAAC8BAABfcmVscy8ucmVsc1BLAQItABQABgAI AAAAIQB3UilypwEAAKADAAAOAAAAAAAAAAAAAAAAAC4CAABkcnMvZTJvRG9jLnhtbFBLAQItABQA BgAIAAAAIQAVVpJu3gAAAAkBAAAPAAAAAAAAAAAAAAAAAAEEAABkcnMvZG93bnJldi54bWxQSwUG AAAAAAQABADzAAAAD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3360" behindDoc="0" locked="0" layoutInCell="1" allowOverlap="1" wp14:anchorId="78A32D71" wp14:editId="7E569704">
                <wp:simplePos x="0" y="0"/>
                <wp:positionH relativeFrom="margin">
                  <wp:align>center</wp:align>
                </wp:positionH>
                <wp:positionV relativeFrom="paragraph">
                  <wp:posOffset>7620</wp:posOffset>
                </wp:positionV>
                <wp:extent cx="1584960" cy="304800"/>
                <wp:effectExtent l="0" t="0" r="15240" b="19050"/>
                <wp:wrapNone/>
                <wp:docPr id="199628529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5AAF3AF9" w14:textId="77777777" w:rsidR="00461D24" w:rsidRDefault="00461D24" w:rsidP="00461D24">
                            <w:pPr>
                              <w:jc w:val="center"/>
                            </w:pPr>
                            <w:r>
                              <w:t>College Dean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A32D71" id="_x0000_s1028" type="#_x0000_t202" style="position:absolute;left:0;text-align:left;margin-left:0;margin-top:.6pt;width:124.8pt;height:2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BA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" fillcolor="white [3201]" strokeweight=".5pt">
                <v:textbox>
                  <w:txbxContent>
                    <w:p w14:paraId="5AAF3AF9" w14:textId="77777777" w:rsidR="00461D24" w:rsidRDefault="00461D24" w:rsidP="00461D24">
                      <w:pPr>
                        <w:jc w:val="center"/>
                      </w:pPr>
                      <w:r>
                        <w:t>College Dean</w:t>
                      </w:r>
                    </w:p>
                  </w:txbxContent>
                </v:textbox>
                <w10:wrap anchorx="margin"/>
              </v:shape>
            </w:pict>
          </mc:Fallback>
        </mc:AlternateContent>
      </w:r>
      <w:r>
        <w:rPr>
          <w:rFonts w:ascii="Courier New" w:hAnsi="Courier New" w:cs="Courier New"/>
          <w:b/>
          <w:bCs/>
          <w:sz w:val="24"/>
          <w:szCs w:val="24"/>
          <w:lang w:val="en-US"/>
        </w:rPr>
        <w:tab/>
      </w:r>
    </w:p>
    <w:p w14:paraId="22AF6331" w14:textId="77777777" w:rsidR="005C6688"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5648" behindDoc="0" locked="0" layoutInCell="1" allowOverlap="1" wp14:anchorId="44F6B802" wp14:editId="2D5853A4">
                <wp:simplePos x="0" y="0"/>
                <wp:positionH relativeFrom="margin">
                  <wp:posOffset>3771900</wp:posOffset>
                </wp:positionH>
                <wp:positionV relativeFrom="paragraph">
                  <wp:posOffset>377190</wp:posOffset>
                </wp:positionV>
                <wp:extent cx="1584960" cy="304800"/>
                <wp:effectExtent l="0" t="0" r="15240" b="19050"/>
                <wp:wrapNone/>
                <wp:docPr id="19931933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9387BA6" w14:textId="77777777" w:rsidR="00461D24" w:rsidRDefault="005B76A7" w:rsidP="00461D24">
                            <w:pPr>
                              <w:jc w:val="center"/>
                            </w:pPr>
                            <w:r>
                              <w:t>Chairperson, BSIT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F6B802" id="_x0000_s1029" type="#_x0000_t202" style="position:absolute;left:0;text-align:left;margin-left:297pt;margin-top:29.7pt;width:124.8pt;height:24pt;z-index:251675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X+V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" fillcolor="white [3201]" strokeweight=".5pt">
                <v:textbox>
                  <w:txbxContent>
                    <w:p w14:paraId="49387BA6" w14:textId="77777777" w:rsidR="00461D24" w:rsidRDefault="005B76A7" w:rsidP="00461D24">
                      <w:pPr>
                        <w:jc w:val="center"/>
                      </w:pPr>
                      <w:r>
                        <w:t>Chairperson, BSIT</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5408" behindDoc="0" locked="0" layoutInCell="1" allowOverlap="1" wp14:anchorId="1EE29F60" wp14:editId="1AEF8ABF">
                <wp:simplePos x="0" y="0"/>
                <wp:positionH relativeFrom="margin">
                  <wp:align>left</wp:align>
                </wp:positionH>
                <wp:positionV relativeFrom="paragraph">
                  <wp:posOffset>362585</wp:posOffset>
                </wp:positionV>
                <wp:extent cx="1584960" cy="304800"/>
                <wp:effectExtent l="0" t="0" r="15240" b="19050"/>
                <wp:wrapNone/>
                <wp:docPr id="1402881517"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04FAF418" w14:textId="77777777" w:rsidR="00461D24" w:rsidRDefault="00461D24" w:rsidP="00461D24">
                            <w:pPr>
                              <w:jc w:val="center"/>
                            </w:pPr>
                            <w:r>
                              <w:t>Chairperson, BSCE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E29F60" id="_x0000_s1030" type="#_x0000_t202" style="position:absolute;left:0;text-align:left;margin-left:0;margin-top:28.55pt;width:124.8pt;height:24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" fillcolor="white [3201]" strokeweight=".5pt">
                <v:textbox>
                  <w:txbxContent>
                    <w:p w14:paraId="04FAF418" w14:textId="77777777" w:rsidR="00461D24" w:rsidRDefault="00461D24" w:rsidP="00461D24">
                      <w:pPr>
                        <w:jc w:val="center"/>
                      </w:pPr>
                      <w:r>
                        <w:t>Chairperson, BSCE</w:t>
                      </w:r>
                    </w:p>
                  </w:txbxContent>
                </v:textbox>
                <w10:wrap anchorx="margin"/>
              </v:shape>
            </w:pict>
          </mc:Fallback>
        </mc:AlternateContent>
      </w:r>
      <w:r>
        <w:rPr>
          <w:rFonts w:ascii="Courier New" w:hAnsi="Courier New" w:cs="Courier New"/>
          <w:b/>
          <w:bCs/>
          <w:sz w:val="24"/>
          <w:szCs w:val="24"/>
          <w:lang w:val="en-US"/>
        </w:rPr>
        <w:tab/>
      </w:r>
    </w:p>
    <w:p w14:paraId="3D7D1B74"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7936" behindDoc="0" locked="0" layoutInCell="1" allowOverlap="1" wp14:anchorId="48F74970" wp14:editId="3125D4C2">
                <wp:simplePos x="0" y="0"/>
                <wp:positionH relativeFrom="column">
                  <wp:posOffset>952500</wp:posOffset>
                </wp:positionH>
                <wp:positionV relativeFrom="paragraph">
                  <wp:posOffset>220663</wp:posOffset>
                </wp:positionV>
                <wp:extent cx="0" cy="466725"/>
                <wp:effectExtent l="0" t="0" r="38100" b="28575"/>
                <wp:wrapNone/>
                <wp:docPr id="568609741" name="Straight Connector 44"/>
                <wp:cNvGraphicFramePr/>
                <a:graphic xmlns:a="http://schemas.openxmlformats.org/drawingml/2006/main">
                  <a:graphicData uri="http://schemas.microsoft.com/office/word/2010/wordprocessingShape">
                    <wps:wsp>
                      <wps:cNvCnPr/>
                      <wps:spPr>
                        <a:xfrm>
                          <a:off x="0" y="0"/>
                          <a:ext cx="0" cy="4667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AA3E644" id="Straight Connector 44"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75pt,17.4pt" to="75pt,54.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LLtRmQEAAJMDAAAOAAAAZHJzL2Uyb0RvYy54bWysU8Fu2zAMvQ/oPwi6L3aCNR2MOD20WC9D W3TrB6gyFQuQRIHSYufvK8mJU7QDhg270BLFR/I90pvr0Rq2BwoaXcuXi5ozcBI77XYtf/757fNX zkIUrhMGHbT8AIFfby8+bQbfwAp7NB0QS0lcaAbf8j5G31RVkD1YERbowaVHhWRFTFfaVR2JIWW3 plrV9boakDpPKCGE5L2dHvm25FcKZHxQKkBkpuWpt1gsFfuSbbXdiGZHwvdaHtsQ/9CFFdqlonOq WxEF+0X6QyqrJWFAFRcSbYVKaQmFQ2KzrN+x+dELD4VLEif4Wabw/9LK+/2Ne6Qkw+BDE/wjZRaj Ipu/qT82FrEOs1gwRiYnp0zeL+v11eoy61idcZ5CvAO0LB9abrTLNEQj9t9DnEJPIQl3rlxO8WAg Bxv3BIrpLtVaFnRZCrgxxPYijVNICS4uj6VLdIYpbcwMrP8MPMZnKJSF+RvwjCiV0cUZbLVD+l31 OJ5aVlP8SYGJd5bgBbtDmUmRJk2+iHvc0rxab+8Ffv6Xtq8AAAD//wMAUEsDBBQABgAIAAAAIQBx BGYi3wAAAAoBAAAPAAAAZHJzL2Rvd25yZXYueG1sTI9BSwMxEIXvgv8hjODNJrYqZd1sKQWxFqS0 CvWYbsbd1c1kSdLu9t879aK3eTOPN+/LZ4NrxRFDbDxpuB0pEEiltw1VGt7fnm6mIGIyZE3rCTWc MMKsuLzITWZ9Txs8blMlOIRiZjTUKXWZlLGs0Zk48h0S3z59cCaxDJW0wfQc7lo5VupBOtMQf6hN h4say+/twWl4DcvlYr46fdH6w/W78Wq3fhmetb6+GuaPIBIO6c8M5/pcHQrutPcHslG0rO8VsyQN kztGOBt+F3se1HQCssjlf4TiBwAA//8DAFBLAQItABQABgAIAAAAIQC2gziS/gAAAOEBAAATAAAA AAAAAAAAAAAAAAAAAABbQ29udGVudF9UeXBlc10ueG1sUEsBAi0AFAAGAAgAAAAhADj9If/WAAAA lAEAAAsAAAAAAAAAAAAAAAAALwEAAF9yZWxzLy5yZWxzUEsBAi0AFAAGAAgAAAAhACcsu1GZAQAA kwMAAA4AAAAAAAAAAAAAAAAALgIAAGRycy9lMm9Eb2MueG1sUEsBAi0AFAAGAAgAAAAhAHEEZiLf AAAACgEAAA8AAAAAAAAAAAAAAAAA8wMAAGRycy9kb3ducmV2LnhtbFBLBQYAAAAABAAEAPMAAAD/ B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6912" behindDoc="0" locked="0" layoutInCell="1" allowOverlap="1" wp14:anchorId="76F41345" wp14:editId="55A8194E">
                <wp:simplePos x="0" y="0"/>
                <wp:positionH relativeFrom="column">
                  <wp:posOffset>4543425</wp:posOffset>
                </wp:positionH>
                <wp:positionV relativeFrom="paragraph">
                  <wp:posOffset>234950</wp:posOffset>
                </wp:positionV>
                <wp:extent cx="4763" cy="419100"/>
                <wp:effectExtent l="0" t="0" r="33655" b="19050"/>
                <wp:wrapNone/>
                <wp:docPr id="1029753579" name="Straight Connector 43"/>
                <wp:cNvGraphicFramePr/>
                <a:graphic xmlns:a="http://schemas.openxmlformats.org/drawingml/2006/main">
                  <a:graphicData uri="http://schemas.microsoft.com/office/word/2010/wordprocessingShape">
                    <wps:wsp>
                      <wps:cNvCnPr/>
                      <wps:spPr>
                        <a:xfrm>
                          <a:off x="0" y="0"/>
                          <a:ext cx="4763" cy="419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67CBEB" id="Straight Connector 4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357.75pt,18.5pt" to="358.15pt,5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hpFpnwEAAJYDAAAOAAAAZHJzL2Uyb0RvYy54bWysU9tO3DAQfUfqP1h+7yYBBDTaLA+g8oIA tfABxhlvLPkm291k/57x7G62KkhVK14cX+acmXNmsryerGEbiEl71/FmUXMGTvpeu3XHX56/f73i LGXhemG8g45vIfHr1ZeT5RhaOPWDNz1EhiQutWPo+JBzaKsqyQGsSAsfwOGj8tGKjMe4rvooRmS3 pjqt64tq9LEP0UtICW9vd498RfxKgcyPSiXIzHQca8u0Rlpfy1qtlqJdRxEGLfdliP+owgrtMOlM dSuyYL+ifkdltYw+eZUX0tvKK6UlkAZU09R/qPk5iACkBc1JYbYpfR6tfNjcuKeINowhtSk8xaJi UtGWL9bHJjJrO5sFU2YSL88vL844k/hw3nxrarKyOkJDTPkOvGVl03GjXVEiWrG5TxnTYeghBA/H 5LTLWwMl2LgfoJjuMV1DaJoLuDGRbQR2VEgJLjeli8hH0QWmtDEzsP47cB9foEAz8y/gGUGZvcsz 2Grn40fZ83QoWe3iDw7sdBcLXn2/pbaQNdh8Urgf1DJdv58JfvydVm8AAAD//wMAUEsDBBQABgAI AAAAIQD9rJKO4QAAAAoBAAAPAAAAZHJzL2Rvd25yZXYueG1sTI9RS8MwFIXfB/6HcAXftqQrW6U2 HWMgzoEMpzAfsya21eamJNna/XuvT/p4uR/nfKdYjbZjF+ND61BCMhPADFZOt1hLeH97nN4DC1Gh Vp1DI+FqAqzKm0mhcu0GfDWXQ6wZhWDIlYQmxj7nPFSNsSrMXG+Qfp/OWxXp9DXXXg0Ubjs+F2LJ rWqRGhrVm01jqu/D2Up48dvtZr27fuH+ww7H+e64fx6fpLy7HdcPwKIZ4x8Mv/qkDiU5ndwZdWCd hCxZLAiVkGa0iYAsWabATkSKVAAvC/5/QvkDAAD//wMAUEsBAi0AFAAGAAgAAAAhALaDOJL+AAAA 4QEAABMAAAAAAAAAAAAAAAAAAAAAAFtDb250ZW50X1R5cGVzXS54bWxQSwECLQAUAAYACAAAACEA OP0h/9YAAACUAQAACwAAAAAAAAAAAAAAAAAvAQAAX3JlbHMvLnJlbHNQSwECLQAUAAYACAAAACEA WoaRaZ8BAACWAwAADgAAAAAAAAAAAAAAAAAuAgAAZHJzL2Uyb0RvYy54bWxQSwECLQAUAAYACAAA ACEA/aySjuEAAAAKAQAADwAAAAAAAAAAAAAAAAD5AwAAZHJzL2Rvd25yZXYueG1sUEsFBgAAAAAE AAQA8wAAAAcFAAAAAA== " strokecolor="#4472c4 [3204]" strokeweight=".5pt">
                <v:stroke joinstyle="miter"/>
              </v:line>
            </w:pict>
          </mc:Fallback>
        </mc:AlternateContent>
      </w:r>
    </w:p>
    <w:p w14:paraId="03930404" w14:textId="77777777" w:rsidR="000F4102"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7456" behindDoc="0" locked="0" layoutInCell="1" allowOverlap="1" wp14:anchorId="53D00AD0" wp14:editId="51438869">
                <wp:simplePos x="0" y="0"/>
                <wp:positionH relativeFrom="margin">
                  <wp:posOffset>419100</wp:posOffset>
                </wp:positionH>
                <wp:positionV relativeFrom="paragraph">
                  <wp:posOffset>215265</wp:posOffset>
                </wp:positionV>
                <wp:extent cx="1584960" cy="304800"/>
                <wp:effectExtent l="0" t="0" r="15240" b="19050"/>
                <wp:wrapNone/>
                <wp:docPr id="1486359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15FFA524" w14:textId="77777777" w:rsidR="00461D24" w:rsidRDefault="005B76A7" w:rsidP="00461D24">
                            <w:pPr>
                              <w:jc w:val="center"/>
                            </w:pPr>
                            <w:r>
                              <w:t>Chairperson, BSMATH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D00AD0" id="_x0000_s1031" type="#_x0000_t202" style="position:absolute;left:0;text-align:left;margin-left:33pt;margin-top:16.95pt;width:124.8pt;height:24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k0H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" fillcolor="white [3201]" strokeweight=".5pt">
                <v:textbox>
                  <w:txbxContent>
                    <w:p w14:paraId="15FFA524" w14:textId="77777777" w:rsidR="00461D24" w:rsidRDefault="005B76A7" w:rsidP="00461D24">
                      <w:pPr>
                        <w:jc w:val="center"/>
                      </w:pPr>
                      <w:r>
                        <w:t>Chairperson, BSMATH</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3600" behindDoc="0" locked="0" layoutInCell="1" allowOverlap="1" wp14:anchorId="6235F733" wp14:editId="7BC190CE">
                <wp:simplePos x="0" y="0"/>
                <wp:positionH relativeFrom="margin">
                  <wp:posOffset>3421380</wp:posOffset>
                </wp:positionH>
                <wp:positionV relativeFrom="paragraph">
                  <wp:posOffset>200025</wp:posOffset>
                </wp:positionV>
                <wp:extent cx="1584960" cy="304800"/>
                <wp:effectExtent l="0" t="0" r="15240" b="19050"/>
                <wp:wrapNone/>
                <wp:docPr id="103135575"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0102443" w14:textId="77777777" w:rsidR="00461D24" w:rsidRDefault="005B76A7" w:rsidP="00461D24">
                            <w:pPr>
                              <w:jc w:val="center"/>
                            </w:pPr>
                            <w:r>
                              <w:t>Chairperson, BSCpE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35F733" id="_x0000_s1032" type="#_x0000_t202" style="position:absolute;left:0;text-align:left;margin-left:269.4pt;margin-top:15.75pt;width:124.8pt;height:2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uyjOQ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" fillcolor="white [3201]" strokeweight=".5pt">
                <v:textbox>
                  <w:txbxContent>
                    <w:p w14:paraId="40102443" w14:textId="77777777" w:rsidR="00461D24" w:rsidRDefault="005B76A7" w:rsidP="00461D24">
                      <w:pPr>
                        <w:jc w:val="center"/>
                      </w:pPr>
                      <w:r>
                        <w:t>Chairperson, BSCpE</w:t>
                      </w:r>
                    </w:p>
                  </w:txbxContent>
                </v:textbox>
                <w10:wrap anchorx="margin"/>
              </v:shape>
            </w:pict>
          </mc:Fallback>
        </mc:AlternateContent>
      </w:r>
    </w:p>
    <w:p w14:paraId="3A0DBCE2"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8960" behindDoc="0" locked="0" layoutInCell="1" allowOverlap="1" wp14:anchorId="2688C4D5" wp14:editId="536A4D98">
                <wp:simplePos x="0" y="0"/>
                <wp:positionH relativeFrom="column">
                  <wp:posOffset>1998980</wp:posOffset>
                </wp:positionH>
                <wp:positionV relativeFrom="paragraph">
                  <wp:posOffset>89217</wp:posOffset>
                </wp:positionV>
                <wp:extent cx="0" cy="290512"/>
                <wp:effectExtent l="0" t="0" r="38100" b="33655"/>
                <wp:wrapNone/>
                <wp:docPr id="2040391424" name="Straight Connector 45"/>
                <wp:cNvGraphicFramePr/>
                <a:graphic xmlns:a="http://schemas.openxmlformats.org/drawingml/2006/main">
                  <a:graphicData uri="http://schemas.microsoft.com/office/word/2010/wordprocessingShape">
                    <wps:wsp>
                      <wps:cNvCnPr/>
                      <wps:spPr>
                        <a:xfrm>
                          <a:off x="0" y="0"/>
                          <a:ext cx="0" cy="290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F6968AC" id="Straight Connector 45"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57.4pt,7pt" to="157.4pt,29.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vYfamAEAAJMDAAAOAAAAZHJzL2Uyb0RvYy54bWysU8Fu2zAMvRfoPwi6L7YDrNiMOD202C5F W2zrB6gyFQuQRIFSY+fvK8mJM7QFhg270BLFR/I90pvryRq2BwoaXcebVc0ZOIm9druOP/369ukL ZyEK1wuDDjp+gMCvt5cXm9G3sMYBTQ/EUhIX2tF3fIjRt1UV5ABWhBV6cOlRIVkR05V2VU9iTNmt qdZ1fVWNSL0nlBBC8t7Oj3xb8isFMj4oFSAy0/HUWyyWin3OttpuRLsj4Qctj22If+jCCu1S0SXV rYiCvZB+l8pqSRhQxZVEW6FSWkLhkNg09Rs2PwfhoXBJ4gS/yBT+X1p5v79xj5RkGH1og3+kzGJS ZPM39cemItZhEQumyOTslMm7/lp/btZZx+qM8xTid0DL8qHjRrtMQ7RifxfiHHoKSbhz5XKKBwM5 2LgfoJjuU62moMtSwI0hthdpnEJKcLE5li7RGaa0MQuw/jPwGJ+hUBbmb8ALolRGFxew1Q7po+px OrWs5viTAjPvLMEz9ocykyJNmnwR97ilebV+vxf4+V/avgIAAP//AwBQSwMEFAAGAAgAAAAhAHNF nwvgAAAACQEAAA8AAABkcnMvZG93bnJldi54bWxMj0FPwkAQhe8m/ofNmHiTLYiopVtCSIxIYoho gselO7TV7myzu9Dy7x3jAY/z3sub72Wz3jbiiD7UjhQMBwkIpMKZmkoFH+9PNw8gQtRkdOMIFZww wCy/vMh0alxHb3jcxFJwCYVUK6hibFMpQ1Gh1WHgWiT29s5bHfn0pTRed1xuGzlKkom0uib+UOkW FxUW35uDVfDql8vFfHX6ovWn7baj1Xb90j8rdX3Vz6cgIvbxHIZffEaHnJl27kAmiEbB7XDM6JGN MW/iwJ+wU3D3eA8yz+T/BfkPAAAA//8DAFBLAQItABQABgAIAAAAIQC2gziS/gAAAOEBAAATAAAA AAAAAAAAAAAAAAAAAABbQ29udGVudF9UeXBlc10ueG1sUEsBAi0AFAAGAAgAAAAhADj9If/WAAAA lAEAAAsAAAAAAAAAAAAAAAAALwEAAF9yZWxzLy5yZWxzUEsBAi0AFAAGAAgAAAAhANq9h9qYAQAA kwMAAA4AAAAAAAAAAAAAAAAALgIAAGRycy9lMm9Eb2MueG1sUEsBAi0AFAAGAAgAAAAhAHNFnwvg AAAACQEAAA8AAAAAAAAAAAAAAAAA8gMAAGRycy9kb3ducmV2LnhtbFBLBQYAAAAABAAEAPMAAAD/ B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9984" behindDoc="0" locked="0" layoutInCell="1" allowOverlap="1" wp14:anchorId="56CFA0EE" wp14:editId="76DCE8B8">
                <wp:simplePos x="0" y="0"/>
                <wp:positionH relativeFrom="column">
                  <wp:posOffset>3429000</wp:posOffset>
                </wp:positionH>
                <wp:positionV relativeFrom="paragraph">
                  <wp:posOffset>55880</wp:posOffset>
                </wp:positionV>
                <wp:extent cx="0" cy="338138"/>
                <wp:effectExtent l="0" t="0" r="38100" b="24130"/>
                <wp:wrapNone/>
                <wp:docPr id="509307199" name="Straight Connector 46"/>
                <wp:cNvGraphicFramePr/>
                <a:graphic xmlns:a="http://schemas.openxmlformats.org/drawingml/2006/main">
                  <a:graphicData uri="http://schemas.microsoft.com/office/word/2010/wordprocessingShape">
                    <wps:wsp>
                      <wps:cNvCnPr/>
                      <wps:spPr>
                        <a:xfrm>
                          <a:off x="0" y="0"/>
                          <a:ext cx="0" cy="33813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5AFAF8" id="Straight Connector 46"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270pt,4.4pt" to="270pt,31.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2DcWmAEAAJMDAAAOAAAAZHJzL2Uyb0RvYy54bWysU8Fu2zAMvRfYPwi6L7YboAiMODm02C7D WmzrB6gyFQuQRIHSYufvJ8mJU3QFhg270BLFR/I90tv9ZA07AgWNruPNquYMnMReu0PHn398+rjh LEThemHQQcdPEPh+9+FmO/oWbnFA0wOxlMSFdvQdH2L0bVUFOYAVYYUeXHpUSFbEdKVD1ZMYU3Zr qtu6vqtGpN4TSggheR/mR74r+ZUCGR+VChCZ6XjqLRZLxb5kW+22oj2Q8IOW5zbEP3RhhXap6JLq QUTBfpL+LZXVkjCgiiuJtkKltITCIbFp6jdsvg/CQ+GSxAl+kSn8v7Ty6/HePVGSYfShDf6JMotJ kc3f1B+bilinRSyYIpOzUybver1p1pusY3XFeQrxM6Bl+dBxo12mIVpx/BLiHHoJSbhr5XKKJwM5 2LhvoJjuU62moMtSwL0hdhRpnEJKcLE5ly7RGaa0MQuw/jPwHJ+hUBbmb8ALolRGFxew1Q7pvepx urSs5viLAjPvLMEL9qcykyJNmnwR97ylebVe3wv8+i/tfgEAAP//AwBQSwMEFAAGAAgAAAAhAKbB EuPdAAAACAEAAA8AAABkcnMvZG93bnJldi54bWxMj0FLw0AQhe+C/2EZwZvdNGgpMZNSCmItSLEK 9bjNjkk0Oxuy2yb994540OPjDW++L1+MrlUn6kPjGWE6SUARl942XCG8vT7czEGFaNia1jMhnCnA ori8yE1m/cAvdNrFSskIh8wg1DF2mdahrMmZMPEdsXQfvncmSuwrbXszyLhrdZokM+1Mw/KhNh2t aiq/dkeH8Nyv16vl5vzJ23c37NPNfvs0PiJeX43Le1CRxvh3DD/4gg6FMB38kW1QLcLdbSIuEWEu BtL/5gPCLJ2CLnL9X6D4BgAA//8DAFBLAQItABQABgAIAAAAIQC2gziS/gAAAOEBAAATAAAAAAAA AAAAAAAAAAAAAABbQ29udGVudF9UeXBlc10ueG1sUEsBAi0AFAAGAAgAAAAhADj9If/WAAAAlAEA AAsAAAAAAAAAAAAAAAAALwEAAF9yZWxzLy5yZWxzUEsBAi0AFAAGAAgAAAAhAKTYNxaYAQAAkwMA AA4AAAAAAAAAAAAAAAAALgIAAGRycy9lMm9Eb2MueG1sUEsBAi0AFAAGAAgAAAAhAKbBEuPdAAAA CAEAAA8AAAAAAAAAAAAAAAAA8gMAAGRycy9kb3ducmV2LnhtbFBLBQYAAAAABAAEAPMAAAD8BAAA 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9504" behindDoc="0" locked="0" layoutInCell="1" allowOverlap="1" wp14:anchorId="5EEDD038" wp14:editId="79818FD6">
                <wp:simplePos x="0" y="0"/>
                <wp:positionH relativeFrom="margin">
                  <wp:posOffset>876300</wp:posOffset>
                </wp:positionH>
                <wp:positionV relativeFrom="paragraph">
                  <wp:posOffset>370205</wp:posOffset>
                </wp:positionV>
                <wp:extent cx="1584960" cy="304800"/>
                <wp:effectExtent l="0" t="0" r="15240" b="19050"/>
                <wp:wrapNone/>
                <wp:docPr id="352308400"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DC45421" w14:textId="77777777" w:rsidR="00461D24" w:rsidRDefault="005B76A7" w:rsidP="00461D24">
                            <w:pPr>
                              <w:jc w:val="center"/>
                            </w:pPr>
                            <w:r>
                              <w:t>Chairperson, BSABE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DD038" id="_x0000_s1033" type="#_x0000_t202" style="position:absolute;left:0;text-align:left;margin-left:69pt;margin-top:29.15pt;width:124.8pt;height:24pt;z-index:251669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" fillcolor="white [3201]" strokeweight=".5pt">
                <v:textbox>
                  <w:txbxContent>
                    <w:p w14:paraId="6DC45421" w14:textId="77777777" w:rsidR="00461D24" w:rsidRDefault="005B76A7" w:rsidP="00461D24">
                      <w:pPr>
                        <w:jc w:val="center"/>
                      </w:pPr>
                      <w:r>
                        <w:t>Chairperson, BSABE</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1552" behindDoc="0" locked="0" layoutInCell="1" allowOverlap="1" wp14:anchorId="0EC1EF0F" wp14:editId="08687E77">
                <wp:simplePos x="0" y="0"/>
                <wp:positionH relativeFrom="margin">
                  <wp:posOffset>2682875</wp:posOffset>
                </wp:positionH>
                <wp:positionV relativeFrom="paragraph">
                  <wp:posOffset>377825</wp:posOffset>
                </wp:positionV>
                <wp:extent cx="1584960" cy="304800"/>
                <wp:effectExtent l="0" t="0" r="15240" b="19050"/>
                <wp:wrapNone/>
                <wp:docPr id="178479886"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2FA9DA9" w14:textId="77777777" w:rsidR="00461D24" w:rsidRDefault="005B76A7" w:rsidP="00461D24">
                            <w:pPr>
                              <w:jc w:val="center"/>
                            </w:pPr>
                            <w:r>
                              <w:t>Chairperson, BSEE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C1EF0F" id="_x0000_s1034" type="#_x0000_t202" style="position:absolute;left:0;text-align:left;margin-left:211.25pt;margin-top:29.75pt;width:124.8pt;height:24pt;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RYt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" fillcolor="white [3201]" strokeweight=".5pt">
                <v:textbox>
                  <w:txbxContent>
                    <w:p w14:paraId="62FA9DA9" w14:textId="77777777" w:rsidR="00461D24" w:rsidRDefault="005B76A7" w:rsidP="00461D24">
                      <w:pPr>
                        <w:jc w:val="center"/>
                      </w:pPr>
                      <w:r>
                        <w:t>Chairperson, BSEE</w:t>
                      </w:r>
                    </w:p>
                  </w:txbxContent>
                </v:textbox>
                <w10:wrap anchorx="margin"/>
              </v:shape>
            </w:pict>
          </mc:Fallback>
        </mc:AlternateContent>
      </w:r>
    </w:p>
    <w:p w14:paraId="3C14031E"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91008" behindDoc="0" locked="0" layoutInCell="1" allowOverlap="1" wp14:anchorId="779779B2" wp14:editId="2201E44F">
                <wp:simplePos x="0" y="0"/>
                <wp:positionH relativeFrom="column">
                  <wp:posOffset>2461260</wp:posOffset>
                </wp:positionH>
                <wp:positionV relativeFrom="paragraph">
                  <wp:posOffset>99378</wp:posOffset>
                </wp:positionV>
                <wp:extent cx="220028" cy="0"/>
                <wp:effectExtent l="0" t="0" r="0" b="0"/>
                <wp:wrapNone/>
                <wp:docPr id="1784930667" name="Straight Connector 47"/>
                <wp:cNvGraphicFramePr/>
                <a:graphic xmlns:a="http://schemas.openxmlformats.org/drawingml/2006/main">
                  <a:graphicData uri="http://schemas.microsoft.com/office/word/2010/wordprocessingShape">
                    <wps:wsp>
                      <wps:cNvCnPr/>
                      <wps:spPr>
                        <a:xfrm>
                          <a:off x="0" y="0"/>
                          <a:ext cx="2200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FD75AA" id="Straight Connector 4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93.8pt,7.85pt" to="211.15pt,7.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MDamQEAAJMDAAAOAAAAZHJzL2Uyb0RvYy54bWysU8tu2zAQvBfIPxC8x5J9KALBcg4JkkvR BH18AEMtLQIkl1iylvz3XdK2XLQFiha9UHzszO7Mrrb3s3fiAJQshl6uV60UEDQONux7+fXL0+2d FCmrMCiHAXp5hCTvdzfvtlPsYIMjugFIMElI3RR7OeYcu6ZJegSv0gojBH40SF5lPtK+GUhNzO5d s2nb982ENERCDSnx7ePpUe4qvzGg84sxCbJwveTacl2prm9lbXZb1e1JxdHqcxnqH6rwygZOulA9 qqzEN7K/UHmrCROavNLoGzTGaqgaWM26/UnN51FFqFrYnBQXm9L/o9UfDw/hldiGKaYuxVcqKmZD vny5PjFXs46LWTBnoflyw/ZvuLv68tRccZFSfgb0omx66WwoMlSnDh9S5lwcegnhwzVz3eWjgxLs wicwwg6ca13RdSjgwZE4KG6n0hpCXpcWMl+NLjBjnVuA7Z+B5/gChTowfwNeEDUzhryAvQ1Iv8ue 50vJ5hR/ceCku1jwhsOx9qRaw52vCs9TWkbrx3OFX/+l3XcAAAD//wMAUEsDBBQABgAIAAAAIQAH HvwM4AAAAAkBAAAPAAAAZHJzL2Rvd25yZXYueG1sTI/BSsNAEIbvgu+wjODNbky1LTGbUgpiLZRi Fepxmx2TaHY27G6b9O0d8aDHmf/jn2/y+WBbcUIfGkcKbkcJCKTSmYYqBW+vjzczECFqMrp1hArO GGBeXF7kOjOupxc87WIluIRCphXUMXaZlKGs0eowch0SZx/OWx159JU0XvdcbluZJslEWt0QX6h1 h8say6/d0SrY+NVquVifP2n7bvt9ut5vn4cnpa6vhsUDiIhD/IPhR5/VoWCngzuSCaJVMJ5NJ4xy cD8FwcBdmo5BHH4Xssjl/w+KbwAAAP//AwBQSwECLQAUAAYACAAAACEAtoM4kv4AAADhAQAAEwAA AAAAAAAAAAAAAAAAAAAAW0NvbnRlbnRfVHlwZXNdLnhtbFBLAQItABQABgAIAAAAIQA4/SH/1gAA AJQBAAALAAAAAAAAAAAAAAAAAC8BAABfcmVscy8ucmVsc1BLAQItABQABgAIAAAAIQC/VMDamQEA AJMDAAAOAAAAAAAAAAAAAAAAAC4CAABkcnMvZTJvRG9jLnhtbFBLAQItABQABgAIAAAAIQAHHvwM 4AAAAAkBAAAPAAAAAAAAAAAAAAAAAPMDAABkcnMvZG93bnJldi54bWxQSwUGAAAAAAQABADzAAAA AAUAAAAA " strokecolor="#4472c4 [3204]" strokeweight=".5pt">
                <v:stroke joinstyle="miter"/>
              </v:line>
            </w:pict>
          </mc:Fallback>
        </mc:AlternateContent>
      </w:r>
    </w:p>
    <w:p w14:paraId="66C867A5" w14:textId="77777777" w:rsidR="000F4102" w:rsidRDefault="000F4102">
      <w:pPr>
        <w:spacing w:line="480" w:lineRule="auto"/>
        <w:jc w:val="both"/>
        <w:rPr>
          <w:rFonts w:ascii="Courier New" w:hAnsi="Courier New" w:cs="Courier New"/>
          <w:b/>
          <w:bCs/>
          <w:sz w:val="24"/>
          <w:szCs w:val="24"/>
          <w:lang w:val="en-US"/>
        </w:rPr>
      </w:pPr>
    </w:p>
    <w:p w14:paraId="313D054D"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Bulanao Campus, which serves as the main campus of the </w:t>
      </w:r>
      <w:r>
        <w:rPr>
          <w:rFonts w:ascii="Courier New" w:hAnsi="Courier New" w:cs="Courier New"/>
          <w:sz w:val="24"/>
          <w:szCs w:val="24"/>
          <w:lang w:val="en-US" w:eastAsia="zh-CN"/>
        </w:rPr>
        <w:lastRenderedPageBreak/>
        <w:t xml:space="preserve">university. This is a public higher education institution 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poultry production, piggery, garments, trades, and native 100m weaving, with Augusto Alejandrino serving as its first administrator. The Municipal Council of Tabuk later allowed the college to use a portion of the Municipal Plaza as its campus. </w:t>
      </w:r>
    </w:p>
    <w:p w14:paraId="0D012515"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7FF83C64"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w:t>
      </w:r>
      <w:r>
        <w:rPr>
          <w:rFonts w:ascii="Courier New" w:hAnsi="Courier New" w:cs="Courier New"/>
          <w:sz w:val="24"/>
          <w:szCs w:val="24"/>
          <w:lang w:val="en-US" w:eastAsia="zh-CN"/>
        </w:rPr>
        <w:lastRenderedPageBreak/>
        <w:t xml:space="preserve">operational in 1992. In 1993, Francisco M. Basuel was appointed as the first president and introduced various academic programs, graduate degrees, infrastructure developments, and research initiatives. </w:t>
      </w:r>
    </w:p>
    <w:p w14:paraId="7131B725"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Several presidents continued to strengthen the institution, including Venus I. Lammawin, Serafin L. Ngohayon, and Eduardo I. Bagtang, who expanded academic programs, facilities, research activities, and international collaborations.</w:t>
      </w:r>
    </w:p>
    <w:p w14:paraId="1B4BF929"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In 2015, the institution achieved university status through Republic Act No. 7722 and officially became Kalinga State University, with Jovita E. Saguibo as its first university president. Today, the university continues to strengthen its academic programs, research initiatives, and community services.</w:t>
      </w:r>
    </w:p>
    <w:p w14:paraId="4CA250F7" w14:textId="77777777" w:rsidR="002E2B4E" w:rsidRPr="003551F3" w:rsidRDefault="002E2B4E">
      <w:pPr>
        <w:spacing w:line="480" w:lineRule="auto"/>
        <w:ind w:firstLine="720"/>
        <w:jc w:val="both"/>
        <w:rPr>
          <w:rFonts w:ascii="Courier New" w:hAnsi="Courier New" w:cs="Courier New"/>
          <w:sz w:val="24"/>
          <w:szCs w:val="24"/>
          <w:lang w:val="en-US"/>
        </w:rPr>
      </w:pPr>
    </w:p>
    <w:p w14:paraId="0A0900FB"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16774A38"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 xml:space="preserve">Despite the availability of a Management Information System (MIS), the lack of a specialized tool for automated curriculum monitoring forces the Program Chairperson to </w:t>
      </w:r>
      <w:r>
        <w:rPr>
          <w:rFonts w:ascii="Courier New" w:eastAsia="-webkit-standard" w:hAnsi="Courier New" w:cs="Courier New"/>
          <w:color w:val="000000"/>
        </w:rPr>
        <w:lastRenderedPageBreak/>
        <w:t>manually review student records, which creates a gap in institutional efficiency and data integrity.</w:t>
      </w:r>
    </w:p>
    <w:p w14:paraId="7967002F"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7F7F13F7"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1. What are the current process for evaluating students’ prerequisite compliance with the curriculum?</w:t>
      </w:r>
    </w:p>
    <w:p w14:paraId="492DE58A"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00CBADE3"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3. How can a curriculum audit system be designed to ensure prerequisite compliance with the curriculum?</w:t>
      </w:r>
    </w:p>
    <w:p w14:paraId="20DA8D45" w14:textId="77777777" w:rsidR="00094483"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7B6A658F" w14:textId="77777777" w:rsidR="0059781B" w:rsidRDefault="0059781B">
      <w:pPr>
        <w:spacing w:line="480" w:lineRule="auto"/>
        <w:ind w:leftChars="327" w:left="1079" w:hangingChars="150" w:hanging="360"/>
        <w:jc w:val="both"/>
        <w:rPr>
          <w:rFonts w:ascii="Courier New" w:hAnsi="Courier New" w:cs="Courier New"/>
          <w:sz w:val="24"/>
          <w:szCs w:val="24"/>
          <w:lang w:val="en-US"/>
        </w:rPr>
      </w:pPr>
    </w:p>
    <w:p w14:paraId="3BC70DF5"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5E6F3A8E" w14:textId="4C06D54B"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Auditrix: A Curriculum Audit System for KSU, a web-based tool for Kalinga State University, developed and tested in the </w:t>
      </w:r>
      <w:r>
        <w:rPr>
          <w:rFonts w:ascii="Courier New" w:hAnsi="Courier New" w:cs="Courier New"/>
          <w:sz w:val="24"/>
          <w:szCs w:val="24"/>
          <w:lang w:val="en-US"/>
        </w:rPr>
        <w:lastRenderedPageBreak/>
        <w:t>College of Engineering and Information Technology (CEIT), that automatically validates student eligibility by checking finished subjects against curriculum standards.</w:t>
      </w:r>
    </w:p>
    <w:p w14:paraId="6C264F85"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14C59DC6" w14:textId="2CA186C9"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7C428387"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1EBCC0A4"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t>To evaluate the level of compliance of the proposed system to ISO/IEC 25010 software quality standards in terms of functional suitability, usability, security, reliability, performance efficiency, compatibility, portability, maintainability, and safety.</w:t>
      </w:r>
    </w:p>
    <w:p w14:paraId="4A370AF3" w14:textId="77777777" w:rsidR="0059781B" w:rsidRDefault="0059781B">
      <w:pPr>
        <w:spacing w:line="480" w:lineRule="auto"/>
        <w:jc w:val="both"/>
        <w:rPr>
          <w:rFonts w:ascii="Courier New" w:hAnsi="Courier New" w:cs="Courier New"/>
          <w:b/>
          <w:bCs/>
          <w:sz w:val="24"/>
          <w:szCs w:val="24"/>
          <w:lang w:val="en-US"/>
        </w:rPr>
      </w:pPr>
    </w:p>
    <w:p w14:paraId="3CABEF09"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2AFDEF2F" w14:textId="3B9995C9"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The development of Auditrix represents a strategic shift toward modernizing the academic auditing framework of Kalinga State University. By transitioning from manual verification to an automated, data-driven approach, this study provides the following significant benefits:</w:t>
      </w:r>
    </w:p>
    <w:p w14:paraId="6ACD996A"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lastRenderedPageBreak/>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once which subjects the student has completed, can take next, or took out of order, with the reason for each violation, removing the need to cross-reference records against the curriculum map by hand. Student lists can also be imported from the KSU-MIS export instead of being typed in. This significantly reduces administrative workload, reduces human oversight, and allows chairpersons to dedicate more time to high-value academic counseling.</w:t>
      </w:r>
    </w:p>
    <w:p w14:paraId="6C837250" w14:textId="3E5606C4"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 xml:space="preserve">The study provides a college-level tool for academic governance and quality assurance. Through role-based access, the Dean sees an overview of every program in the college: its regular and irregular students, students with violations, and students per year level. The Dean also sets the college's current semester, creates programs together with the staff accounts of their program chairpersons, and reassigns chairpersons, which limits access to student records to authorized personnel only. Together with the college-wide analytics on student progression, this </w:t>
      </w:r>
      <w:r>
        <w:rPr>
          <w:rFonts w:ascii="Courier New" w:eastAsia="-webkit-standard" w:hAnsi="Courier New" w:cs="Courier New"/>
          <w:color w:val="000000"/>
        </w:rPr>
        <w:lastRenderedPageBreak/>
        <w:t>oversight supports AACCUP accreditation and CHED monitoring visits by providing documented evidence of the college's commitment to academic integrity and outcomes-based education.</w:t>
      </w:r>
    </w:p>
    <w:p w14:paraId="09C55C2E"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of being barred from graduation due to late-discovered delinquencies. This proactive approach minimizes unnecessary financial burdens and ensures a seamless, on-time pathway toward program completion.</w:t>
      </w:r>
    </w:p>
    <w:p w14:paraId="736E0096"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Auditrix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w:t>
      </w:r>
      <w:r>
        <w:rPr>
          <w:rFonts w:ascii="Courier New" w:eastAsia="-webkit-standard" w:hAnsi="Courier New" w:cs="Courier New"/>
          <w:color w:val="000000"/>
        </w:rPr>
        <w:lastRenderedPageBreak/>
        <w:t>based governance by providing clear, real-time insights into student progression and identifying potential curriculum bottlenecks.</w:t>
      </w:r>
      <w:r>
        <w:rPr>
          <w:rFonts w:ascii="Courier New" w:eastAsia="-webkit-standard" w:hAnsi="Courier New" w:cs="Courier New"/>
          <w:b/>
          <w:bCs/>
          <w:color w:val="000000"/>
        </w:rPr>
        <w:tab/>
      </w:r>
    </w:p>
    <w:p w14:paraId="5E197D51" w14:textId="77777777" w:rsidR="00FB68F9"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01552A58" w14:textId="77777777" w:rsidR="004702A7" w:rsidRPr="00227703" w:rsidRDefault="004702A7" w:rsidP="00893BA3">
      <w:pPr>
        <w:pStyle w:val="NormalWeb"/>
        <w:spacing w:after="120" w:line="480" w:lineRule="auto"/>
        <w:jc w:val="both"/>
        <w:rPr>
          <w:rFonts w:ascii="Courier New" w:eastAsia="-webkit-standard" w:hAnsi="Courier New" w:cs="Courier New"/>
          <w:color w:val="000000"/>
        </w:rPr>
      </w:pPr>
    </w:p>
    <w:p w14:paraId="3B461842"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Scope and Delimitations</w:t>
      </w:r>
      <w:r>
        <w:fldChar w:fldCharType="begin"/>
      </w:r>
      <w:r>
        <w:instrText xml:space="preserve"> TC "Scope and Delimitations" \f c \l 2 </w:instrText>
      </w:r>
      <w:r>
        <w:fldChar w:fldCharType="end"/>
      </w:r>
    </w:p>
    <w:p w14:paraId="0B1D6EDA"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primary focus of this study is the design and development of Auditrix: A Curriculum Audit System for Kalinga State University (KSU). The system is engineered as a specialized administrative tool to support Program Chairpersons in monitoring student curriculum progress and ensuring strict prerequisite compliance.</w:t>
      </w:r>
    </w:p>
    <w:p w14:paraId="03325C18"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xml:space="preserve">, this study focuses on the College of Engineering and Information Technology, which served as </w:t>
      </w:r>
      <w:r>
        <w:rPr>
          <w:rFonts w:ascii="Courier New" w:eastAsia="-webkit-standard" w:hAnsi="Courier New" w:cs="Courier New"/>
          <w:bCs/>
          <w:color w:val="000000"/>
        </w:rPr>
        <w:lastRenderedPageBreak/>
        <w:t>the primary data source and testing site</w:t>
      </w:r>
      <w:r>
        <w:rPr>
          <w:rFonts w:ascii="Courier New" w:eastAsia="-webkit-standard" w:hAnsi="Courier New" w:cs="Courier New"/>
          <w:color w:val="000000"/>
        </w:rPr>
        <w:t>; the system was tested with the curricula and students of the BSCpE, BSIT and BSCE programs</w:t>
      </w:r>
      <w:r>
        <w:rPr>
          <w:rFonts w:ascii="Courier New" w:eastAsia="-webkit-standard" w:hAnsi="Courier New" w:cs="Courier New"/>
          <w:bCs/>
          <w:color w:val="000000"/>
        </w:rPr>
        <w:t>.</w:t>
      </w:r>
    </w:p>
    <w:p w14:paraId="68DDE34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Available, Pending, Unavailable, or Violation. A Violation is </w:t>
      </w:r>
      <w:r>
        <w:rPr>
          <w:rFonts w:ascii="Courier New" w:eastAsia="-webkit-standard" w:hAnsi="Courier New" w:cs="Courier New"/>
          <w:color w:val="000000"/>
        </w:rPr>
        <w:t>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w:t>
      </w:r>
    </w:p>
    <w:p w14:paraId="2364885D"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Beyond basic auditing, the system includes a dashboard that summarizes each program: the total number of students, the regular and irregular students, the students with violations, the students per year level (Freshman to Senior), the curriculum versions, and the number of students who shifted, transferred, or dropped, together with the most recent movements.</w:t>
      </w:r>
    </w:p>
    <w:p w14:paraId="62D01766"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Year levels are determined automatically from what each student has finished, following the KSU Operations Manual: a student moves up when the share of curriculum units passed reaches the threshold for Sophomore (25%), Junior (more than 50%)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grade; following the adviser's decision, an INC does not lapse automatically into a failing grade.</w:t>
      </w:r>
    </w:p>
    <w:p w14:paraId="641E860F"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w:t>
      </w:r>
      <w:r>
        <w:rPr>
          <w:rFonts w:ascii="Courier New" w:eastAsia="-webkit-standard" w:hAnsi="Courier New" w:cs="Courier New"/>
          <w:bCs/>
          <w:color w:val="000000"/>
        </w:rPr>
        <w:lastRenderedPageBreak/>
        <w:t xml:space="preserve">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(CSV, or the .xls file produced by the KSU-MIS "Export to Excel" function), and grades are entered student by student. Students do not have their own access to the system.</w:t>
      </w:r>
    </w:p>
    <w:p w14:paraId="0209DDC5"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w:t>
      </w:r>
    </w:p>
    <w:p w14:paraId="6A7E3F02" w14:textId="1E89FEA4" w:rsidR="00721D10" w:rsidRPr="00B52031"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 </w:t>
      </w:r>
    </w:p>
    <w:p w14:paraId="08440EE4" w14:textId="77777777" w:rsidR="00094483"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35FBF3A1"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1DBE472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27BD3B1A"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21911F4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Auditrix flags such a subject with the status Violation and states the reason; the subject earns no credit and must be retaken.</w:t>
      </w:r>
    </w:p>
    <w:p w14:paraId="30FC4534"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58F79DFA"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Incomplete (INC).</w:t>
      </w:r>
      <w:r>
        <w:rPr>
          <w:rFonts w:ascii="Courier New" w:hAnsi="Courier New" w:cs="Courier New"/>
          <w:sz w:val="24"/>
          <w:szCs w:val="24"/>
        </w:rPr>
        <w:t xml:space="preserve"> A grade given when a student has not yet completed the requirements of a subject. In Auditrix, a subject with an INC is shown as Pending, and it counts as passed only from the term in which the final grade was given.</w:t>
      </w:r>
    </w:p>
    <w:p w14:paraId="2E74619A"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Term.</w:t>
      </w:r>
      <w:r>
        <w:rPr>
          <w:rFonts w:ascii="Courier New" w:hAnsi="Courier New" w:cs="Courier New"/>
          <w:sz w:val="24"/>
          <w:szCs w:val="24"/>
        </w:rPr>
        <w:t xml:space="preserve"> A semester of a school year, written in Auditrix as YY-S: the first two digits of the school year and the semester (1 for the first semester, 2 for the second semester, and 3 for midyear). Terms are ordered 25-1, 25-2, 25-3, then 26-1.</w:t>
      </w:r>
    </w:p>
    <w:p w14:paraId="41D12C5C"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Operations Manual: Student Development Services &amp; Placement Guide.</w:t>
      </w:r>
    </w:p>
    <w:p w14:paraId="109F8FFB"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54633965"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w:t>
      </w:r>
      <w:r>
        <w:rPr>
          <w:rFonts w:ascii="Courier New" w:hAnsi="Courier New" w:cs="Courier New"/>
          <w:sz w:val="24"/>
          <w:szCs w:val="24"/>
        </w:rPr>
        <w:t xml:space="preserve"> Per the KSU Operations Manual, a regular student is enrolled in the full prescribed load for the semester, while an irregular student is enrolled in less than the prescribed load.</w:t>
      </w:r>
    </w:p>
    <w:p w14:paraId="7D9DADC8"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Auditrix. Year levels and the regular or irregular status of students are worked out relative to it.</w:t>
      </w:r>
    </w:p>
    <w:p w14:paraId="576A920E"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Auditrix is not connected to the MIS; instead, it accepts the </w:t>
      </w:r>
      <w:r>
        <w:rPr>
          <w:rFonts w:ascii="Courier New" w:hAnsi="Courier New" w:cs="Courier New"/>
          <w:sz w:val="24"/>
          <w:szCs w:val="24"/>
        </w:rPr>
        <w:lastRenderedPageBreak/>
        <w:t>student list file produced by the MIS's "Export to Excel" function.</w:t>
      </w:r>
    </w:p>
    <w:p w14:paraId="2E720F0F"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68B88278"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2520C68C"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Row-Level Security (RLS).</w:t>
      </w:r>
      <w:r>
        <w:rPr>
          <w:rFonts w:ascii="Courier New" w:hAnsi="Courier New" w:cs="Courier New"/>
          <w:sz w:val="24"/>
          <w:szCs w:val="24"/>
        </w:rPr>
        <w:t xml:space="preserve"> A database feature that restricts which rows of a table each user can read or change. In Auditrix it ensures that a chairperson sees only the data of their own program and a dean only that of their college.</w:t>
      </w:r>
    </w:p>
    <w:p w14:paraId="09723580" w14:textId="7E35EA14"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13"/>
          <w:headerReference w:type="first" r:id="rId14"/>
          <w:footerReference w:type="default" r:id="rId10"/>
          <w:footerReference w:type="first" r:id="rId12"/>
          <w:pgSz w:w="12242" w:h="15842"/>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Auditrix. The system is to be evaluated based on nine characteristics: functional suitability, performance efficiency, compatibility, usability, reliability, security, maintainability, portability, and safety.</w:t>
      </w:r>
    </w:p>
    <w:p w14:paraId="7D7B254C" w14:textId="77777777" w:rsidR="00094483" w:rsidRDefault="00693157" w:rsidP="00693157">
      <w:pPr>
        <w:keepNext/>
        <w:tabs>
          <w:tab w:val="center" w:pos="4321"/>
          <w:tab w:val="left" w:pos="7549"/>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7852BE7B" w14:textId="4BBC926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196267DA"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6F36D0B6" w14:textId="77777777" w:rsidR="00094483"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24F1D10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6BEBC2A4" w14:textId="77777777" w:rsidR="00693157"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accreditation processes for computer information systems </w:t>
      </w:r>
      <w:r>
        <w:rPr>
          <w:rFonts w:ascii="Courier New" w:eastAsia="Calibri" w:hAnsi="Courier New" w:cs="Courier New"/>
          <w:kern w:val="0"/>
          <w:sz w:val="24"/>
          <w:szCs w:val="24"/>
          <w:lang w:eastAsia="zh-CN"/>
        </w:rPr>
        <w:lastRenderedPageBreak/>
        <w:t>programs. Their findings emphasize that measurement for program assessments requires systematic information systems to satisfy international accreditation standards.</w:t>
      </w:r>
    </w:p>
    <w:p w14:paraId="11C23C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Furthering this digital transformation, Akulova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63A94A2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Practical applications of these systems show significant results, as seen at United Arab Emirates University, which implemented a Learning Outcomes Assessment Management System (LOAMS) to streamline academic quality assurance processes (Al-Fedaghi &amp; Al-Muhanna, 2022). The system features role-based user privileges, automated workflow management, and infographics for tracking assessment status. Since its deployment in 2018, LOAMS has successfully managed learning outcomes assessment for over 1,000 courses per semester, proving the scalability and effectiveness of web-based audit systems.</w:t>
      </w:r>
    </w:p>
    <w:p w14:paraId="708FDC57"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Taufiqurrahman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5A04EBB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Standardization also plays a key role, as Oware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audit frameworks with defined domains and assessment scales significantly improve audit effectiveness.</w:t>
      </w:r>
    </w:p>
    <w:p w14:paraId="09D2C95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76828829"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dependability scores based on User Experience Questionnaire benchmarks.</w:t>
      </w:r>
    </w:p>
    <w:p w14:paraId="08AE7546"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Finally, recent literature highlights the proliferation of commercial curriculum management software. 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27D5B2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Akulova et al. (2025) and Saeed et al. (2021), who argue that systematic information systems are no longer optional but are a technical necessity </w:t>
      </w:r>
      <w:r>
        <w:rPr>
          <w:rFonts w:ascii="Courier New" w:eastAsia="Calibri" w:hAnsi="Courier New" w:cs="Courier New"/>
          <w:kern w:val="0"/>
          <w:sz w:val="24"/>
          <w:szCs w:val="24"/>
          <w:lang w:eastAsia="zh-CN"/>
        </w:rPr>
        <w:lastRenderedPageBreak/>
        <w:t>for meeting international accreditation standards such as ABET and NCAAA.</w:t>
      </w:r>
    </w:p>
    <w:p w14:paraId="4C3F2124"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 recurring theme across these studies is the effectiveness of web-based platforms in streamlining administrative workflows. The successful deployment of systems like LOAMS at United Arab Emirates University (Al-Fedaghi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Taufiqurrahman et al. (2025) and Gunawan et al. (2023), provides administrators with actionable insights that enhance institutional efficiency and dependability.</w:t>
      </w:r>
    </w:p>
    <w:p w14:paraId="2CE74E8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the literature emphasizes that structured audit frameworks significantly improve the speed and quality of academic processes. Case studies from the QAA in the United Kingdom (2024) and standardized models in Ghana (Oware &amp; Mokoena, 2025) reveal that moving away from legacy reviews toward streamlined, technology-driven methodologies allows institutions to maintain high quality standards even under compressed timelines. Collectively, these studies validate </w:t>
      </w:r>
      <w:r>
        <w:rPr>
          <w:rFonts w:ascii="Courier New" w:eastAsia="Calibri" w:hAnsi="Courier New" w:cs="Courier New"/>
          <w:kern w:val="0"/>
          <w:sz w:val="24"/>
          <w:szCs w:val="24"/>
          <w:lang w:eastAsia="zh-CN"/>
        </w:rPr>
        <w:lastRenderedPageBreak/>
        <w:t>the development of Auditrix as a timely intervention that aligns with global best practices in automated curriculum validation, accreditation readiness, and continuous institutional improvement.</w:t>
      </w:r>
    </w:p>
    <w:p w14:paraId="40BB57F8" w14:textId="77777777" w:rsidR="00034DEB" w:rsidRDefault="00034DEB">
      <w:pPr>
        <w:spacing w:line="480" w:lineRule="auto"/>
        <w:jc w:val="both"/>
        <w:rPr>
          <w:rFonts w:ascii="Courier New" w:eastAsia="Calibri" w:hAnsi="Courier New" w:cs="Courier New"/>
          <w:b/>
          <w:bCs/>
          <w:kern w:val="0"/>
          <w:sz w:val="24"/>
          <w:szCs w:val="24"/>
          <w:lang w:val="en-US" w:eastAsia="en-PH"/>
        </w:rPr>
      </w:pPr>
    </w:p>
    <w:p w14:paraId="6E2AAC44" w14:textId="77777777" w:rsidR="00094483"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761FB179"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38E86A1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framework implemented by CHED. This includes a Self-Evaluation Document (SED) that higher education institutions </w:t>
      </w:r>
      <w:r>
        <w:rPr>
          <w:rFonts w:ascii="Courier New" w:hAnsi="Courier New" w:cs="Courier New"/>
          <w:sz w:val="24"/>
          <w:szCs w:val="24"/>
        </w:rPr>
        <w:lastRenderedPageBreak/>
        <w:t>use to assess institutional sustainability across five key result areas: governance and management, quality of teaching and learning, quality of professional exposure and research, support for students, and relations with the community. Miranda and Reyes-Chua (2021) examined 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4739D26F"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Regional Quality Assessment Team for higher education institutions in Region V, Philippines. Their research noted </w:t>
      </w:r>
      <w:r>
        <w:rPr>
          <w:rFonts w:ascii="Courier New" w:hAnsi="Courier New" w:cs="Courier New"/>
          <w:sz w:val="24"/>
          <w:szCs w:val="24"/>
        </w:rPr>
        <w:lastRenderedPageBreak/>
        <w:t>that no single quality assurance framework can address all quality dimensions, suggesting the need for localized, flexible audit systems.</w:t>
      </w:r>
    </w:p>
    <w:p w14:paraId="104AD86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225B8B8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Philippines. Findings revealed that a majority of respondents were compliant with OBE minimum requirements and highly </w:t>
      </w:r>
      <w:r>
        <w:rPr>
          <w:rFonts w:ascii="Courier New" w:hAnsi="Courier New" w:cs="Courier New"/>
          <w:sz w:val="24"/>
          <w:szCs w:val="24"/>
        </w:rPr>
        <w:lastRenderedPageBreak/>
        <w:t>compliant in terms of alignment and consistency of the learning environment. Nevertheless, research on SUC quality assurance systems (2025) highlighted that Philippine State Universities and Colleges face significant challenges in maintaining program accreditation and obtaining Certificates of Program Compliance (COPC) set by CHED. Despite mandates to implement quality management systems under ISO 2015, many institutions struggle with continuous program accreditation requirements, indicating the need for enhanced digital audit systems.</w:t>
      </w:r>
    </w:p>
    <w:p w14:paraId="2D03A94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illustrating the relationship between courses and program educational outcomes, while Guimaras State University (2025) </w:t>
      </w:r>
      <w:r>
        <w:rPr>
          <w:rFonts w:ascii="Courier New" w:hAnsi="Courier New" w:cs="Courier New"/>
          <w:sz w:val="24"/>
          <w:szCs w:val="24"/>
        </w:rPr>
        <w:lastRenderedPageBreak/>
        <w:t>documented comprehensive quality assurance activities including regular internal audits and mock accreditation exercises.</w:t>
      </w:r>
    </w:p>
    <w:p w14:paraId="00820BB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These local initiatives are supported by the legal framework of the Education Act of 1982 (Batas Pambansa Blg. 232) and CMO No. 46, Series of 2012, which seek to improve 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18076BA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Akulova et al. (2025), and Taufiqurrahman et al. (2025) consistently support the implementation of web-based systems with centralized database architectures for managing academic processes. The success of LOAMS at UAE University </w:t>
      </w:r>
      <w:r>
        <w:rPr>
          <w:rFonts w:ascii="Courier New" w:hAnsi="Courier New" w:cs="Courier New"/>
          <w:sz w:val="24"/>
          <w:szCs w:val="24"/>
        </w:rPr>
        <w:lastRenderedPageBreak/>
        <w:t>(Al-Fedaghi &amp; Al-Muhanna, 2022) and the accreditation systems developed in Indonesia (Gunawan et al., 2023) provide empirical evidence that such systems can scale to manage thousands of courses and users effectively.</w:t>
      </w:r>
    </w:p>
    <w:p w14:paraId="6FB9C42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In the Philippine context, CHED's digital transformation initiatives (PIDS, 2024; World Bank, 2023) 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Oware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44A6F36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research by Miranda and Reyes-Chua (2021) and Prado (2025) confirms that Philippine institutions require </w:t>
      </w:r>
      <w:r>
        <w:rPr>
          <w:rFonts w:ascii="Courier New" w:hAnsi="Courier New" w:cs="Courier New"/>
          <w:sz w:val="24"/>
          <w:szCs w:val="24"/>
        </w:rPr>
        <w:lastRenderedPageBreak/>
        <w:t>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Taufiqurrahman et al. (2025) documented challenges including document dislocation, timeline oversight, and fragmented assessment data. Philippine studies similarly highlight manual processing delays, lack of real-time monitoring, and difficulties in maintaining CHED compliance (PIDS, 2024; Necosia &amp; Sealza, 2024; SUC quality assurance studies, 2025).</w:t>
      </w:r>
    </w:p>
    <w:p w14:paraId="53D3C55A"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Auditrix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w:t>
      </w:r>
      <w:r>
        <w:rPr>
          <w:rFonts w:ascii="Courier New" w:hAnsi="Courier New" w:cs="Courier New"/>
          <w:sz w:val="24"/>
          <w:szCs w:val="24"/>
        </w:rPr>
        <w:lastRenderedPageBreak/>
        <w:t>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systems that can map curriculum components to learning outcomes and generate compliance reports.</w:t>
      </w:r>
    </w:p>
    <w:p w14:paraId="7E46E3DC"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15"/>
          <w:headerReference w:type="first" r:id="rId16"/>
          <w:pgSz w:w="12242" w:h="15842"/>
          <w:pgMar w:top="1440" w:right="1440" w:bottom="1440" w:left="2160" w:header="709" w:footer="709" w:gutter="0"/>
          <w:cols w:space="708"/>
          <w:titlePg/>
          <w:docGrid w:linePitch="360"/>
        </w:sectPr>
      </w:pPr>
      <w:r>
        <w:rPr>
          <w:rFonts w:ascii="Courier New" w:hAnsi="Courier New" w:cs="Courier New"/>
          <w:sz w:val="24"/>
          <w:szCs w:val="24"/>
        </w:rPr>
        <w:t xml:space="preserve">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(Al-Fedaghi &amp; Al-Muhanna, 2022) but lack the holistic approach to curriculum auditing that examines alignment between planned, delivered, and assessed curricula. Auditrix contributes to filling part of this gap by offering a curriculum-specific audit system designed for a Philippine </w:t>
      </w:r>
      <w:r>
        <w:rPr>
          <w:rFonts w:ascii="Courier New" w:hAnsi="Courier New" w:cs="Courier New"/>
          <w:sz w:val="24"/>
          <w:szCs w:val="24"/>
        </w:rPr>
        <w:lastRenderedPageBreak/>
        <w:t>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00A06AC8"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252D37E0"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52C54F36"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outlines the systematic approach and technical procedures utilized by the researchers in the development and evaluation of Auditrix: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767CB0DB" w14:textId="77777777" w:rsidR="00094483"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2899A8D0" w14:textId="77777777" w:rsidR="00693157"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To ensure a structured yet adaptive development process, the researchers adopted the Iterative and Incremental Development (IID) model. Unlike the traditional linear approach, this methodology allowed the proponents to develop Auditrix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features based on actual administrative feedback before the final deployment.</w:t>
      </w:r>
    </w:p>
    <w:p w14:paraId="2885A822" w14:textId="77777777" w:rsidR="00094483" w:rsidRDefault="00094483">
      <w:pPr>
        <w:spacing w:after="0" w:line="480" w:lineRule="auto"/>
        <w:jc w:val="center"/>
        <w:rPr>
          <w:rFonts w:ascii="Courier New" w:hAnsi="Courier New" w:cs="Courier New"/>
          <w:sz w:val="24"/>
          <w:szCs w:val="24"/>
        </w:rPr>
      </w:pPr>
    </w:p>
    <w:p w14:paraId="2A8FDCAC" w14:textId="77777777" w:rsidR="00094483" w:rsidRDefault="00000000">
      <w:pPr>
        <w:spacing w:after="0" w:line="480" w:lineRule="auto"/>
        <w:jc w:val="center"/>
        <w:rPr>
          <w:rFonts w:ascii="Courier New" w:hAnsi="Courier New" w:cs="Courier New"/>
          <w:sz w:val="24"/>
          <w:szCs w:val="24"/>
        </w:rPr>
      </w:pPr>
      <w:r>
        <w:rPr>
          <w:rFonts w:ascii="Courier New" w:hAnsi="Courier New" w:cs="Courier New"/>
          <w:noProof/>
        </w:rPr>
        <w:drawing>
          <wp:inline distT="0" distB="0" distL="0" distR="0" wp14:anchorId="47E47EAD" wp14:editId="5827132E">
            <wp:extent cx="4356735" cy="2440305"/>
            <wp:effectExtent l="0" t="0" r="5715" b="0"/>
            <wp:docPr id="782356319" name="Graphic 78235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56319" name="Graphic 782356319"/>
                    <pic:cNvPicPr>
                      <a:picLocks noChangeAspect="1"/>
                    </pic:cNvPicPr>
                  </pic:nvPicPr>
                  <pic:blipFill>
                    <a:blip r:embed="rId17"/>
                    <a:stretch>
                      <a:fillRect/>
                    </a:stretch>
                  </pic:blipFill>
                  <pic:spPr>
                    <a:xfrm>
                      <a:off x="0" y="0"/>
                      <a:ext cx="4356735" cy="2440305"/>
                    </a:xfrm>
                    <a:prstGeom prst="rect">
                      <a:avLst/>
                    </a:prstGeom>
                  </pic:spPr>
                </pic:pic>
              </a:graphicData>
            </a:graphic>
          </wp:inline>
        </w:drawing>
      </w:r>
    </w:p>
    <w:p w14:paraId="6C116E6D" w14:textId="77777777" w:rsidR="00094483" w:rsidRDefault="00094483">
      <w:pPr>
        <w:spacing w:after="0" w:line="480" w:lineRule="auto"/>
        <w:jc w:val="center"/>
        <w:rPr>
          <w:rFonts w:ascii="Courier New" w:hAnsi="Courier New" w:cs="Courier New"/>
          <w:sz w:val="24"/>
          <w:szCs w:val="24"/>
          <w:lang w:val="en-US"/>
        </w:rPr>
      </w:pPr>
    </w:p>
    <w:p w14:paraId="73C6316C" w14:textId="1F4FD798"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 xml:space="preserve">Figure </w:t>
      </w:r>
      <w:r w:rsidR="00F60E9F">
        <w:rPr>
          <w:rFonts w:ascii="Courier New" w:hAnsi="Courier New" w:cs="Courier New"/>
          <w:b/>
          <w:bCs/>
          <w:i/>
          <w:iCs/>
          <w:sz w:val="24"/>
          <w:szCs w:val="24"/>
        </w:rPr>
        <w:t>1</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1562F6BF"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Initial planning</w:t>
      </w:r>
      <w:r>
        <w:rPr>
          <w:rFonts w:ascii="Courier New" w:hAnsi="Courier New" w:cs="Courier New"/>
          <w:sz w:val="24"/>
          <w:szCs w:val="24"/>
        </w:rPr>
        <w:t xml:space="preserve"> </w:t>
      </w:r>
    </w:p>
    <w:p w14:paraId="10A0B0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The study begins with a comprehensive investigation to validate existing challenges within the curriculum auditing process at KSU-CEIT. This stage involves the distribution of structured data-gathering tools and the conduct of preliminary interviews with the six Program Chairpersons to formally identify manual bottlenecks and administrative pain points. These high-level insights establish the project's foundation and overall goals before entering the first development cycle.</w:t>
      </w:r>
    </w:p>
    <w:p w14:paraId="2EFE57E5" w14:textId="77777777" w:rsidR="00F60E9F" w:rsidRDefault="00F60E9F" w:rsidP="006C7CEC">
      <w:pPr>
        <w:spacing w:line="480" w:lineRule="auto"/>
        <w:ind w:firstLine="720"/>
        <w:jc w:val="both"/>
        <w:rPr>
          <w:rFonts w:ascii="Courier New" w:hAnsi="Courier New" w:cs="Courier New"/>
          <w:sz w:val="24"/>
          <w:szCs w:val="24"/>
        </w:rPr>
      </w:pPr>
    </w:p>
    <w:p w14:paraId="7F96E0FD"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Planning and Requirements Phase</w:t>
      </w:r>
      <w:r>
        <w:rPr>
          <w:rFonts w:ascii="Courier New" w:hAnsi="Courier New" w:cs="Courier New"/>
          <w:i/>
          <w:iCs/>
          <w:sz w:val="24"/>
          <w:szCs w:val="24"/>
        </w:rPr>
        <w:t xml:space="preserve"> </w:t>
      </w:r>
    </w:p>
    <w:p w14:paraId="5A4244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This involves identifying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3B41D65F" w14:textId="77777777" w:rsidR="006C7CEC" w:rsidRDefault="00C23807" w:rsidP="006C7CEC">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67C9C30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During this phase, requirements are translated into technical blueprints that evolve with each iteration. This includes the architectural design of the Entity Relationship Diagram (ERD) in Supabase and the creation of high-fidelity UI mockups in Figma. Design decisions prioritize a responsive "Command Center" dashboard using Tailwind CSS, ensuring that as new features—such as the curriculum and student import modules—are added, the user interface remains intuitive and seamless.</w:t>
      </w:r>
    </w:p>
    <w:p w14:paraId="424C503E" w14:textId="77777777" w:rsidR="00693157" w:rsidRDefault="00693157" w:rsidP="00C23807">
      <w:pPr>
        <w:spacing w:line="480" w:lineRule="auto"/>
        <w:ind w:firstLine="720"/>
        <w:jc w:val="both"/>
        <w:rPr>
          <w:rFonts w:ascii="Courier New" w:hAnsi="Courier New" w:cs="Courier New"/>
          <w:sz w:val="24"/>
          <w:szCs w:val="24"/>
        </w:rPr>
      </w:pPr>
    </w:p>
    <w:p w14:paraId="04AF2CCC" w14:textId="77777777" w:rsidR="006C7CEC" w:rsidRPr="006C7CEC" w:rsidRDefault="00C23807" w:rsidP="006C7CEC">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lastRenderedPageBreak/>
        <w:t xml:space="preserve">Implementation </w:t>
      </w:r>
    </w:p>
    <w:p w14:paraId="4F565285" w14:textId="77777777" w:rsidR="00094483"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The actual coding of Auditrix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.xls files, and protection against an earlier-term grade replacing a later one. Each increment results in a functional version of the software that builds upon the previous one.</w:t>
      </w:r>
    </w:p>
    <w:p w14:paraId="3DA88BF0"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060D44F1"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As each increment is completed, it undergoes rigorous verification to ensure technical reliability. This includes </w:t>
      </w:r>
      <w:r>
        <w:rPr>
          <w:rFonts w:ascii="Courier New" w:hAnsi="Courier New" w:cs="Courier New"/>
          <w:sz w:val="24"/>
          <w:szCs w:val="24"/>
        </w:rPr>
        <w:lastRenderedPageBreak/>
        <w:t>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w:t>
      </w:r>
    </w:p>
    <w:p w14:paraId="461A815B" w14:textId="77777777" w:rsidR="0059781B" w:rsidRDefault="0059781B">
      <w:pPr>
        <w:spacing w:after="0" w:line="480" w:lineRule="auto"/>
        <w:ind w:firstLine="720"/>
        <w:jc w:val="both"/>
        <w:rPr>
          <w:rFonts w:ascii="Courier New" w:hAnsi="Courier New" w:cs="Courier New"/>
          <w:sz w:val="24"/>
          <w:szCs w:val="24"/>
          <w:lang w:val="en-US"/>
        </w:rPr>
      </w:pPr>
    </w:p>
    <w:p w14:paraId="01E1558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Evaluation Phase</w:t>
      </w:r>
      <w:r>
        <w:rPr>
          <w:rFonts w:ascii="Courier New" w:hAnsi="Courier New" w:cs="Courier New"/>
          <w:i/>
          <w:iCs/>
          <w:sz w:val="24"/>
          <w:szCs w:val="24"/>
        </w:rPr>
        <w:t xml:space="preserve"> </w:t>
      </w:r>
    </w:p>
    <w:p w14:paraId="3C9BE5B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final stage involves a formal assessment of the integrated system using the ISO/IEC 25010 Software Quality Model to determine its readiness for institutional use. This evaluation is conducted by Program Chairpersons and IT experts via a digital instrument to provide a balanced view of the software’s functional suitability, usability, and security. Feedback from this phase confirms whether the system has </w:t>
      </w:r>
      <w:r>
        <w:rPr>
          <w:rFonts w:ascii="Courier New" w:hAnsi="Courier New" w:cs="Courier New"/>
          <w:sz w:val="24"/>
          <w:szCs w:val="24"/>
        </w:rPr>
        <w:lastRenderedPageBreak/>
        <w:t>successfully met the goals defined during the initial planning.</w:t>
      </w:r>
    </w:p>
    <w:p w14:paraId="43C8F2C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0F179857"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Once the system has passed all evaluation criteria and reached full functionality, it is prepared for deployment. This final exit point of the model marks the transition of Auditrix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293049D2" w14:textId="77777777" w:rsidR="0059781B" w:rsidRDefault="0059781B" w:rsidP="006C7CEC">
      <w:pPr>
        <w:spacing w:after="0" w:line="480" w:lineRule="auto"/>
        <w:jc w:val="both"/>
        <w:rPr>
          <w:rFonts w:ascii="Courier New" w:hAnsi="Courier New" w:cs="Courier New"/>
          <w:sz w:val="24"/>
          <w:szCs w:val="24"/>
          <w:lang w:val="en-US"/>
        </w:rPr>
      </w:pPr>
    </w:p>
    <w:p w14:paraId="3C8CD09C"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Locale and Population of the Study</w:t>
      </w:r>
      <w:r>
        <w:fldChar w:fldCharType="begin"/>
      </w:r>
      <w:r>
        <w:instrText xml:space="preserve"> TC "Locale and Population of the Study" \f c \l 2 </w:instrText>
      </w:r>
      <w:r>
        <w:fldChar w:fldCharType="end"/>
      </w:r>
    </w:p>
    <w:p w14:paraId="012BC9EA"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07EDD64D" w14:textId="77777777" w:rsidR="00034DEB"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 xml:space="preserve">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w:t>
      </w:r>
      <w:r>
        <w:rPr>
          <w:rFonts w:ascii="Courier New" w:hAnsi="Courier New" w:cs="Courier New"/>
          <w:sz w:val="24"/>
          <w:szCs w:val="24"/>
          <w:lang w:val="en-US"/>
        </w:rPr>
        <w:lastRenderedPageBreak/>
        <w:t>actual university policies and prerequisite standards. To capture the technical perspective, IT experts were engaged to provide a rigorous critique of the system’s architecture, security protocols, and compliance with international software standards. Additionally, the study included students who have personally experienced prerequisite violations; these individuals provided critical data via Google Form regarding the real-world impact of manual auditing errors on their academic progression. By integrating feedback from administrators, technical experts, and the affected student body, the researchers ensured a comprehensive validation of the system’s functional and institutional requirements.</w:t>
      </w:r>
    </w:p>
    <w:p w14:paraId="4A42F59B" w14:textId="77777777" w:rsidR="00B2742E" w:rsidRDefault="00B2742E">
      <w:pPr>
        <w:spacing w:after="0" w:line="480" w:lineRule="auto"/>
        <w:jc w:val="both"/>
        <w:rPr>
          <w:rFonts w:ascii="Courier New" w:hAnsi="Courier New" w:cs="Courier New"/>
          <w:sz w:val="24"/>
          <w:szCs w:val="24"/>
          <w:lang w:val="en-US"/>
        </w:rPr>
      </w:pPr>
    </w:p>
    <w:p w14:paraId="05D5120B"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5A21D9CE"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5FAD9B4F"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 xml:space="preserve">The researchers meticulously reviewed official university documents, including the KSU-CEIT curriculum maps, the KSU Student Handbook, the KSU Operations Manual: Student Development Services &amp; Placement Guide, and CHED-mandated prerequisite sequences. The Student Handbook's definitions of prerequisite, co-requisite and Incomplete </w:t>
      </w:r>
      <w:r>
        <w:rPr>
          <w:rFonts w:ascii="Courier New" w:hAnsi="Courier New" w:cs="Courier New"/>
          <w:sz w:val="24"/>
          <w:szCs w:val="24"/>
          <w:lang w:val="en-US"/>
        </w:rPr>
        <w:lastRenderedPageBreak/>
        <w:t>(INC) grades, and the Operations Manual's classification of year levels and of regular and irregular students, served as the foundational logic for programming the Audit Engine.</w:t>
      </w:r>
    </w:p>
    <w:p w14:paraId="222C1FFC" w14:textId="77777777"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Upon the completion of the system, a formal evaluation will be conducted using a Google Form-based instrument structured around the ISO/IEC 25010 framework. This digital survey will be distributed to both the Program Chairpersons and IT Experts to evaluate the software’s functional suitability, usability, security, and performance efficiency.</w:t>
      </w:r>
    </w:p>
    <w:p w14:paraId="11D3CACF" w14:textId="77777777" w:rsidR="00B2742E" w:rsidRPr="004B2B7E" w:rsidRDefault="00B2742E" w:rsidP="00153936">
      <w:pPr>
        <w:spacing w:after="0" w:line="480" w:lineRule="auto"/>
        <w:jc w:val="both"/>
        <w:rPr>
          <w:rFonts w:ascii="Courier New" w:hAnsi="Courier New" w:cs="Courier New"/>
          <w:sz w:val="24"/>
          <w:szCs w:val="24"/>
          <w:lang w:val="en-US"/>
        </w:rPr>
      </w:pPr>
    </w:p>
    <w:p w14:paraId="05182CE3"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0B7EB119" w14:textId="77777777" w:rsidR="00590F96" w:rsidRDefault="00590F96" w:rsidP="00354C19">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1A392A61" w14:textId="77777777" w:rsidR="0095147D" w:rsidRDefault="0095147D" w:rsidP="00590F96">
      <w:pPr>
        <w:spacing w:after="0" w:line="480" w:lineRule="auto"/>
        <w:jc w:val="both"/>
        <w:rPr>
          <w:rFonts w:ascii="Courier New" w:hAnsi="Courier New" w:cs="Courier New"/>
          <w:b/>
          <w:bCs/>
          <w:i/>
          <w:iCs/>
          <w:sz w:val="24"/>
          <w:szCs w:val="24"/>
        </w:rPr>
      </w:pPr>
    </w:p>
    <w:p w14:paraId="7E840A3F" w14:textId="327A55C5" w:rsidR="00590F96" w:rsidRPr="00F45111" w:rsidRDefault="00590F96" w:rsidP="00590F96">
      <w:pPr>
        <w:keepNext/>
        <w:spacing w:after="0" w:line="480" w:lineRule="auto"/>
        <w:jc w:val="both"/>
        <w:rPr>
          <w:rFonts w:ascii="Courier New" w:hAnsi="Courier New" w:cs="Courier New"/>
          <w:i/>
          <w:iCs/>
          <w:sz w:val="24"/>
          <w:szCs w:val="24"/>
        </w:rPr>
      </w:pPr>
      <w:r>
        <w:rPr>
          <w:rFonts w:ascii="Courier New" w:hAnsi="Courier New" w:cs="Courier New"/>
          <w:b/>
          <w:bCs/>
          <w:i/>
          <w:iCs/>
          <w:sz w:val="24"/>
          <w:szCs w:val="24"/>
        </w:rPr>
        <w:t>Interview Guide</w:t>
      </w:r>
    </w:p>
    <w:p w14:paraId="2A8A1F9B" w14:textId="77777777" w:rsidR="00590F96" w:rsidRPr="00590F96" w:rsidRDefault="00590F96" w:rsidP="00285B84">
      <w:pPr>
        <w:spacing w:after="0" w:line="480" w:lineRule="auto"/>
        <w:ind w:firstLine="720"/>
        <w:jc w:val="both"/>
        <w:rPr>
          <w:rFonts w:ascii="Courier New" w:hAnsi="Courier New" w:cs="Courier New"/>
          <w:sz w:val="24"/>
          <w:szCs w:val="24"/>
        </w:rPr>
      </w:pPr>
      <w:r>
        <w:rPr>
          <w:rFonts w:ascii="Courier New" w:hAnsi="Courier New" w:cs="Courier New"/>
          <w:sz w:val="24"/>
          <w:szCs w:val="24"/>
        </w:rPr>
        <w:t>This tool is designed to collect qualitative data from the Program Chairpersons. It focuses on identifying current manual workflows, administrative deficiencies, and the frequency of prerequisite oversights during enrollment.</w:t>
      </w:r>
    </w:p>
    <w:p w14:paraId="0FEB3595" w14:textId="77777777" w:rsidR="00590F96" w:rsidRPr="00F45111" w:rsidRDefault="00590F96" w:rsidP="00590F96">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 xml:space="preserve">Survey Questionnaire </w:t>
      </w:r>
    </w:p>
    <w:p w14:paraId="4D73586A"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A standardized survey questionnaire based on the ISO/IEC 25010 software quality model was used to gather quantitative data from the respondents. This instrument evaluated the developed system based on the following criteria:</w:t>
      </w:r>
    </w:p>
    <w:p w14:paraId="5D13B8B1"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Functional Suitability (Audit Engine, grade entry and violation flagging) </w:t>
      </w:r>
    </w:p>
    <w:p w14:paraId="58A14480"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3DCDD969"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1D1A751A"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1B0B25C3"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15B46FFA"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46387DE5"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00429D40"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220F4AAD" w14:textId="77777777" w:rsidR="0095147D" w:rsidRPr="00590F96" w:rsidRDefault="0095147D" w:rsidP="00231FF2">
      <w:pPr>
        <w:spacing w:after="0" w:line="480" w:lineRule="auto"/>
        <w:ind w:left="720"/>
        <w:jc w:val="both"/>
        <w:rPr>
          <w:rFonts w:ascii="Courier New" w:hAnsi="Courier New" w:cs="Courier New"/>
          <w:sz w:val="24"/>
          <w:szCs w:val="24"/>
        </w:rPr>
      </w:pPr>
    </w:p>
    <w:p w14:paraId="5362F710"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16AD0AD7"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w:t>
      </w:r>
      <w:r>
        <w:rPr>
          <w:rFonts w:ascii="Courier New" w:hAnsi="Courier New" w:cs="Courier New"/>
          <w:sz w:val="24"/>
          <w:szCs w:val="24"/>
          <w:lang w:val="en-US"/>
        </w:rPr>
        <w:lastRenderedPageBreak/>
        <w:t>provided domain expertise and technical evaluation scores, as well as students who have personally experienced prerequisite violations and offered direct feedback regarding the deficiencies of the manual auditing 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07858E69" w14:textId="77777777" w:rsidR="00094483"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29B4FD61"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 xml:space="preserve">The data gathered from the evaluation was analyzed using the Weighted Mean. This statistical method allowed the researchers to calculate the average response for each ISO characteristic, providing a clear numerical value that represented the overall quality of the Auditrix system. These findings were then used to justify the system's capability to </w:t>
      </w:r>
      <w:r>
        <w:rPr>
          <w:rFonts w:ascii="Courier New" w:hAnsi="Courier New" w:cs="Courier New"/>
          <w:sz w:val="24"/>
          <w:szCs w:val="24"/>
          <w:lang w:val="en-US"/>
        </w:rPr>
        <w:lastRenderedPageBreak/>
        <w:t>replace or enhance the current manual processes at Kalinga State University.</w:t>
      </w:r>
    </w:p>
    <w:p w14:paraId="1F6944A9" w14:textId="77777777" w:rsidR="00094483"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t>Software Development Tools</w:t>
      </w:r>
      <w:r>
        <w:fldChar w:fldCharType="begin"/>
      </w:r>
      <w:r>
        <w:instrText xml:space="preserve"> TC "Software Development Tools" \f c \l 2 </w:instrText>
      </w:r>
      <w:r>
        <w:fldChar w:fldCharType="end"/>
      </w:r>
    </w:p>
    <w:p w14:paraId="247BD9BE"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3E5D1967"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Auditrix. Its server-side rendering (SSR) and server actions allowed for high-performance UI rendering and efficient server-side logic. This ensured that the Chairperson could process large volumes of student records without experiencing system lag.</w:t>
      </w:r>
    </w:p>
    <w:p w14:paraId="14A453EB"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7F342D7E"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Supabase.</w:t>
      </w:r>
      <w:r>
        <w:rPr>
          <w:rFonts w:ascii="Courier New" w:hAnsi="Courier New" w:cs="Courier New"/>
          <w:sz w:val="24"/>
          <w:szCs w:val="24"/>
          <w:lang w:val="en-US"/>
        </w:rPr>
        <w:t xml:space="preserve"> The researchers utilized Supabase as the backend-as-a-service (BaaS) provider. It hosted the PostgreSQL database for the secure storage of student records, grades and curriculum maps. Furthermore, it managed the system's user authentication and enforced row-level security policies, so that each chairperson can reach only their own program's data, to ensure that sensitive academic information was protected.</w:t>
      </w:r>
    </w:p>
    <w:p w14:paraId="0FC233C9" w14:textId="77777777" w:rsidR="003F68EB"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3B318FD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7766F7CD"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443D5A2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00B751C6" w14:textId="77777777" w:rsidR="003B1F7A" w:rsidRDefault="00000000">
      <w:pPr>
        <w:spacing w:line="480" w:lineRule="auto"/>
        <w:jc w:val="both"/>
        <w:rPr>
          <w:rFonts w:ascii="Courier New" w:hAnsi="Courier New" w:cs="Courier New"/>
          <w:sz w:val="24"/>
          <w:szCs w:val="24"/>
          <w:lang w:val="en-US"/>
        </w:rPr>
        <w:sectPr w:rsidR="003B1F7A" w:rsidSect="00D42FC3">
          <w:headerReference w:type="default" r:id="rId18"/>
          <w:headerReference w:type="first" r:id="rId19"/>
          <w:pgSz w:w="12242" w:h="15842"/>
          <w:pgMar w:top="1440" w:right="1440" w:bottom="1440" w:left="2160" w:header="709" w:footer="709" w:gutter="0"/>
          <w:cols w:space="708"/>
          <w:titlePg/>
          <w:docGrid w:linePitch="360"/>
        </w:sectPr>
      </w:pPr>
      <w:r>
        <w:rPr>
          <w:rFonts w:ascii="Courier New" w:hAnsi="Courier New" w:cs="Courier New"/>
          <w:b/>
          <w:bCs/>
          <w:i/>
          <w:iCs/>
          <w:sz w:val="24"/>
          <w:szCs w:val="24"/>
          <w:lang w:val="en-US"/>
        </w:rPr>
        <w:tab/>
        <w:t>Git and GitHub.</w:t>
      </w:r>
      <w:r>
        <w:rPr>
          <w:rFonts w:ascii="Courier New" w:hAnsi="Courier New" w:cs="Courier New"/>
          <w:sz w:val="24"/>
          <w:szCs w:val="24"/>
          <w:lang w:val="en-US"/>
        </w:rPr>
        <w:t xml:space="preserve"> The source code was kept under version control with Git and stored on GitHub, so that each change can be traced and, if the adviser asks, removed again.</w:t>
      </w:r>
    </w:p>
    <w:p w14:paraId="284966FC"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68C208E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6DC979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7AFE6CE"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 (SOP No. 1)</w:t>
      </w:r>
      <w:r>
        <w:fldChar w:fldCharType="begin"/>
      </w:r>
      <w:r>
        <w:instrText xml:space="preserve"> TC "Process of the Existing System (SOP No. 1)" \f c \l 2 </w:instrText>
      </w:r>
      <w:r>
        <w:fldChar w:fldCharType="end"/>
      </w:r>
    </w:p>
    <w:p w14:paraId="02361ED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7148F15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65EB5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4A74301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66684ED"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06066160"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21E211A7" w14:textId="77777777">
        <w:trPr>
          <w:cantSplit/>
          <w:tblHeader/>
        </w:trPr>
        <w:tc>
          <w:tcPr>
            <w:tcW w:w="2877" w:type="dxa"/>
          </w:tcPr>
          <w:p w14:paraId="3DD25B38"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4A0247C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488DF0E"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45A9696" w14:textId="77777777">
        <w:trPr>
          <w:cantSplit/>
        </w:trPr>
        <w:tc>
          <w:tcPr>
            <w:tcW w:w="2877" w:type="dxa"/>
          </w:tcPr>
          <w:p w14:paraId="78CBE6E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4166A88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A5B1C5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15B5CA95" w14:textId="77777777">
        <w:trPr>
          <w:cantSplit/>
        </w:trPr>
        <w:tc>
          <w:tcPr>
            <w:tcW w:w="2877" w:type="dxa"/>
          </w:tcPr>
          <w:p w14:paraId="124FCAB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1A1FA5B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4B2641C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5BA5C338" w14:textId="77777777">
        <w:trPr>
          <w:cantSplit/>
        </w:trPr>
        <w:tc>
          <w:tcPr>
            <w:tcW w:w="2877" w:type="dxa"/>
          </w:tcPr>
          <w:p w14:paraId="7A29697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21BF713E"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486812C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70CE07AF"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2B09C813"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Problems Encountered in the Current System (SOP No. 2)</w:t>
      </w:r>
      <w:r>
        <w:fldChar w:fldCharType="begin"/>
      </w:r>
      <w:r>
        <w:instrText xml:space="preserve"> TC "Problems Encountered in the Current System (SOP No. 2)" \f c \l 2 </w:instrText>
      </w:r>
      <w:r>
        <w:fldChar w:fldCharType="end"/>
      </w:r>
    </w:p>
    <w:p w14:paraId="314D5DE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0017B74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during the final graduation audit, forcing senior students into unexpected residency extensions and heavy financial strain.</w:t>
      </w:r>
    </w:p>
    <w:p w14:paraId="28DE717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8B399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 xml:space="preserve">Although students can view their own academic </w:t>
      </w:r>
      <w:r>
        <w:rPr>
          <w:rFonts w:ascii="Courier New" w:hAnsi="Courier New" w:cs="Courier New"/>
          <w:sz w:val="24"/>
          <w:szCs w:val="24"/>
        </w:rPr>
        <w:lastRenderedPageBreak/>
        <w:t>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1D2138F4"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486400" cy="3099816"/>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0"/>
                    <a:stretch>
                      <a:fillRect/>
                    </a:stretch>
                  </pic:blipFill>
                  <pic:spPr>
                    <a:xfrm>
                      <a:off x="0" y="0"/>
                      <a:ext cx="5486400" cy="3099816"/>
                    </a:xfrm>
                    <a:prstGeom prst="rect">
                      <a:avLst/>
                    </a:prstGeom>
                  </pic:spPr>
                </pic:pic>
              </a:graphicData>
            </a:graphic>
          </wp:inline>
        </w:drawing>
      </w:r>
    </w:p>
    <w:p w14:paraId="1E92A1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4.2 </w:t>
      </w:r>
      <w:r>
        <w:rPr>
          <w:rFonts w:ascii="Courier New" w:hAnsi="Courier New" w:cs="Courier New"/>
          <w:sz w:val="24"/>
          <w:szCs w:val="24"/>
        </w:rPr>
        <w:t xml:space="preserve">groups the three confirmed problems into their root-cause categories: People (Chairperson workload and human error; limited student awareness), Technology (the MIS's lack of automated audit logic; no proactive eligibility alerts), Process (reliance on paper-based/legacy cross-referencing; no structural block at enrollment), and Policy/Environment (verification enforced only at graduation audit; a compressed timeline that limits review depth) — all converging on the </w:t>
      </w:r>
      <w:r>
        <w:rPr>
          <w:rFonts w:ascii="Courier New" w:hAnsi="Courier New" w:cs="Courier New"/>
          <w:sz w:val="24"/>
          <w:szCs w:val="24"/>
        </w:rPr>
        <w:lastRenderedPageBreak/>
        <w:t>same effect: prerequisite violations that go undetected until the final graduation audit.</w:t>
      </w:r>
      <w:r>
        <w:fldChar w:fldCharType="begin"/>
      </w:r>
      <w:r>
        <w:instrText xml:space="preserve"> TC "Figure 4.2. Ishikawa (Fishbone) Diagram of the Problems in the Existing System" \f f \l 1 </w:instrText>
      </w:r>
      <w:r>
        <w:fldChar w:fldCharType="end"/>
      </w:r>
    </w:p>
    <w:p w14:paraId="7A4AF34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r>
        <w:fldChar w:fldCharType="begin"/>
      </w:r>
      <w:r>
        <w:instrText xml:space="preserve"> TC "Narrative Description of the Proposed System (SOP No. 3)" \f c \l 2 </w:instrText>
      </w:r>
      <w:r>
        <w:fldChar w:fldCharType="end"/>
      </w:r>
    </w:p>
    <w:p w14:paraId="28630E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developed </w:t>
      </w:r>
      <w:r>
        <w:rPr>
          <w:rFonts w:ascii="Courier New" w:hAnsi="Courier New" w:cs="Courier New"/>
          <w:b/>
          <w:bCs/>
          <w:sz w:val="24"/>
          <w:szCs w:val="24"/>
        </w:rPr>
        <w:t>Auditrix</w:t>
      </w:r>
      <w:r>
        <w:rPr>
          <w:rFonts w:ascii="Courier New" w:hAnsi="Courier New" w:cs="Courier New"/>
          <w:sz w:val="24"/>
          <w:szCs w:val="24"/>
        </w:rPr>
        <w:t>, a web-based curriculum audit system for Kalinga State University that automatically checks every subject a student has taken against the prerequisites, co-requisites and year-standing requirements of the student's curriculum. It was built for any college and program, and was tested with the BSCpE, BSIT and BSCE programs of the CEIT. The system was built using the Iterative and Incremental Development (IID) model, allowing the Audit Engine's logic to be reviewed with the adviser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7B3246D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Technology stack.</w:t>
      </w:r>
      <w:r>
        <w:rPr>
          <w:rFonts w:ascii="Courier New" w:hAnsi="Courier New" w:cs="Courier New"/>
          <w:sz w:val="24"/>
          <w:szCs w:val="24"/>
        </w:rPr>
        <w:t xml:space="preserve"> The system runs on Next.js 16 (App Router and server actions) with React 19 and TypeScript, styled with Tailwind CSS 4 in a KSU green theme designed for responsiveness across desktop, tablet, and mobile. Supabase </w:t>
      </w:r>
      <w:r>
        <w:rPr>
          <w:rFonts w:ascii="Courier New" w:hAnsi="Courier New" w:cs="Courier New"/>
          <w:sz w:val="24"/>
          <w:szCs w:val="24"/>
        </w:rPr>
        <w:lastRenderedPageBreak/>
        <w:t>serves as the backend-as-a-service, hosting the PostgreSQL database, authentication, and Row-Level Security (RLS) policies; the database schema is built step by step by 27 migration scripts. Curricula are exported to PDF with @react-pdf/renderer. Interface flows were prototyped as high-fidelity mockups in Figma prior to implementation.</w:t>
      </w:r>
    </w:p>
    <w:p w14:paraId="52D547A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Audit Engine.</w:t>
      </w:r>
      <w:r>
        <w:rPr>
          <w:rFonts w:ascii="Courier New" w:hAnsi="Courier New" w:cs="Courier New"/>
          <w:sz w:val="24"/>
          <w:szCs w:val="24"/>
        </w:rPr>
        <w:t xml:space="preserve"> 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1A2DB7B4" w14:textId="77777777">
        <w:trPr>
          <w:cantSplit/>
          <w:tblHeader/>
        </w:trPr>
        <w:tc>
          <w:tcPr>
            <w:tcW w:w="2000" w:type="dxa"/>
          </w:tcPr>
          <w:p w14:paraId="5B29BFEE"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Status</w:t>
            </w:r>
          </w:p>
        </w:tc>
        <w:tc>
          <w:tcPr>
            <w:tcW w:w="6632" w:type="dxa"/>
          </w:tcPr>
          <w:p w14:paraId="6BB5027F"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48CEC65" w14:textId="77777777">
        <w:trPr>
          <w:cantSplit/>
        </w:trPr>
        <w:tc>
          <w:tcPr>
            <w:tcW w:w="2000" w:type="dxa"/>
          </w:tcPr>
          <w:p w14:paraId="66ED27B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3319819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364E1F75" w14:textId="77777777">
        <w:trPr>
          <w:cantSplit/>
        </w:trPr>
        <w:tc>
          <w:tcPr>
            <w:tcW w:w="2000" w:type="dxa"/>
          </w:tcPr>
          <w:p w14:paraId="5D55D28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07A7E5A"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5D8A0A2F" w14:textId="77777777">
        <w:trPr>
          <w:cantSplit/>
        </w:trPr>
        <w:tc>
          <w:tcPr>
            <w:tcW w:w="2000" w:type="dxa"/>
          </w:tcPr>
          <w:p w14:paraId="6E19A065"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682B3B2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2FF967A6" w14:textId="77777777">
        <w:trPr>
          <w:cantSplit/>
        </w:trPr>
        <w:tc>
          <w:tcPr>
            <w:tcW w:w="2000" w:type="dxa"/>
          </w:tcPr>
          <w:p w14:paraId="13B588F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36532D3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2B52C21D" w14:textId="77777777">
        <w:trPr>
          <w:cantSplit/>
        </w:trPr>
        <w:tc>
          <w:tcPr>
            <w:tcW w:w="2000" w:type="dxa"/>
          </w:tcPr>
          <w:p w14:paraId="0E0A23A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60650B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93CA49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561DB18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t>
      </w:r>
      <w:r>
        <w:rPr>
          <w:rFonts w:ascii="Courier New" w:hAnsi="Courier New" w:cs="Courier New"/>
          <w:sz w:val="24"/>
          <w:szCs w:val="24"/>
        </w:rPr>
        <w:lastRenderedPageBreak/>
        <w:t>which stored a permanent flag at the moment of entry; the reasons for the change are discussed under Testing of the System.</w:t>
      </w:r>
    </w:p>
    <w:p w14:paraId="7398B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684250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Terms.</w:t>
      </w:r>
      <w:r>
        <w:rPr>
          <w:rFonts w:ascii="Courier New" w:hAnsi="Courier New" w:cs="Courier New"/>
          <w:sz w:val="24"/>
          <w:szCs w:val="24"/>
        </w:rPr>
        <w:t xml:space="preserve"> Terms are written YY-S: the first two digits of the school year and the semester (1 for the first semester, 2 for the second, and 3 for midyear). They are ordered 25-1, 25-2, 25-3 (midyear), then 26-1.</w:t>
      </w:r>
    </w:p>
    <w:p w14:paraId="568CE3F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w:t>
      </w:r>
      <w:r>
        <w:rPr>
          <w:rFonts w:ascii="Courier New" w:hAnsi="Courier New" w:cs="Courier New"/>
          <w:sz w:val="24"/>
          <w:szCs w:val="24"/>
        </w:rPr>
        <w:lastRenderedPageBreak/>
        <w:t>year level, and has to be retaken. If a prerequisite's grade from an earlier term is still in progress, the subject is Pending rather than a violation.</w:t>
      </w:r>
    </w:p>
    <w:p w14:paraId="7611F389"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 they pair both ways, even when only one of the two subjects lists the other. Both must be taken in the same term; taking only one of them, or taking them in different terms, is a violation. Following the adviser's decision, both must also be passed together: if one is failed, neither counts and both are retaken.</w:t>
      </w:r>
    </w:p>
    <w:p w14:paraId="29B8BE3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All subjects completed.</w:t>
      </w:r>
      <w:r>
        <w:rPr>
          <w:rFonts w:ascii="Courier New" w:hAnsi="Courier New" w:cs="Courier New"/>
          <w:sz w:val="24"/>
          <w:szCs w:val="24"/>
        </w:rPr>
        <w:t xml:space="preserve"> For subjects such as Practicum, every other subject of the curriculum must be passed before the term in which the subject is taken.</w:t>
      </w:r>
    </w:p>
    <w:p w14:paraId="2F65152D"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Operations Manual and the adviser's decision 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w:t>
      </w:r>
      <w:r>
        <w:rPr>
          <w:rFonts w:ascii="Courier New" w:hAnsi="Courier New" w:cs="Courier New"/>
          <w:sz w:val="24"/>
          <w:szCs w:val="24"/>
        </w:rPr>
        <w:lastRenderedPageBreak/>
        <w:t>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75AB5487" w14:textId="77777777">
        <w:trPr>
          <w:cantSplit/>
          <w:tblHeader/>
        </w:trPr>
        <w:tc>
          <w:tcPr>
            <w:tcW w:w="3400" w:type="dxa"/>
          </w:tcPr>
          <w:p w14:paraId="53EA1BBD"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57370AEF"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78D85014" w14:textId="77777777">
        <w:trPr>
          <w:cantSplit/>
        </w:trPr>
        <w:tc>
          <w:tcPr>
            <w:tcW w:w="3400" w:type="dxa"/>
          </w:tcPr>
          <w:p w14:paraId="48D6B9DA"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70A4AEF1"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02DD0017" w14:textId="77777777">
        <w:trPr>
          <w:cantSplit/>
        </w:trPr>
        <w:tc>
          <w:tcPr>
            <w:tcW w:w="3400" w:type="dxa"/>
          </w:tcPr>
          <w:p w14:paraId="1D850B46"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140E4796"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14B9B2CA" w14:textId="77777777">
        <w:trPr>
          <w:cantSplit/>
        </w:trPr>
        <w:tc>
          <w:tcPr>
            <w:tcW w:w="3400" w:type="dxa"/>
          </w:tcPr>
          <w:p w14:paraId="7359277A"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3E4C6B35"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B0CA598" w14:textId="77777777">
        <w:trPr>
          <w:cantSplit/>
        </w:trPr>
        <w:tc>
          <w:tcPr>
            <w:tcW w:w="3400" w:type="dxa"/>
          </w:tcPr>
          <w:p w14:paraId="330C9D64"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5FECD0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4F396B18"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68CE5E5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14:paraId="5007368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Operations Manual, a student is regular when enrolled in the full </w:t>
      </w:r>
      <w:r>
        <w:rPr>
          <w:rFonts w:ascii="Courier New" w:hAnsi="Courier New" w:cs="Courier New"/>
          <w:sz w:val="24"/>
          <w:szCs w:val="24"/>
        </w:rPr>
        <w:lastRenderedPageBreak/>
        <w:t>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 and the student is not counted either way.</w:t>
      </w:r>
    </w:p>
    <w:p w14:paraId="3FC2E47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w:t>
      </w:r>
      <w:r>
        <w:rPr>
          <w:rFonts w:ascii="Courier New" w:hAnsi="Courier New" w:cs="Courier New"/>
          <w:sz w:val="24"/>
          <w:szCs w:val="24"/>
        </w:rPr>
        <w:lastRenderedPageBreak/>
        <w:t>entered term. After saving, a message names any subject that has just become a violation, and every grade ever entered is kept in the student's grade logbook together with who entered it and when.</w:t>
      </w:r>
    </w:p>
    <w:p w14:paraId="32C31E1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 CSV or .xls file, in a format designed by the researchers, with a preview of what will be added, changed or removed before saving, exported to CSV or PDF, and every change is kept in a per-version change history showing who changed what, and when.</w:t>
      </w:r>
    </w:p>
    <w:p w14:paraId="448221F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 CSV or .xls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w:t>
      </w:r>
      <w:r>
        <w:rPr>
          <w:rFonts w:ascii="Courier New" w:hAnsi="Courier New" w:cs="Courier New"/>
          <w:sz w:val="24"/>
          <w:szCs w:val="24"/>
        </w:rPr>
        <w:lastRenderedPageBreak/>
        <w:t>curriculum versions. Transfers in and out and drops are recorded as well, and every movement is kept in the student's history.</w:t>
      </w:r>
    </w:p>
    <w:p w14:paraId="4F5E64B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The dashboard shows, per program, the total number of students, the regular and irregular students (and how many are not yet determined), the students with violations, the students by year level from Freshman to Senior, the curriculum versions, the number of shifts, transfers and drops, and the most recent movements. The Dean sees every program in the college and sets the current semester from the dashboard.</w:t>
      </w:r>
    </w:p>
    <w:p w14:paraId="734B763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w:t>
      </w:r>
    </w:p>
    <w:p w14:paraId="0265498C"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Decisions Made with the Adviser</w:t>
      </w:r>
      <w:r>
        <w:fldChar w:fldCharType="begin"/>
      </w:r>
      <w:r>
        <w:instrText xml:space="preserve"> TC "Decisions Made with the Adviser" \f c \l 2 </w:instrText>
      </w:r>
      <w:r>
        <w:fldChar w:fldCharType="end"/>
      </w:r>
    </w:p>
    <w:p w14:paraId="02C32B66"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Where the university's documents left a rule open, the researchers consulted the adviser, and where a document's text was incomplete, an interpretation was adopted and marked for confirmation. Table 4.3 lists these decisions.</w:t>
      </w:r>
    </w:p>
    <w:tbl>
      <w:tblPr>
        <w:tblStyle w:val="TableGrid"/>
        <w:tblW w:w="0" w:type="auto"/>
        <w:tblLook w:val="04A0" w:firstRow="1" w:lastRow="0" w:firstColumn="1" w:lastColumn="0" w:noHBand="0" w:noVBand="1"/>
      </w:tblPr>
      <w:tblGrid>
        <w:gridCol w:w="2600"/>
        <w:gridCol w:w="6032"/>
      </w:tblGrid>
      <w:tr w:rsidR="003B1F7A" w14:paraId="61D38118" w14:textId="77777777">
        <w:trPr>
          <w:cantSplit/>
          <w:tblHeader/>
        </w:trPr>
        <w:tc>
          <w:tcPr>
            <w:tcW w:w="2600" w:type="dxa"/>
          </w:tcPr>
          <w:p w14:paraId="146489A1"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Topic</w:t>
            </w:r>
          </w:p>
        </w:tc>
        <w:tc>
          <w:tcPr>
            <w:tcW w:w="6032" w:type="dxa"/>
          </w:tcPr>
          <w:p w14:paraId="700097FC"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Decision</w:t>
            </w:r>
          </w:p>
        </w:tc>
      </w:tr>
      <w:tr w:rsidR="003B1F7A" w14:paraId="3357926A" w14:textId="77777777">
        <w:trPr>
          <w:cantSplit/>
        </w:trPr>
        <w:tc>
          <w:tcPr>
            <w:tcW w:w="2600" w:type="dxa"/>
          </w:tcPr>
          <w:p w14:paraId="0A0C68B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w:t>
            </w:r>
          </w:p>
        </w:tc>
        <w:tc>
          <w:tcPr>
            <w:tcW w:w="6032" w:type="dxa"/>
          </w:tcPr>
          <w:p w14:paraId="191AC72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Updates automatically from what the student has finished; the chairperson can override it for special cases.</w:t>
            </w:r>
          </w:p>
        </w:tc>
      </w:tr>
      <w:tr w:rsidR="003B1F7A" w14:paraId="1D9870F5" w14:textId="77777777">
        <w:trPr>
          <w:cantSplit/>
        </w:trPr>
        <w:tc>
          <w:tcPr>
            <w:tcW w:w="2600" w:type="dxa"/>
          </w:tcPr>
          <w:p w14:paraId="4198C58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levels</w:t>
            </w:r>
          </w:p>
        </w:tc>
        <w:tc>
          <w:tcPr>
            <w:tcW w:w="6032" w:type="dxa"/>
          </w:tcPr>
          <w:p w14:paraId="1CDE776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1st to 4th year only (no 5th year).</w:t>
            </w:r>
          </w:p>
        </w:tc>
      </w:tr>
      <w:tr w:rsidR="003B1F7A" w14:paraId="168E116E" w14:textId="77777777">
        <w:trPr>
          <w:cantSplit/>
        </w:trPr>
        <w:tc>
          <w:tcPr>
            <w:tcW w:w="2600" w:type="dxa"/>
          </w:tcPr>
          <w:p w14:paraId="7C32311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INC</w:t>
            </w:r>
          </w:p>
        </w:tc>
        <w:tc>
          <w:tcPr>
            <w:tcW w:w="6032" w:type="dxa"/>
          </w:tcPr>
          <w:p w14:paraId="2C92CB4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No automatic lapse to 5.0; the chairperson sets INC and later enters the final grade.</w:t>
            </w:r>
          </w:p>
        </w:tc>
      </w:tr>
      <w:tr w:rsidR="003B1F7A" w14:paraId="466DBA9F" w14:textId="77777777">
        <w:trPr>
          <w:cantSplit/>
        </w:trPr>
        <w:tc>
          <w:tcPr>
            <w:tcW w:w="2600" w:type="dxa"/>
          </w:tcPr>
          <w:p w14:paraId="633F753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Co-requisites</w:t>
            </w:r>
          </w:p>
        </w:tc>
        <w:tc>
          <w:tcPr>
            <w:tcW w:w="6032" w:type="dxa"/>
          </w:tcPr>
          <w:p w14:paraId="14817B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Must be passed together; if one is failed, both are retaken.</w:t>
            </w:r>
          </w:p>
        </w:tc>
      </w:tr>
      <w:tr w:rsidR="003B1F7A" w14:paraId="273F4AE0" w14:textId="77777777">
        <w:trPr>
          <w:cantSplit/>
        </w:trPr>
        <w:tc>
          <w:tcPr>
            <w:tcW w:w="2600" w:type="dxa"/>
          </w:tcPr>
          <w:p w14:paraId="7A9D3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Current semester</w:t>
            </w:r>
          </w:p>
        </w:tc>
        <w:tc>
          <w:tcPr>
            <w:tcW w:w="6032" w:type="dxa"/>
          </w:tcPr>
          <w:p w14:paraId="7D364D4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Set by the Dean for the whole college.</w:t>
            </w:r>
          </w:p>
        </w:tc>
      </w:tr>
      <w:tr w:rsidR="003B1F7A" w14:paraId="76CE903C" w14:textId="77777777">
        <w:trPr>
          <w:cantSplit/>
        </w:trPr>
        <w:tc>
          <w:tcPr>
            <w:tcW w:w="2600" w:type="dxa"/>
          </w:tcPr>
          <w:p w14:paraId="4228422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032" w:type="dxa"/>
          </w:tcPr>
          <w:p w14:paraId="1D7D9B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Per the Operations Manual (prescribed load), not "has a failed subject".</w:t>
            </w:r>
          </w:p>
        </w:tc>
      </w:tr>
      <w:tr w:rsidR="003B1F7A" w14:paraId="2A160BB4" w14:textId="77777777">
        <w:trPr>
          <w:cantSplit/>
        </w:trPr>
        <w:tc>
          <w:tcPr>
            <w:tcW w:w="2600" w:type="dxa"/>
          </w:tcPr>
          <w:p w14:paraId="6D8057AA" w14:textId="77777777" w:rsidR="003B1F7A" w:rsidRDefault="00000000">
            <w:pPr>
              <w:keepNext/>
              <w:spacing w:before="40" w:after="40" w:line="240" w:lineRule="auto"/>
              <w:rPr>
                <w:rFonts w:ascii="Courier New" w:hAnsi="Courier New" w:cs="Courier New"/>
                <w:sz w:val="20"/>
                <w:szCs w:val="20"/>
              </w:rPr>
            </w:pPr>
            <w:commentRangeStart w:id="0"/>
            <w:r>
              <w:rPr>
                <w:rFonts w:ascii="Courier New" w:hAnsi="Courier New" w:cs="Courier New"/>
                <w:sz w:val="20"/>
                <w:szCs w:val="20"/>
              </w:rPr>
              <w:t>Sophomore threshold</w:t>
            </w:r>
            <w:commentRangeEnd w:id="0"/>
            <w:r>
              <w:rPr>
                <w:rStyle w:val="CommentReference"/>
                <w:rFonts w:ascii="Courier New" w:hAnsi="Courier New" w:cs="Courier New"/>
                <w:sz w:val="20"/>
                <w:szCs w:val="20"/>
              </w:rPr>
              <w:commentReference w:id="0"/>
            </w:r>
          </w:p>
        </w:tc>
        <w:tc>
          <w:tcPr>
            <w:tcW w:w="6032" w:type="dxa"/>
          </w:tcPr>
          <w:p w14:paraId="4CA326D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cut off; 25% to 50% is used (interpretation).</w:t>
            </w:r>
          </w:p>
        </w:tc>
      </w:tr>
      <w:tr w:rsidR="003B1F7A" w14:paraId="321CA1BE" w14:textId="77777777">
        <w:trPr>
          <w:cantSplit/>
        </w:trPr>
        <w:tc>
          <w:tcPr>
            <w:tcW w:w="2600" w:type="dxa"/>
          </w:tcPr>
          <w:p w14:paraId="2ACBCD1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Senior threshold</w:t>
            </w:r>
          </w:p>
        </w:tc>
        <w:tc>
          <w:tcPr>
            <w:tcW w:w="6032" w:type="dxa"/>
          </w:tcPr>
          <w:p w14:paraId="67869C07"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garbled; 75% or more is used (interpretation).</w:t>
            </w:r>
          </w:p>
        </w:tc>
      </w:tr>
      <w:tr w:rsidR="003B1F7A" w14:paraId="05FAE116" w14:textId="77777777">
        <w:trPr>
          <w:cantSplit/>
        </w:trPr>
        <w:tc>
          <w:tcPr>
            <w:tcW w:w="2600" w:type="dxa"/>
          </w:tcPr>
          <w:p w14:paraId="0F75D0C4"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Prescribed load</w:t>
            </w:r>
          </w:p>
        </w:tc>
        <w:tc>
          <w:tcPr>
            <w:tcW w:w="6032" w:type="dxa"/>
          </w:tcPr>
          <w:p w14:paraId="35D6A16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curriculum's subjects for the student's year level and the current semester (interpretation).</w:t>
            </w:r>
          </w:p>
        </w:tc>
      </w:tr>
      <w:tr w:rsidR="003B1F7A" w14:paraId="7C14D37A" w14:textId="77777777">
        <w:trPr>
          <w:cantSplit/>
        </w:trPr>
        <w:tc>
          <w:tcPr>
            <w:tcW w:w="2600" w:type="dxa"/>
          </w:tcPr>
          <w:p w14:paraId="0499B55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Midyear with no prescribed subjects</w:t>
            </w:r>
          </w:p>
        </w:tc>
        <w:tc>
          <w:tcPr>
            <w:tcW w:w="6032" w:type="dxa"/>
          </w:tcPr>
          <w:p w14:paraId="17CF05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 status is "not determined" (interpretation).</w:t>
            </w:r>
          </w:p>
        </w:tc>
      </w:tr>
      <w:tr w:rsidR="003B1F7A" w14:paraId="39B79BDC" w14:textId="77777777">
        <w:trPr>
          <w:cantSplit/>
        </w:trPr>
        <w:tc>
          <w:tcPr>
            <w:tcW w:w="2600" w:type="dxa"/>
          </w:tcPr>
          <w:p w14:paraId="4601E6A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Removability</w:t>
            </w:r>
          </w:p>
        </w:tc>
        <w:tc>
          <w:tcPr>
            <w:tcW w:w="6032" w:type="dxa"/>
          </w:tcPr>
          <w:p w14:paraId="51FB88B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Each feature was added as a separate change so it can be removed if the adviser asks; database changes have undo scripts.</w:t>
            </w:r>
          </w:p>
        </w:tc>
      </w:tr>
    </w:tbl>
    <w:p w14:paraId="53E30B2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Decisions Made with the Adviser</w:t>
      </w:r>
      <w:r>
        <w:fldChar w:fldCharType="begin"/>
      </w:r>
      <w:r>
        <w:instrText xml:space="preserve"> TC "Table 4.3. Decisions Made with the Adviser" \f t \l 1 </w:instrText>
      </w:r>
      <w:r>
        <w:fldChar w:fldCharType="end"/>
      </w:r>
    </w:p>
    <w:p w14:paraId="3103B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75CC466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38B6B23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Term-based Audit Engine checking prerequisites, co-requisites, year standing and "all subjects completed"</w:t>
      </w:r>
    </w:p>
    <w:p w14:paraId="53DEDF8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(the template or the KSU-MIS "Export to Excel" file)</w:t>
      </w:r>
    </w:p>
    <w:p w14:paraId="28326D8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search and audit page showing each subject's status, grade, term and the reason for any violation</w:t>
      </w:r>
    </w:p>
    <w:p w14:paraId="31A096F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grade entry with KSU grade values, INC completion, earlier-term protection and a grade logbook</w:t>
      </w:r>
    </w:p>
    <w:p w14:paraId="78CBF05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42D05A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w:t>
      </w:r>
    </w:p>
    <w:p w14:paraId="4E37530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Automatic year levels with chairperson override, and regular / irregular classification</w:t>
      </w:r>
    </w:p>
    <w:p w14:paraId="3B79A3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the current semester set by the Dean</w:t>
      </w:r>
    </w:p>
    <w:p w14:paraId="447557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64B4444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72AB53D7"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74F3A182" w14:textId="77777777">
        <w:trPr>
          <w:cantSplit/>
          <w:tblHeader/>
        </w:trPr>
        <w:tc>
          <w:tcPr>
            <w:tcW w:w="2877" w:type="dxa"/>
          </w:tcPr>
          <w:p w14:paraId="31BC645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2361C2DC"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87D2B50"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6B23DC22" w14:textId="77777777">
        <w:trPr>
          <w:cantSplit/>
        </w:trPr>
        <w:tc>
          <w:tcPr>
            <w:tcW w:w="2877" w:type="dxa"/>
          </w:tcPr>
          <w:p w14:paraId="4187E566"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CSV/.xls or the KSU-MIS export)</w:t>
            </w:r>
          </w:p>
        </w:tc>
        <w:tc>
          <w:tcPr>
            <w:tcW w:w="2877" w:type="dxa"/>
          </w:tcPr>
          <w:p w14:paraId="1578468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4237A0E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2D581E5" w14:textId="77777777">
        <w:trPr>
          <w:cantSplit/>
        </w:trPr>
        <w:tc>
          <w:tcPr>
            <w:tcW w:w="2877" w:type="dxa"/>
          </w:tcPr>
          <w:p w14:paraId="59C102F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5C9C301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6EEF066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1D5A0042" w14:textId="77777777">
        <w:trPr>
          <w:cantSplit/>
        </w:trPr>
        <w:tc>
          <w:tcPr>
            <w:tcW w:w="2877" w:type="dxa"/>
          </w:tcPr>
          <w:p w14:paraId="33E51E5C"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77CA860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F85069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grade logbook, student history, and curriculum CSV / PDF exports</w:t>
            </w:r>
          </w:p>
        </w:tc>
      </w:tr>
    </w:tbl>
    <w:p w14:paraId="4D0A906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830CFC2"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486400" cy="4777388"/>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5"/>
                    <a:stretch>
                      <a:fillRect/>
                    </a:stretch>
                  </pic:blipFill>
                  <pic:spPr>
                    <a:xfrm>
                      <a:off x="0" y="0"/>
                      <a:ext cx="5486400" cy="4777388"/>
                    </a:xfrm>
                    <a:prstGeom prst="rect">
                      <a:avLst/>
                    </a:prstGeom>
                  </pic:spPr>
                </pic:pic>
              </a:graphicData>
            </a:graphic>
          </wp:inline>
        </w:drawing>
      </w:r>
    </w:p>
    <w:p w14:paraId="7C1470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and recording shifts, transfers and drops. The Dean oversees the college: viewing the dashboard of every program, setting the current semester, creating programs with their </w:t>
      </w:r>
      <w:r>
        <w:rPr>
          <w:rFonts w:ascii="Courier New" w:hAnsi="Courier New" w:cs="Courier New"/>
          <w:sz w:val="24"/>
          <w:szCs w:val="24"/>
        </w:rPr>
        <w:lastRenderedPageBreak/>
        <w:t>chairperson accounts, and reassigning chairpersons. Both log in, view a dashboard and change their password, and a new chairperson must replace the temporary password at first login. The audit itself needs no separate action: the system performs it whenever a student's audit or the dashboard is shown.</w:t>
      </w:r>
      <w:r>
        <w:fldChar w:fldCharType="begin"/>
      </w:r>
      <w:r>
        <w:instrText xml:space="preserve"> TC "Figure 4.4. Use Case Diagram of Auditrix" \f f \l 1 </w:instrText>
      </w:r>
      <w:r>
        <w:fldChar w:fldCharType="end"/>
      </w:r>
    </w:p>
    <w:p w14:paraId="139F1C79"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53466D8" wp14:editId="465A2FFB">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6"/>
                    <a:stretch>
                      <a:fillRect/>
                    </a:stretch>
                  </pic:blipFill>
                  <pic:spPr>
                    <a:xfrm>
                      <a:off x="0" y="0"/>
                      <a:ext cx="5486400" cy="4937760"/>
                    </a:xfrm>
                    <a:prstGeom prst="rect">
                      <a:avLst/>
                    </a:prstGeom>
                  </pic:spPr>
                </pic:pic>
              </a:graphicData>
            </a:graphic>
          </wp:inline>
        </w:drawing>
      </w:r>
    </w:p>
    <w:p w14:paraId="6100C6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traces the audit of a single subject. After the chairperson saves a term's grades, which are first checked </w:t>
      </w:r>
      <w:r>
        <w:rPr>
          <w:rFonts w:ascii="Courier New" w:hAnsi="Courier New" w:cs="Courier New"/>
          <w:sz w:val="24"/>
          <w:szCs w:val="24"/>
        </w:rPr>
        <w:lastRenderedPageBreak/>
        <w:t>for valid KSU grade values and for conflicts with a later recorded term, the audit engine looks at the student's record for each subject. A subject with no record is Available if its requirements have been passed, Pending if it is waiting for a requirement's final grade, and Unavailable otherwise, with the missing 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r>
        <w:fldChar w:fldCharType="begin"/>
      </w:r>
      <w:r>
        <w:instrText xml:space="preserve"> TC "Figure 4.5. Activity Diagram of the Audit of a Subject" \f f \l 1 </w:instrText>
      </w:r>
      <w:r>
        <w:fldChar w:fldCharType="end"/>
      </w:r>
    </w:p>
    <w:p w14:paraId="5A13FD03"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EF7CEA" wp14:editId="5A97D07B">
            <wp:extent cx="5486400" cy="3319272"/>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27"/>
                    <a:stretch>
                      <a:fillRect/>
                    </a:stretch>
                  </pic:blipFill>
                  <pic:spPr>
                    <a:xfrm>
                      <a:off x="0" y="0"/>
                      <a:ext cx="5486400" cy="3319272"/>
                    </a:xfrm>
                    <a:prstGeom prst="rect">
                      <a:avLst/>
                    </a:prstGeom>
                  </pic:spPr>
                </pic:pic>
              </a:graphicData>
            </a:graphic>
          </wp:inline>
        </w:drawing>
      </w:r>
    </w:p>
    <w:p w14:paraId="0311F6A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Manage Curriculum and Account Settings; from Students, each student's audit page opens the Edit Student, Grade Logbook, Transfer / Shift and Enter Grades pages. A Dean's menu leads to the Dashboard, where the current semester is set, Create Program, Reassign Chairperson and Account Settings.</w:t>
      </w:r>
      <w:r>
        <w:fldChar w:fldCharType="begin"/>
      </w:r>
      <w:r>
        <w:instrText xml:space="preserve"> TC "Figure 4.6. Menu Diagram of Auditrix" \f f \l 1 </w:instrText>
      </w:r>
      <w:r>
        <w:fldChar w:fldCharType="end"/>
      </w:r>
    </w:p>
    <w:p w14:paraId="632F7759"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lastRenderedPageBreak/>
        <w:t>Figure 4.7. User Interface of Auditrix</w:t>
      </w:r>
      <w:r>
        <w:fldChar w:fldCharType="begin"/>
      </w:r>
      <w:r>
        <w:instrText xml:space="preserve"> TC "Figure 4.7. User Interface of Auditrix" \f f \l 1 </w:instrText>
      </w:r>
      <w:r>
        <w:fldChar w:fldCharType="end"/>
      </w:r>
    </w:p>
    <w:p w14:paraId="4BDE38A0"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Figure 4.7 shows the main screens of the developed system, captured from the running application with sample CEIT data.</w:t>
      </w:r>
    </w:p>
    <w:p w14:paraId="2F026AA6"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0AC2409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900278C" wp14:editId="75FA05C4">
            <wp:extent cx="5669280" cy="3188045"/>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8"/>
                    <a:stretch>
                      <a:fillRect/>
                    </a:stretch>
                  </pic:blipFill>
                  <pic:spPr>
                    <a:xfrm>
                      <a:off x="0" y="0"/>
                      <a:ext cx="5669280" cy="3188045"/>
                    </a:xfrm>
                    <a:prstGeom prst="rect">
                      <a:avLst/>
                    </a:prstGeom>
                  </pic:spPr>
                </pic:pic>
              </a:graphicData>
            </a:graphic>
          </wp:inline>
        </w:drawing>
      </w:r>
    </w:p>
    <w:p w14:paraId="5933C17B"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4.7b. Log In — Program Chairperson role</w:t>
      </w:r>
      <w:r>
        <w:fldChar w:fldCharType="begin"/>
      </w:r>
      <w:r>
        <w:instrText xml:space="preserve"> TC "Figure 4.7b. Log In — Program Chairperson role" \f f \l 1 </w:instrText>
      </w:r>
      <w:r>
        <w:fldChar w:fldCharType="end"/>
      </w:r>
    </w:p>
    <w:p w14:paraId="31927E7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188045"/>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29"/>
                    <a:stretch>
                      <a:fillRect/>
                    </a:stretch>
                  </pic:blipFill>
                  <pic:spPr>
                    <a:xfrm>
                      <a:off x="0" y="0"/>
                      <a:ext cx="5669280" cy="3188045"/>
                    </a:xfrm>
                    <a:prstGeom prst="rect">
                      <a:avLst/>
                    </a:prstGeom>
                  </pic:spPr>
                </pic:pic>
              </a:graphicData>
            </a:graphic>
          </wp:inline>
        </w:drawing>
      </w:r>
    </w:p>
    <w:p w14:paraId="5C0ACC4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r>
        <w:fldChar w:fldCharType="begin"/>
      </w:r>
      <w:r>
        <w:instrText xml:space="preserve"> TC "Figure 4.7c. Students — search and list view" \f f \l 1 </w:instrText>
      </w:r>
      <w:r>
        <w:fldChar w:fldCharType="end"/>
      </w:r>
    </w:p>
    <w:p w14:paraId="254BEEA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23845265" wp14:editId="2659A39E">
            <wp:extent cx="5669280" cy="3188045"/>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0"/>
                    <a:stretch>
                      <a:fillRect/>
                    </a:stretch>
                  </pic:blipFill>
                  <pic:spPr>
                    <a:xfrm>
                      <a:off x="0" y="0"/>
                      <a:ext cx="5669280" cy="3188045"/>
                    </a:xfrm>
                    <a:prstGeom prst="rect">
                      <a:avLst/>
                    </a:prstGeom>
                  </pic:spPr>
                </pic:pic>
              </a:graphicData>
            </a:graphic>
          </wp:inline>
        </w:drawing>
      </w:r>
    </w:p>
    <w:p w14:paraId="6D103ABC"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4.7d. Student Audit — subject taken out of order and Irregular status</w:t>
      </w:r>
      <w:r>
        <w:fldChar w:fldCharType="begin"/>
      </w:r>
      <w:r>
        <w:instrText xml:space="preserve"> TC "Figure 4.7d. Student Audit — subject taken out of order and Irregular status" \f f \l 1 </w:instrText>
      </w:r>
      <w:r>
        <w:fldChar w:fldCharType="end"/>
      </w:r>
    </w:p>
    <w:p w14:paraId="22AA40F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7E69D58" wp14:editId="452F149B">
            <wp:extent cx="5669280" cy="3196382"/>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1"/>
                    <a:stretch>
                      <a:fillRect/>
                    </a:stretch>
                  </pic:blipFill>
                  <pic:spPr>
                    <a:xfrm>
                      <a:off x="0" y="0"/>
                      <a:ext cx="5669280" cy="3196382"/>
                    </a:xfrm>
                    <a:prstGeom prst="rect">
                      <a:avLst/>
                    </a:prstGeom>
                  </pic:spPr>
                </pic:pic>
              </a:graphicData>
            </a:graphic>
          </wp:inline>
        </w:drawing>
      </w:r>
    </w:p>
    <w:p w14:paraId="788B61E7"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r>
        <w:fldChar w:fldCharType="begin"/>
      </w:r>
      <w:r>
        <w:instrText xml:space="preserve"> TC "Figure 4.7e. Transfer / Shift Records" \f f \l 1 </w:instrText>
      </w:r>
      <w:r>
        <w:fldChar w:fldCharType="end"/>
      </w:r>
    </w:p>
    <w:p w14:paraId="1637C5C5"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3A365DC5" wp14:editId="52B811C7">
            <wp:extent cx="5669280" cy="3185088"/>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2"/>
                    <a:stretch>
                      <a:fillRect/>
                    </a:stretch>
                  </pic:blipFill>
                  <pic:spPr>
                    <a:xfrm>
                      <a:off x="0" y="0"/>
                      <a:ext cx="5669280" cy="3185088"/>
                    </a:xfrm>
                    <a:prstGeom prst="rect">
                      <a:avLst/>
                    </a:prstGeom>
                  </pic:spPr>
                </pic:pic>
              </a:graphicData>
            </a:graphic>
          </wp:inline>
        </w:drawing>
      </w:r>
    </w:p>
    <w:p w14:paraId="74AACAF0"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4.7f. Enter Grades — choosing the term</w:t>
      </w:r>
      <w:r>
        <w:fldChar w:fldCharType="begin"/>
      </w:r>
      <w:r>
        <w:instrText xml:space="preserve"> TC "Figure 4.7f. Enter Grades — choosing the term" \f f \l 1 </w:instrText>
      </w:r>
      <w:r>
        <w:fldChar w:fldCharType="end"/>
      </w:r>
    </w:p>
    <w:p w14:paraId="5738581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188045"/>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3"/>
                    <a:stretch>
                      <a:fillRect/>
                    </a:stretch>
                  </pic:blipFill>
                  <pic:spPr>
                    <a:xfrm>
                      <a:off x="0" y="0"/>
                      <a:ext cx="5669280" cy="3188045"/>
                    </a:xfrm>
                    <a:prstGeom prst="rect">
                      <a:avLst/>
                    </a:prstGeom>
                  </pic:spPr>
                </pic:pic>
              </a:graphicData>
            </a:graphic>
          </wp:inline>
        </w:drawing>
      </w:r>
    </w:p>
    <w:p w14:paraId="2799455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r>
        <w:fldChar w:fldCharType="begin"/>
      </w:r>
      <w:r>
        <w:instrText xml:space="preserve"> TC "Figure 4.7g. Manage Curriculum Versions" \f f \l 1 </w:instrText>
      </w:r>
      <w:r>
        <w:fldChar w:fldCharType="end"/>
      </w:r>
    </w:p>
    <w:p w14:paraId="3E0647F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D08A879" wp14:editId="7033F209">
            <wp:extent cx="5669280" cy="3188045"/>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4"/>
                    <a:stretch>
                      <a:fillRect/>
                    </a:stretch>
                  </pic:blipFill>
                  <pic:spPr>
                    <a:xfrm>
                      <a:off x="0" y="0"/>
                      <a:ext cx="5669280" cy="3188045"/>
                    </a:xfrm>
                    <a:prstGeom prst="rect">
                      <a:avLst/>
                    </a:prstGeom>
                  </pic:spPr>
                </pic:pic>
              </a:graphicData>
            </a:graphic>
          </wp:inline>
        </w:drawing>
      </w:r>
    </w:p>
    <w:p w14:paraId="12049AE4"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4.7h. Student Audit — status, term and reason for each subject</w:t>
      </w:r>
      <w:r>
        <w:fldChar w:fldCharType="begin"/>
      </w:r>
      <w:r>
        <w:instrText xml:space="preserve"> TC "Figure 4.7h. Student Audit — status, term and reason for each subject" \f f \l 1 </w:instrText>
      </w:r>
      <w:r>
        <w:fldChar w:fldCharType="end"/>
      </w:r>
    </w:p>
    <w:p w14:paraId="55B6D878"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D9396F" wp14:editId="0F7D1C09">
            <wp:extent cx="5669280" cy="3188045"/>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5"/>
                    <a:stretch>
                      <a:fillRect/>
                    </a:stretch>
                  </pic:blipFill>
                  <pic:spPr>
                    <a:xfrm>
                      <a:off x="0" y="0"/>
                      <a:ext cx="5669280" cy="3188045"/>
                    </a:xfrm>
                    <a:prstGeom prst="rect">
                      <a:avLst/>
                    </a:prstGeom>
                  </pic:spPr>
                </pic:pic>
              </a:graphicData>
            </a:graphic>
          </wp:inline>
        </w:drawing>
      </w:r>
    </w:p>
    <w:p w14:paraId="629B63E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r>
        <w:fldChar w:fldCharType="begin"/>
      </w:r>
      <w:r>
        <w:instrText xml:space="preserve"> TC "Figure 4.7i. Student Audit — fully compliant (Regular) example" \f f \l 1 </w:instrText>
      </w:r>
      <w:r>
        <w:fldChar w:fldCharType="end"/>
      </w:r>
    </w:p>
    <w:p w14:paraId="7E54C63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A94E66" wp14:editId="733183AE">
            <wp:extent cx="5669280" cy="3188045"/>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6"/>
                    <a:stretch>
                      <a:fillRect/>
                    </a:stretch>
                  </pic:blipFill>
                  <pic:spPr>
                    <a:xfrm>
                      <a:off x="0" y="0"/>
                      <a:ext cx="5669280" cy="3188045"/>
                    </a:xfrm>
                    <a:prstGeom prst="rect">
                      <a:avLst/>
                    </a:prstGeom>
                  </pic:spPr>
                </pic:pic>
              </a:graphicData>
            </a:graphic>
          </wp:inline>
        </w:drawing>
      </w:r>
    </w:p>
    <w:p w14:paraId="1544633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4.7j. Export Curriculum — PDF output</w:t>
      </w:r>
      <w:r>
        <w:fldChar w:fldCharType="begin"/>
      </w:r>
      <w:r>
        <w:instrText xml:space="preserve"> TC "Figure 4.7j. Export Curriculum — PDF output" \f f \l 1 </w:instrText>
      </w:r>
      <w:r>
        <w:fldChar w:fldCharType="end"/>
      </w:r>
    </w:p>
    <w:p w14:paraId="7B9F73A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67559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7"/>
                    <a:stretch>
                      <a:fillRect/>
                    </a:stretch>
                  </pic:blipFill>
                  <pic:spPr>
                    <a:xfrm>
                      <a:off x="0" y="0"/>
                      <a:ext cx="5669280" cy="2675590"/>
                    </a:xfrm>
                    <a:prstGeom prst="rect">
                      <a:avLst/>
                    </a:prstGeom>
                  </pic:spPr>
                </pic:pic>
              </a:graphicData>
            </a:graphic>
          </wp:inline>
        </w:drawing>
      </w:r>
    </w:p>
    <w:p w14:paraId="272F387B" w14:textId="77777777" w:rsidR="003B1F7A" w:rsidRDefault="00000000">
      <w:pPr>
        <w:keepNext/>
        <w:spacing w:before="240" w:after="120" w:line="360" w:lineRule="auto"/>
        <w:jc w:val="center"/>
        <w:rPr>
          <w:rFonts w:ascii="Courier New" w:hAnsi="Courier New" w:cs="Courier New"/>
          <w:b/>
          <w:bCs/>
          <w:sz w:val="24"/>
          <w:szCs w:val="24"/>
        </w:rPr>
      </w:pPr>
      <w:commentRangeStart w:id="1"/>
      <w:r>
        <w:rPr>
          <w:rFonts w:ascii="Courier New" w:hAnsi="Courier New" w:cs="Courier New"/>
          <w:b/>
          <w:bCs/>
          <w:sz w:val="24"/>
          <w:szCs w:val="24"/>
        </w:rPr>
        <w:t>Figure 4.7k. Create Program — new chairperson account with a temporary password</w:t>
      </w:r>
      <w:commentRangeEnd w:id="1"/>
      <w:r>
        <w:rPr>
          <w:rStyle w:val="CommentReference"/>
          <w:rFonts w:ascii="Courier New" w:hAnsi="Courier New" w:cs="Courier New"/>
          <w:b/>
          <w:bCs/>
          <w:sz w:val="24"/>
          <w:szCs w:val="24"/>
        </w:rPr>
        <w:commentReference w:id="1"/>
      </w:r>
      <w:r>
        <w:fldChar w:fldCharType="begin"/>
      </w:r>
      <w:r>
        <w:instrText xml:space="preserve"> TC "Figure 4.7k. Create Program — new chairperson account with a temporary password" \f f \l 1 </w:instrText>
      </w:r>
      <w:r>
        <w:fldChar w:fldCharType="end"/>
      </w:r>
    </w:p>
    <w:p w14:paraId="34314F4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2" name="Figure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38"/>
                    <a:stretch>
                      <a:fillRect/>
                    </a:stretch>
                  </pic:blipFill>
                  <pic:spPr>
                    <a:xfrm>
                      <a:off x="0" y="0"/>
                      <a:ext cx="5669280" cy="3543300"/>
                    </a:xfrm>
                    <a:prstGeom prst="rect">
                      <a:avLst/>
                    </a:prstGeom>
                  </pic:spPr>
                </pic:pic>
              </a:graphicData>
            </a:graphic>
          </wp:inline>
        </w:drawing>
      </w:r>
    </w:p>
    <w:p w14:paraId="62BA5085" w14:textId="77777777" w:rsidR="003B1F7A" w:rsidRDefault="00000000">
      <w:pPr>
        <w:keepNext/>
        <w:spacing w:before="240" w:after="120" w:line="360" w:lineRule="auto"/>
        <w:jc w:val="center"/>
        <w:rPr>
          <w:rFonts w:ascii="Courier New" w:hAnsi="Courier New" w:cs="Courier New"/>
          <w:b/>
          <w:bCs/>
          <w:sz w:val="24"/>
          <w:szCs w:val="24"/>
        </w:rPr>
      </w:pPr>
      <w:commentRangeStart w:id="2"/>
      <w:r>
        <w:rPr>
          <w:rFonts w:ascii="Courier New" w:hAnsi="Courier New" w:cs="Courier New"/>
          <w:b/>
          <w:bCs/>
          <w:sz w:val="24"/>
          <w:szCs w:val="24"/>
        </w:rPr>
        <w:lastRenderedPageBreak/>
        <w:t>Figure 4.7l. First Log In — password change with the rules checklist</w:t>
      </w:r>
      <w:commentRangeEnd w:id="2"/>
      <w:r>
        <w:rPr>
          <w:rStyle w:val="CommentReference"/>
          <w:rFonts w:ascii="Courier New" w:hAnsi="Courier New" w:cs="Courier New"/>
          <w:b/>
          <w:bCs/>
          <w:sz w:val="24"/>
          <w:szCs w:val="24"/>
        </w:rPr>
        <w:commentReference w:id="2"/>
      </w:r>
      <w:r>
        <w:fldChar w:fldCharType="begin"/>
      </w:r>
      <w:r>
        <w:instrText xml:space="preserve"> TC "Figure 4.7l. First Log In — password change with the rules checklist" \f f \l 1 </w:instrText>
      </w:r>
      <w:r>
        <w:fldChar w:fldCharType="end"/>
      </w:r>
    </w:p>
    <w:p w14:paraId="17E4271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39"/>
                    <a:stretch>
                      <a:fillRect/>
                    </a:stretch>
                  </pic:blipFill>
                  <pic:spPr>
                    <a:xfrm>
                      <a:off x="0" y="0"/>
                      <a:ext cx="5669280" cy="3543300"/>
                    </a:xfrm>
                    <a:prstGeom prst="rect">
                      <a:avLst/>
                    </a:prstGeom>
                  </pic:spPr>
                </pic:pic>
              </a:graphicData>
            </a:graphic>
          </wp:inline>
        </w:drawing>
      </w:r>
    </w:p>
    <w:p w14:paraId="6BCF6149"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4.7m. Dean Dashboard — Current semester</w:t>
      </w:r>
      <w:r>
        <w:fldChar w:fldCharType="begin"/>
      </w:r>
      <w:r>
        <w:instrText xml:space="preserve"> TC "Figure 4.7m. Dean Dashboard — Current semester" \f f \l 1 </w:instrText>
      </w:r>
      <w:r>
        <w:fldChar w:fldCharType="end"/>
      </w:r>
    </w:p>
    <w:p w14:paraId="26BCB04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40"/>
                    <a:stretch>
                      <a:fillRect/>
                    </a:stretch>
                  </pic:blipFill>
                  <pic:spPr>
                    <a:xfrm>
                      <a:off x="0" y="0"/>
                      <a:ext cx="5669280" cy="3543300"/>
                    </a:xfrm>
                    <a:prstGeom prst="rect">
                      <a:avLst/>
                    </a:prstGeom>
                  </pic:spPr>
                </pic:pic>
              </a:graphicData>
            </a:graphic>
          </wp:inline>
        </w:drawing>
      </w:r>
    </w:p>
    <w:p w14:paraId="1BEB91FF"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4.7n. Chairperson Dashboard</w:t>
      </w:r>
      <w:r>
        <w:fldChar w:fldCharType="begin"/>
      </w:r>
      <w:r>
        <w:instrText xml:space="preserve"> TC "Figure 4.7n. Chairperson Dashboard" \f f \l 1 </w:instrText>
      </w:r>
      <w:r>
        <w:fldChar w:fldCharType="end"/>
      </w:r>
    </w:p>
    <w:p w14:paraId="2FC3E84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41"/>
                    <a:stretch>
                      <a:fillRect/>
                    </a:stretch>
                  </pic:blipFill>
                  <pic:spPr>
                    <a:xfrm>
                      <a:off x="0" y="0"/>
                      <a:ext cx="5669280" cy="3543300"/>
                    </a:xfrm>
                    <a:prstGeom prst="rect">
                      <a:avLst/>
                    </a:prstGeom>
                  </pic:spPr>
                </pic:pic>
              </a:graphicData>
            </a:graphic>
          </wp:inline>
        </w:drawing>
      </w:r>
    </w:p>
    <w:p w14:paraId="12AC89EC"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4.7o. Import Curriculum — preview of changes</w:t>
      </w:r>
      <w:r>
        <w:fldChar w:fldCharType="begin"/>
      </w:r>
      <w:r>
        <w:instrText xml:space="preserve"> TC "Figure 4.7o. Import Curriculum — preview of changes" \f f \l 1 </w:instrText>
      </w:r>
      <w:r>
        <w:fldChar w:fldCharType="end"/>
      </w:r>
    </w:p>
    <w:p w14:paraId="09B33DD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42"/>
                    <a:stretch>
                      <a:fillRect/>
                    </a:stretch>
                  </pic:blipFill>
                  <pic:spPr>
                    <a:xfrm>
                      <a:off x="0" y="0"/>
                      <a:ext cx="5669280" cy="3543300"/>
                    </a:xfrm>
                    <a:prstGeom prst="rect">
                      <a:avLst/>
                    </a:prstGeom>
                  </pic:spPr>
                </pic:pic>
              </a:graphicData>
            </a:graphic>
          </wp:inline>
        </w:drawing>
      </w:r>
    </w:p>
    <w:p w14:paraId="6187F1F3"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4.7p. Grade Logbook</w:t>
      </w:r>
      <w:r>
        <w:fldChar w:fldCharType="begin"/>
      </w:r>
      <w:r>
        <w:instrText xml:space="preserve"> TC "Figure 4.7p. Grade Logbook" \f f \l 1 </w:instrText>
      </w:r>
      <w:r>
        <w:fldChar w:fldCharType="end"/>
      </w:r>
    </w:p>
    <w:p w14:paraId="3C575A16"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43"/>
                    <a:stretch>
                      <a:fillRect/>
                    </a:stretch>
                  </pic:blipFill>
                  <pic:spPr>
                    <a:xfrm>
                      <a:off x="0" y="0"/>
                      <a:ext cx="5669280" cy="3543300"/>
                    </a:xfrm>
                    <a:prstGeom prst="rect">
                      <a:avLst/>
                    </a:prstGeom>
                  </pic:spPr>
                </pic:pic>
              </a:graphicData>
            </a:graphic>
          </wp:inline>
        </w:drawing>
      </w:r>
    </w:p>
    <w:p w14:paraId="0D3C5A80"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4.7q. Edit Student — year level (automatic or set by hand)</w:t>
      </w:r>
      <w:r>
        <w:fldChar w:fldCharType="begin"/>
      </w:r>
      <w:r>
        <w:instrText xml:space="preserve"> TC "Figure 4.7q. Edit Student — year level (automatic or set by hand)" \f f \l 1 </w:instrText>
      </w:r>
      <w:r>
        <w:fldChar w:fldCharType="end"/>
      </w:r>
    </w:p>
    <w:p w14:paraId="7E27CBB0"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44"/>
                    <a:stretch>
                      <a:fillRect/>
                    </a:stretch>
                  </pic:blipFill>
                  <pic:spPr>
                    <a:xfrm>
                      <a:off x="0" y="0"/>
                      <a:ext cx="5669280" cy="3543300"/>
                    </a:xfrm>
                    <a:prstGeom prst="rect">
                      <a:avLst/>
                    </a:prstGeom>
                  </pic:spPr>
                </pic:pic>
              </a:graphicData>
            </a:graphic>
          </wp:inline>
        </w:drawing>
      </w:r>
    </w:p>
    <w:p w14:paraId="2F257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4A8EFA9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149 automated tests.</w:t>
      </w:r>
    </w:p>
    <w:p w14:paraId="6A3046A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w:t>
      </w:r>
    </w:p>
    <w:p w14:paraId="591244C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lastRenderedPageBreak/>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2CE6AD7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w:t>
      </w:r>
    </w:p>
    <w:p w14:paraId="289A6AA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46FA652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4C157791"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Testing of the System</w:t>
      </w:r>
      <w:r>
        <w:fldChar w:fldCharType="begin"/>
      </w:r>
      <w:r>
        <w:instrText xml:space="preserve"> TC "Testing of the System" \f c \l 2 </w:instrText>
      </w:r>
      <w:r>
        <w:fldChar w:fldCharType="end"/>
      </w:r>
    </w:p>
    <w:p w14:paraId="6E98D3E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Two kinds of testing were carried out on the developed system: automated unit and integration testing, and functional (end-to-end) testing. User acceptance testing with actual chairpersons and deans, and testing on a hosted (online) deployment, have not yet been done.</w:t>
      </w:r>
    </w:p>
    <w:p w14:paraId="780764F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Automated testing.</w:t>
      </w:r>
      <w:r>
        <w:rPr>
          <w:rFonts w:ascii="Courier New" w:hAnsi="Courier New" w:cs="Courier New"/>
          <w:sz w:val="24"/>
          <w:szCs w:val="24"/>
        </w:rPr>
        <w:t xml:space="preserve"> A total of 149 automated tests were written using the test runner built into Node.js, and all 149 pass. The tests need no database or network: the server actions are tested with Supabase replaced by an in-memory fake. Table 4.4 summarizes what they check.</w:t>
      </w:r>
    </w:p>
    <w:tbl>
      <w:tblPr>
        <w:tblStyle w:val="TableGrid"/>
        <w:tblW w:w="0" w:type="auto"/>
        <w:tblLook w:val="04A0" w:firstRow="1" w:lastRow="0" w:firstColumn="1" w:lastColumn="0" w:noHBand="0" w:noVBand="1"/>
      </w:tblPr>
      <w:tblGrid>
        <w:gridCol w:w="2400"/>
        <w:gridCol w:w="6232"/>
      </w:tblGrid>
      <w:tr w:rsidR="003B1F7A" w14:paraId="6E6EC1FE" w14:textId="77777777">
        <w:trPr>
          <w:cantSplit/>
          <w:tblHeader/>
        </w:trPr>
        <w:tc>
          <w:tcPr>
            <w:tcW w:w="2400" w:type="dxa"/>
          </w:tcPr>
          <w:p w14:paraId="4EBA5723"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Area</w:t>
            </w:r>
          </w:p>
        </w:tc>
        <w:tc>
          <w:tcPr>
            <w:tcW w:w="6232" w:type="dxa"/>
          </w:tcPr>
          <w:p w14:paraId="5DADC516"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What is checked</w:t>
            </w:r>
          </w:p>
        </w:tc>
      </w:tr>
      <w:tr w:rsidR="003B1F7A" w14:paraId="1629C3D9" w14:textId="77777777">
        <w:trPr>
          <w:cantSplit/>
        </w:trPr>
        <w:tc>
          <w:tcPr>
            <w:tcW w:w="2400" w:type="dxa"/>
          </w:tcPr>
          <w:p w14:paraId="2A1527C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Audit engine</w:t>
            </w:r>
          </w:p>
        </w:tc>
        <w:tc>
          <w:tcPr>
            <w:tcW w:w="6232" w:type="dxa"/>
          </w:tcPr>
          <w:p w14:paraId="08A3F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rsidR="003B1F7A" w14:paraId="4B8DA16E" w14:textId="77777777">
        <w:trPr>
          <w:cantSplit/>
        </w:trPr>
        <w:tc>
          <w:tcPr>
            <w:tcW w:w="2400" w:type="dxa"/>
          </w:tcPr>
          <w:p w14:paraId="5B4B097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 and standing</w:t>
            </w:r>
          </w:p>
        </w:tc>
        <w:tc>
          <w:tcPr>
            <w:tcW w:w="6232" w:type="dxa"/>
          </w:tcPr>
          <w:p w14:paraId="68B6E57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Operations Manual thresholds (25%, more than 50%, 75%); finishing earlier years; only grades before the current semester; failed and out-of-order subjects excluded; registered level and chairperson override; year standing as of the term taken; "please verify"</w:t>
            </w:r>
          </w:p>
        </w:tc>
      </w:tr>
      <w:tr w:rsidR="003B1F7A" w14:paraId="68A0C270" w14:textId="77777777">
        <w:trPr>
          <w:cantSplit/>
        </w:trPr>
        <w:tc>
          <w:tcPr>
            <w:tcW w:w="2400" w:type="dxa"/>
          </w:tcPr>
          <w:p w14:paraId="1376D05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232" w:type="dxa"/>
          </w:tcPr>
          <w:p w14:paraId="5022F86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Full load; back subjects on top; already passed; missing subjects; failed earlier; graded in the current term; not determined (no enrollment, no semester set, nothing prescribed)</w:t>
            </w:r>
          </w:p>
        </w:tc>
      </w:tr>
      <w:tr w:rsidR="003B1F7A" w14:paraId="24530907" w14:textId="77777777">
        <w:trPr>
          <w:cantSplit/>
        </w:trPr>
        <w:tc>
          <w:tcPr>
            <w:tcW w:w="2400" w:type="dxa"/>
          </w:tcPr>
          <w:p w14:paraId="7A502AE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Grade entry</w:t>
            </w:r>
          </w:p>
        </w:tc>
        <w:tc>
          <w:tcPr>
            <w:tcW w:w="6232" w:type="dxa"/>
          </w:tcPr>
          <w:p w14:paraId="708B1FE2"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KSU grade values; rejected rows with reasons; same-term violations in any row order; entry order does not matter; violations survive re-saving; INC completion and its term; earlier-term protection and confirmed correction; malformed terms</w:t>
            </w:r>
          </w:p>
        </w:tc>
      </w:tr>
      <w:tr w:rsidR="003B1F7A" w14:paraId="5ACCBA51" w14:textId="77777777">
        <w:trPr>
          <w:cantSplit/>
        </w:trPr>
        <w:tc>
          <w:tcPr>
            <w:tcW w:w="2400" w:type="dxa"/>
          </w:tcPr>
          <w:p w14:paraId="208E28F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Imports</w:t>
            </w:r>
          </w:p>
        </w:tc>
        <w:tc>
          <w:tcPr>
            <w:tcW w:w="6232" w:type="dxa"/>
          </w:tcPr>
          <w:p w14:paraId="08C7246A"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Curriculum CSV / .xls parsing and the import preview plan; reading CSV, KSU-MIS .xls and Excel re-saved .xls; student template import</w:t>
            </w:r>
          </w:p>
        </w:tc>
      </w:tr>
      <w:tr w:rsidR="003B1F7A" w14:paraId="3AA9B9CD" w14:textId="77777777">
        <w:trPr>
          <w:cantSplit/>
        </w:trPr>
        <w:tc>
          <w:tcPr>
            <w:tcW w:w="2400" w:type="dxa"/>
          </w:tcPr>
          <w:p w14:paraId="7B149E0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Other rules</w:t>
            </w:r>
          </w:p>
        </w:tc>
        <w:tc>
          <w:tcPr>
            <w:tcW w:w="6232" w:type="dxa"/>
          </w:tcPr>
          <w:p w14:paraId="60FF3BE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Subject-code matching, student ID format, search terms, password policy and its checklist</w:t>
            </w:r>
          </w:p>
        </w:tc>
      </w:tr>
      <w:tr w:rsidR="003B1F7A" w14:paraId="46D053BB" w14:textId="77777777">
        <w:trPr>
          <w:cantSplit/>
        </w:trPr>
        <w:tc>
          <w:tcPr>
            <w:tcW w:w="2400" w:type="dxa"/>
          </w:tcPr>
          <w:p w14:paraId="1C49BFBF"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Server actions and permissions</w:t>
            </w:r>
          </w:p>
        </w:tc>
        <w:tc>
          <w:tcPr>
            <w:tcW w:w="6232" w:type="dxa"/>
          </w:tcPr>
          <w:p w14:paraId="544DC6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Registering, importing and editing students (ID validation); dean and chairperson permission checks for reassigning chairpersons, creating programs and accepting shift-ins</w:t>
            </w:r>
          </w:p>
        </w:tc>
      </w:tr>
    </w:tbl>
    <w:p w14:paraId="4128FBA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4.4. Summary of the Automated Tests</w:t>
      </w:r>
      <w:r>
        <w:fldChar w:fldCharType="begin"/>
      </w:r>
      <w:r>
        <w:instrText xml:space="preserve"> TC "Table 4.4. Summary of the Automated Tests" \f t \l 1 </w:instrText>
      </w:r>
      <w:r>
        <w:fldChar w:fldCharType="end"/>
      </w:r>
    </w:p>
    <w:p w14:paraId="5C4C3EB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their reasons, INC completion, the out-of-order warning after saving grades, setting the current semester, automatic year levels moving up with grades and semesters, chairperson overrides, regular and irregular counts, .xls imports, the earlier-term warning, and the password checklist. All scenarios passed after the defects found were fixed.</w:t>
      </w:r>
    </w:p>
    <w:p w14:paraId="740FD48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E58AF76"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4B4FFDBC"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56C5F42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same-term prerequisite violations were caught or missed depending on the order of the rows;</w:t>
      </w:r>
    </w:p>
    <w:p w14:paraId="03347ABA"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0F54DD0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re-saving a flagged grade after the prerequisite was entered erased the violation.</w:t>
      </w:r>
    </w:p>
    <w:p w14:paraId="45B03CD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0F068260"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7C459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is to be evaluated by the Program Chairpersons and selected IT experts using a Google Form-based instrument built on the ISO/IEC 25010 software quality model, with each characteristic mapped to a specific part of the system. Responses will be analyzed </w:t>
      </w:r>
      <w:r>
        <w:rPr>
          <w:rFonts w:ascii="Courier New" w:hAnsi="Courier New" w:cs="Courier New"/>
          <w:sz w:val="24"/>
          <w:szCs w:val="24"/>
        </w:rPr>
        <w:lastRenderedPageBreak/>
        <w:t>using the Weighted Mean. Table 4.5 will present the extent of compliance per quality characteristic.</w:t>
      </w:r>
    </w:p>
    <w:tbl>
      <w:tblPr>
        <w:tblStyle w:val="TableGrid"/>
        <w:tblW w:w="0" w:type="auto"/>
        <w:tblLook w:val="04A0" w:firstRow="1" w:lastRow="0" w:firstColumn="1" w:lastColumn="0" w:noHBand="0" w:noVBand="1"/>
      </w:tblPr>
      <w:tblGrid>
        <w:gridCol w:w="2400"/>
        <w:gridCol w:w="2300"/>
        <w:gridCol w:w="1699"/>
        <w:gridCol w:w="2233"/>
      </w:tblGrid>
      <w:tr w:rsidR="005D7A48" w14:paraId="4707E440" w14:textId="77777777">
        <w:trPr>
          <w:cantSplit/>
          <w:tblHeader/>
        </w:trPr>
        <w:tc>
          <w:tcPr>
            <w:tcW w:w="2400" w:type="dxa"/>
          </w:tcPr>
          <w:p w14:paraId="129BAF3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300" w:type="dxa"/>
          </w:tcPr>
          <w:p w14:paraId="799E7ABE"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4FD7C51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23B08C6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556CFB91" w14:textId="77777777">
        <w:trPr>
          <w:cantSplit/>
        </w:trPr>
        <w:tc>
          <w:tcPr>
            <w:tcW w:w="2400" w:type="dxa"/>
          </w:tcPr>
          <w:p w14:paraId="14CC3D0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7A4CE2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700" w:type="dxa"/>
          </w:tcPr>
          <w:p w14:paraId="72AD1AB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5E7B7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0804FFE" w14:textId="77777777">
        <w:trPr>
          <w:cantSplit/>
        </w:trPr>
        <w:tc>
          <w:tcPr>
            <w:tcW w:w="2400" w:type="dxa"/>
          </w:tcPr>
          <w:p w14:paraId="50FBDF3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69B000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700" w:type="dxa"/>
          </w:tcPr>
          <w:p w14:paraId="201A8F1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5EF183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767CB407" w14:textId="77777777">
        <w:trPr>
          <w:cantSplit/>
        </w:trPr>
        <w:tc>
          <w:tcPr>
            <w:tcW w:w="2400" w:type="dxa"/>
          </w:tcPr>
          <w:p w14:paraId="4589999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4AD6194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700" w:type="dxa"/>
          </w:tcPr>
          <w:p w14:paraId="1294E0C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4803BA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8A09C5" w14:textId="77777777">
        <w:trPr>
          <w:cantSplit/>
        </w:trPr>
        <w:tc>
          <w:tcPr>
            <w:tcW w:w="2400" w:type="dxa"/>
          </w:tcPr>
          <w:p w14:paraId="29136C4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692CA8E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700" w:type="dxa"/>
          </w:tcPr>
          <w:p w14:paraId="7158244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D74450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42061E" w14:textId="77777777">
        <w:trPr>
          <w:cantSplit/>
        </w:trPr>
        <w:tc>
          <w:tcPr>
            <w:tcW w:w="2400" w:type="dxa"/>
          </w:tcPr>
          <w:p w14:paraId="5AA5A2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1F5EDE6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700" w:type="dxa"/>
          </w:tcPr>
          <w:p w14:paraId="1587E70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9B77CF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1855FC86" w14:textId="77777777">
        <w:trPr>
          <w:cantSplit/>
        </w:trPr>
        <w:tc>
          <w:tcPr>
            <w:tcW w:w="2400" w:type="dxa"/>
          </w:tcPr>
          <w:p w14:paraId="12F1867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56BF52D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04DA3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2BE44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37D250F" w14:textId="77777777">
        <w:trPr>
          <w:cantSplit/>
        </w:trPr>
        <w:tc>
          <w:tcPr>
            <w:tcW w:w="2400" w:type="dxa"/>
          </w:tcPr>
          <w:p w14:paraId="35C5725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72C0C01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700" w:type="dxa"/>
          </w:tcPr>
          <w:p w14:paraId="6795DA3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AE1621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D6CBE89" w14:textId="77777777">
        <w:trPr>
          <w:cantSplit/>
        </w:trPr>
        <w:tc>
          <w:tcPr>
            <w:tcW w:w="2400" w:type="dxa"/>
          </w:tcPr>
          <w:p w14:paraId="630391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1AF0FE2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2A5278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8E4D28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60F7873" w14:textId="77777777">
        <w:trPr>
          <w:cantSplit/>
        </w:trPr>
        <w:tc>
          <w:tcPr>
            <w:tcW w:w="2400" w:type="dxa"/>
          </w:tcPr>
          <w:p w14:paraId="0FD66A89"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lastRenderedPageBreak/>
              <w:t>Safety</w:t>
            </w:r>
          </w:p>
        </w:tc>
        <w:tc>
          <w:tcPr>
            <w:tcW w:w="2300" w:type="dxa"/>
          </w:tcPr>
          <w:p w14:paraId="2FC1B8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700" w:type="dxa"/>
          </w:tcPr>
          <w:p w14:paraId="35C8341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C83598E"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50272C81"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4.5. Extent of Compliance of Auditrix with ISO/IEC 25010</w:t>
      </w:r>
      <w:r>
        <w:fldChar w:fldCharType="begin"/>
      </w:r>
      <w:r>
        <w:instrText xml:space="preserve"> TC "Table 4.5. Extent of Compliance of Auditrix with ISO/IEC 25010" \f t \l 1 </w:instrText>
      </w:r>
      <w:r>
        <w:fldChar w:fldCharType="end"/>
      </w:r>
    </w:p>
    <w:p w14:paraId="06F51510" w14:textId="77777777" w:rsidR="00094483" w:rsidRDefault="00000000">
      <w:pPr>
        <w:pageBreakBefore/>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0335B68C"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Alugar, R., &amp; Itaas,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EA8C105"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6B01C471"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3DDA1BE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736D9308"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Halover,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4DAE8E7F"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3C9D69E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Largoza,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DF41BC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18DB8EB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9FEFD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064D8E4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6858E6E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35A012D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Miña, L. M., Bercasio, R. R. O., &amp; Llenaresas,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58FF04B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4A65A991"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3926F08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 xml:space="preserve">(SQuaRE)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25E61E25"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Akari Software. (2023). </w:t>
      </w:r>
    </w:p>
    <w:p w14:paraId="081F46A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45" w:tgtFrame="_blank" w:history="1">
        <w:r w:rsidR="00094483">
          <w:rPr>
            <w:rFonts w:ascii="Courier New" w:hAnsi="Courier New" w:cs="Courier New"/>
            <w:sz w:val="24"/>
            <w:szCs w:val="24"/>
          </w:rPr>
          <w:t>https://akarisoftware.com/curriculum-management-software-</w:t>
        </w:r>
        <w:r w:rsidR="00094483">
          <w:rPr>
            <w:rFonts w:ascii="Courier New" w:hAnsi="Courier New" w:cs="Courier New"/>
            <w:sz w:val="24"/>
            <w:szCs w:val="24"/>
            <w:lang w:val="en-US"/>
          </w:rPr>
          <w:tab/>
        </w:r>
        <w:r w:rsidR="00094483">
          <w:rPr>
            <w:rFonts w:ascii="Courier New" w:hAnsi="Courier New" w:cs="Courier New"/>
            <w:sz w:val="24"/>
            <w:szCs w:val="24"/>
          </w:rPr>
          <w:t>guide/</w:t>
        </w:r>
      </w:hyperlink>
    </w:p>
    <w:p w14:paraId="32E5A2D9"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Tashtobaeva, B., Vassilev, T., &amp; Koychumanov, B. (2025). </w:t>
      </w:r>
    </w:p>
    <w:p w14:paraId="2EA52B2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lastRenderedPageBreak/>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11768770"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46" w:tgtFrame="_blank" w:history="1">
        <w:r w:rsidR="00094483">
          <w:rPr>
            <w:rFonts w:ascii="Courier New" w:hAnsi="Courier New" w:cs="Courier New"/>
            <w:i/>
            <w:iCs/>
            <w:color w:val="0000FF"/>
            <w:sz w:val="24"/>
            <w:szCs w:val="24"/>
          </w:rPr>
          <w:t>https://doi.org/10.1109/ICAI63830.2025.00045</w:t>
        </w:r>
      </w:hyperlink>
    </w:p>
    <w:p w14:paraId="0B36939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Al-Fedaghi, S., &amp; Al-Muhanna, A. (2022). </w:t>
      </w:r>
    </w:p>
    <w:p w14:paraId="47C95276"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47" w:tgtFrame="_blank" w:history="1">
        <w:r w:rsidR="00094483">
          <w:rPr>
            <w:rFonts w:ascii="Courier New" w:hAnsi="Courier New" w:cs="Courier New"/>
            <w:color w:val="0000FF"/>
            <w:sz w:val="24"/>
            <w:szCs w:val="24"/>
          </w:rPr>
          <w:t>https://doi.org/10.1007/s10639-021-10650-3</w:t>
        </w:r>
      </w:hyperlink>
    </w:p>
    <w:p w14:paraId="116D58B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programme accreditation instruments. </w:t>
      </w:r>
      <w:r>
        <w:rPr>
          <w:rFonts w:ascii="Courier New" w:hAnsi="Courier New" w:cs="Courier New"/>
          <w:sz w:val="24"/>
          <w:szCs w:val="24"/>
          <w:lang w:val="en-US" w:eastAsia="zh-CN"/>
        </w:rPr>
        <w:tab/>
        <w:t xml:space="preserve">Sinkron: Jurnal dan Penelitian Teknik Informatika, 8(3), </w:t>
      </w:r>
      <w:r>
        <w:rPr>
          <w:rFonts w:ascii="Courier New" w:hAnsi="Courier New" w:cs="Courier New"/>
          <w:sz w:val="24"/>
          <w:szCs w:val="24"/>
          <w:lang w:val="en-US" w:eastAsia="zh-CN"/>
        </w:rPr>
        <w:tab/>
        <w:t xml:space="preserve">1917-1926. </w:t>
      </w:r>
      <w:hyperlink r:id="rId48" w:tgtFrame="_blank" w:history="1">
        <w:r w:rsidR="00094483">
          <w:rPr>
            <w:rFonts w:ascii="Courier New" w:hAnsi="Courier New" w:cs="Courier New"/>
            <w:sz w:val="24"/>
            <w:szCs w:val="24"/>
          </w:rPr>
          <w:t>https://doi.org/10.33395/sinkron.v8i3.12799</w:t>
        </w:r>
      </w:hyperlink>
    </w:p>
    <w:p w14:paraId="2AF0B115"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6EC6353D"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49" w:tgtFrame="_blank" w:history="1">
        <w:r w:rsidR="00094483">
          <w:rPr>
            <w:rFonts w:ascii="Courier New" w:hAnsi="Courier New" w:cs="Courier New"/>
            <w:i/>
            <w:iCs/>
            <w:color w:val="0000FF"/>
            <w:sz w:val="24"/>
            <w:szCs w:val="24"/>
          </w:rPr>
          <w:t>https://doi.org/10.22190/FUTLTeD2302165J</w:t>
        </w:r>
      </w:hyperlink>
    </w:p>
    <w:p w14:paraId="44F5515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123EF4F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0" w:tgtFrame="_blank" w:history="1">
        <w:r w:rsidR="00094483">
          <w:rPr>
            <w:rFonts w:ascii="Courier New" w:hAnsi="Courier New" w:cs="Courier New"/>
            <w:sz w:val="24"/>
            <w:szCs w:val="24"/>
          </w:rPr>
          <w:t>https://doi.org/10.20853/37-1-5675</w:t>
        </w:r>
      </w:hyperlink>
    </w:p>
    <w:p w14:paraId="14495B1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Nurkadri, N., Srisudarso, M., &amp; Pratama, I. G. L. (2024). </w:t>
      </w:r>
    </w:p>
    <w:p w14:paraId="5D383847"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1" w:tgtFrame="_blank" w:history="1">
        <w:r w:rsidR="00094483">
          <w:rPr>
            <w:rFonts w:ascii="Courier New" w:hAnsi="Courier New" w:cs="Courier New"/>
            <w:i/>
            <w:iCs/>
            <w:color w:val="0000FF"/>
            <w:sz w:val="24"/>
            <w:szCs w:val="24"/>
          </w:rPr>
          <w:t>https://doi.org/10.23887/jere.v8i1.12345</w:t>
        </w:r>
      </w:hyperlink>
    </w:p>
    <w:p w14:paraId="50D3DB1A"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Oware, E. N., &amp; Mokoena, S. (2025). </w:t>
      </w:r>
    </w:p>
    <w:p w14:paraId="6A8950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52" w:tgtFrame="_blank" w:history="1">
        <w:r w:rsidR="00094483">
          <w:rPr>
            <w:rFonts w:ascii="Courier New" w:hAnsi="Courier New" w:cs="Courier New"/>
            <w:i/>
            <w:iCs/>
            <w:color w:val="0000FF"/>
            <w:sz w:val="24"/>
            <w:szCs w:val="24"/>
          </w:rPr>
          <w:t>https://doi.org/10.3389/feduc.2025.1673932</w:t>
        </w:r>
      </w:hyperlink>
    </w:p>
    <w:p w14:paraId="30D21517"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067FD69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t xml:space="preserve">education:Case studies. QAA. </w:t>
      </w:r>
      <w:r>
        <w:rPr>
          <w:rFonts w:ascii="Courier New" w:hAnsi="Courier New" w:cs="Courier New"/>
          <w:sz w:val="24"/>
          <w:szCs w:val="24"/>
          <w:lang w:val="en-US" w:eastAsia="zh-CN"/>
        </w:rPr>
        <w:tab/>
      </w:r>
      <w:r>
        <w:rPr>
          <w:rFonts w:ascii="Courier New" w:hAnsi="Courier New" w:cs="Courier New"/>
          <w:sz w:val="24"/>
          <w:szCs w:val="24"/>
          <w:lang w:val="en-US" w:eastAsia="zh-CN"/>
        </w:rPr>
        <w:tab/>
      </w:r>
      <w:hyperlink r:id="rId53" w:tgtFrame="_blank" w:history="1">
        <w:r w:rsidR="00094483">
          <w:rPr>
            <w:rFonts w:ascii="Courier New" w:hAnsi="Courier New" w:cs="Courier New"/>
            <w:i/>
            <w:iCs/>
            <w:color w:val="0000FF"/>
            <w:sz w:val="24"/>
            <w:szCs w:val="24"/>
          </w:rPr>
          <w:t>https://www.qaa.ac.uk/membership/benefits-of-qaa-</w:t>
        </w:r>
        <w:r w:rsidR="00094483">
          <w:rPr>
            <w:rFonts w:ascii="Courier New" w:hAnsi="Courier New" w:cs="Courier New"/>
            <w:i/>
            <w:iCs/>
            <w:color w:val="0000FF"/>
            <w:sz w:val="24"/>
            <w:szCs w:val="24"/>
            <w:lang w:val="en-US"/>
          </w:rPr>
          <w:tab/>
        </w:r>
        <w:r w:rsidR="00094483">
          <w:rPr>
            <w:rFonts w:ascii="Courier New" w:hAnsi="Courier New" w:cs="Courier New"/>
            <w:i/>
            <w:iCs/>
            <w:color w:val="0000FF"/>
            <w:sz w:val="24"/>
            <w:szCs w:val="24"/>
          </w:rPr>
          <w:t>membership/collaborative-enhancement-projects</w:t>
        </w:r>
      </w:hyperlink>
    </w:p>
    <w:p w14:paraId="71574FE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3DA0C82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w:t>
      </w:r>
      <w:r>
        <w:rPr>
          <w:rFonts w:ascii="Courier New" w:hAnsi="Courier New" w:cs="Courier New"/>
          <w:sz w:val="24"/>
          <w:szCs w:val="24"/>
          <w:lang w:val="en-US" w:eastAsia="zh-CN"/>
        </w:rPr>
        <w:lastRenderedPageBreak/>
        <w:t xml:space="preserve">empirical evaluation. Ceddi Journal of Education, 4(2), 33-41. </w:t>
      </w:r>
      <w:hyperlink r:id="rId54" w:tgtFrame="_blank" w:history="1">
        <w:r w:rsidR="00094483">
          <w:rPr>
            <w:rFonts w:ascii="Courier New" w:hAnsi="Courier New" w:cs="Courier New"/>
            <w:sz w:val="24"/>
            <w:szCs w:val="24"/>
          </w:rPr>
          <w:t>https://doi.org/10.56134/cje.v4i2.157</w:t>
        </w:r>
      </w:hyperlink>
    </w:p>
    <w:p w14:paraId="5C2B506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Saeed, S., Almuhaideb, A. M., Bamarouf, Y. A., &amp; Al-Malaise Al-Ghamdi, A. (2021).</w:t>
      </w:r>
      <w:r>
        <w:rPr>
          <w:rFonts w:ascii="Courier New" w:hAnsi="Courier New" w:cs="Courier New"/>
          <w:sz w:val="24"/>
          <w:szCs w:val="24"/>
          <w:lang w:val="en-US" w:eastAsia="zh-CN"/>
        </w:rPr>
        <w:t xml:space="preserve"> </w:t>
      </w:r>
    </w:p>
    <w:p w14:paraId="04B8E0F5"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55" w:tgtFrame="_blank" w:history="1">
        <w:r w:rsidR="00094483">
          <w:rPr>
            <w:rFonts w:ascii="Courier New" w:hAnsi="Courier New" w:cs="Courier New"/>
            <w:sz w:val="24"/>
            <w:szCs w:val="24"/>
          </w:rPr>
          <w:t>https://doi.org/10.3390/ijerph182312691</w:t>
        </w:r>
      </w:hyperlink>
    </w:p>
    <w:p w14:paraId="439AC0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Salleh, S. F., Ujir, H., Sapawi,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56" w:tgtFrame="_blank" w:history="1">
        <w:r w:rsidR="00094483">
          <w:rPr>
            <w:rFonts w:ascii="Courier New" w:hAnsi="Courier New" w:cs="Courier New"/>
            <w:sz w:val="24"/>
            <w:szCs w:val="24"/>
          </w:rPr>
          <w:t>https://doi.org/10.11591/ijere.v9i1.20418</w:t>
        </w:r>
      </w:hyperlink>
    </w:p>
    <w:p w14:paraId="22D573B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Taufiqurrahman, Junaedy, &amp; Syarifuddin,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57" w:tgtFrame="_blank" w:history="1">
        <w:r w:rsidR="00094483">
          <w:rPr>
            <w:rFonts w:ascii="Courier New" w:hAnsi="Courier New" w:cs="Courier New"/>
            <w:sz w:val="24"/>
            <w:szCs w:val="24"/>
          </w:rPr>
          <w:t>https://doi.org/10.47776/nuai.v1i2.1663</w:t>
        </w:r>
      </w:hyperlink>
    </w:p>
    <w:p w14:paraId="71C3E91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03D24CD6"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58" w:tgtFrame="_blank" w:history="1">
        <w:r w:rsidR="00094483">
          <w:rPr>
            <w:rFonts w:ascii="Courier New" w:hAnsi="Courier New" w:cs="Courier New"/>
            <w:sz w:val="24"/>
            <w:szCs w:val="24"/>
          </w:rPr>
          <w:t>https://www.watermarkinsights.com/solutions/planning-self-study/</w:t>
        </w:r>
      </w:hyperlink>
    </w:p>
    <w:p w14:paraId="35DA5ED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15747728"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59" w:tgtFrame="_blank" w:history="1">
        <w:r w:rsidR="00094483">
          <w:rPr>
            <w:rFonts w:ascii="Courier New" w:hAnsi="Courier New" w:cs="Courier New"/>
            <w:sz w:val="24"/>
            <w:szCs w:val="24"/>
          </w:rPr>
          <w:t>https://doi.org/10.46827/ejmms.v8i2.1441</w:t>
        </w:r>
      </w:hyperlink>
    </w:p>
    <w:p w14:paraId="300BFD58"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5702DB34"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0" w:tgtFrame="_blank" w:history="1">
        <w:r w:rsidR="00094483">
          <w:rPr>
            <w:rFonts w:ascii="Courier New" w:hAnsi="Courier New" w:cs="Courier New"/>
            <w:sz w:val="24"/>
            <w:szCs w:val="24"/>
          </w:rPr>
          <w:t>https://www.sajst.org/online/index.php/sajst/article/view/157</w:t>
        </w:r>
      </w:hyperlink>
    </w:p>
    <w:p w14:paraId="23A0499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5734B8D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1" w:tgtFrame="_blank" w:history="1">
        <w:r w:rsidR="00094483">
          <w:rPr>
            <w:rFonts w:ascii="Courier New" w:hAnsi="Courier New" w:cs="Courier New"/>
            <w:sz w:val="24"/>
            <w:szCs w:val="24"/>
          </w:rPr>
          <w:t>http://www.pnuresearchportal.org/wp-content/uploads/2015/08/Handbook-on-Typology-Outcomes.pdf</w:t>
        </w:r>
      </w:hyperlink>
    </w:p>
    <w:p w14:paraId="37677DC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(2012).</w:t>
      </w:r>
      <w:r>
        <w:rPr>
          <w:rFonts w:ascii="Courier New" w:hAnsi="Courier New" w:cs="Courier New"/>
          <w:sz w:val="24"/>
          <w:szCs w:val="24"/>
          <w:lang w:val="en-US" w:eastAsia="zh-CN"/>
        </w:rPr>
        <w:t xml:space="preserve"> </w:t>
      </w:r>
    </w:p>
    <w:p w14:paraId="1852329D"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lastRenderedPageBreak/>
        <w:t>CMO No. 46, Series of 2012: Policy-standard to enhance quality assurance (QA) in Philippine higher education. CHED.</w:t>
      </w:r>
    </w:p>
    <w:p w14:paraId="246C5E4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6C6A31F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(NatPlan) 2026-2035. Republic of the Philippines.</w:t>
      </w:r>
    </w:p>
    <w:p w14:paraId="410CD9CE"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Guimaras State University. (2025).</w:t>
      </w:r>
      <w:r>
        <w:rPr>
          <w:rFonts w:ascii="Courier New" w:hAnsi="Courier New" w:cs="Courier New"/>
          <w:sz w:val="24"/>
          <w:szCs w:val="24"/>
          <w:lang w:val="en-US" w:eastAsia="zh-CN"/>
        </w:rPr>
        <w:t xml:space="preserve"> </w:t>
      </w:r>
    </w:p>
    <w:p w14:paraId="250C897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62" w:tgtFrame="_blank" w:history="1">
        <w:r w:rsidR="00094483">
          <w:rPr>
            <w:rFonts w:ascii="Courier New" w:hAnsi="Courier New" w:cs="Courier New"/>
            <w:i/>
            <w:iCs/>
            <w:color w:val="0000FF"/>
            <w:sz w:val="24"/>
            <w:szCs w:val="24"/>
          </w:rPr>
          <w:t>https://www.gsu.edu.ph/quality-assurance/</w:t>
        </w:r>
      </w:hyperlink>
    </w:p>
    <w:p w14:paraId="6D02FEC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26F458D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63" w:tgtFrame="_blank" w:history="1">
        <w:r w:rsidR="00094483">
          <w:rPr>
            <w:rFonts w:ascii="Courier New" w:hAnsi="Courier New" w:cs="Courier New"/>
            <w:i/>
            <w:iCs/>
            <w:color w:val="0000FF"/>
            <w:sz w:val="24"/>
            <w:szCs w:val="24"/>
          </w:rPr>
          <w:t>https://doi.org/10.9734/ajess/2024/v50/111641</w:t>
        </w:r>
      </w:hyperlink>
    </w:p>
    <w:p w14:paraId="07009CB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3D88572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64" w:tgtFrame="_blank" w:history="1">
        <w:r w:rsidR="00094483">
          <w:rPr>
            <w:rFonts w:ascii="Courier New" w:hAnsi="Courier New" w:cs="Courier New"/>
            <w:i/>
            <w:iCs/>
            <w:color w:val="0000FF"/>
            <w:sz w:val="24"/>
            <w:szCs w:val="24"/>
          </w:rPr>
          <w:t>https://doi.org/10.37394/232015.2021.17.11</w:t>
        </w:r>
      </w:hyperlink>
    </w:p>
    <w:p w14:paraId="3283F14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Necosia, R. I. M. T., &amp; Sealza, I. S. (2024).</w:t>
      </w:r>
    </w:p>
    <w:p w14:paraId="0ACCB5B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65" w:tgtFrame="_blank" w:history="1">
        <w:r w:rsidR="00094483">
          <w:rPr>
            <w:rFonts w:ascii="Courier New" w:hAnsi="Courier New" w:cs="Courier New"/>
            <w:i/>
            <w:iCs/>
            <w:color w:val="0000FF"/>
            <w:sz w:val="24"/>
            <w:szCs w:val="24"/>
          </w:rPr>
          <w:t>https://doi.org/10.69569/jip.2024.0036</w:t>
        </w:r>
      </w:hyperlink>
    </w:p>
    <w:p w14:paraId="6A633345"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66" w:tgtFrame="_blank" w:history="1">
        <w:r w:rsidR="00094483">
          <w:rPr>
            <w:rFonts w:ascii="Courier New" w:hAnsi="Courier New" w:cs="Courier New"/>
            <w:i/>
            <w:iCs/>
            <w:color w:val="0000FF"/>
            <w:sz w:val="24"/>
            <w:szCs w:val="24"/>
          </w:rPr>
          <w:t>https://pidswebs.pids.gov.ph/CDN/document/pidsdps2441.pdf</w:t>
        </w:r>
      </w:hyperlink>
    </w:p>
    <w:p w14:paraId="7AB2D47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398D3FA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67" w:tgtFrame="_blank" w:history="1">
        <w:r w:rsidR="00094483">
          <w:rPr>
            <w:rFonts w:ascii="Courier New" w:hAnsi="Courier New" w:cs="Courier New"/>
            <w:i/>
            <w:iCs/>
            <w:color w:val="0000FF"/>
            <w:sz w:val="24"/>
            <w:szCs w:val="24"/>
          </w:rPr>
          <w:t>https://doi.org/10.69569/jip.2025.0042</w:t>
        </w:r>
      </w:hyperlink>
    </w:p>
    <w:p w14:paraId="7AD0D27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3826504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Batas Pambansa Blg. 232: Education Act of 1982.</w:t>
      </w:r>
    </w:p>
    <w:p w14:paraId="30E1BCB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5F123A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68" w:tgtFrame="_blank" w:history="1">
        <w:r w:rsidR="00094483">
          <w:rPr>
            <w:rFonts w:ascii="Courier New" w:hAnsi="Courier New" w:cs="Courier New"/>
            <w:i/>
            <w:iCs/>
            <w:color w:val="0000FF"/>
            <w:sz w:val="24"/>
            <w:szCs w:val="24"/>
          </w:rPr>
          <w:t>https://doi.org/10.2139/ssrn.4735068</w:t>
        </w:r>
      </w:hyperlink>
    </w:p>
    <w:p w14:paraId="594B23E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32AD1A7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69" w:tgtFrame="_blank" w:history="1">
        <w:r w:rsidR="00094483">
          <w:rPr>
            <w:rFonts w:ascii="Courier New" w:hAnsi="Courier New" w:cs="Courier New"/>
            <w:i/>
            <w:iCs/>
            <w:color w:val="0000FF"/>
            <w:sz w:val="24"/>
            <w:szCs w:val="24"/>
          </w:rPr>
          <w:t>https://www.scribd.com/document/841955371/Final-OBE-PEO-Map-PO-Map-Curriculum-Map-Course-Outcome-Map-GenEd</w:t>
        </w:r>
      </w:hyperlink>
    </w:p>
    <w:p w14:paraId="35DC9D3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0" w:tgtFrame="_blank" w:history="1">
        <w:r w:rsidR="00094483">
          <w:rPr>
            <w:rFonts w:ascii="Courier New" w:hAnsi="Courier New" w:cs="Courier New"/>
            <w:i/>
            <w:iCs/>
            <w:color w:val="0000FF"/>
            <w:sz w:val="24"/>
            <w:szCs w:val="24"/>
          </w:rPr>
          <w:t>https://documents1.worldbank.org/curated/en/099925001062333685/pdf/P17757402843a10c90b3e30308406a38304.pdf</w:t>
        </w:r>
      </w:hyperlink>
    </w:p>
    <w:p w14:paraId="7138076F"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(n.d.-a).</w:t>
      </w:r>
      <w:r>
        <w:rPr>
          <w:rFonts w:ascii="Courier New" w:hAnsi="Courier New" w:cs="Courier New"/>
          <w:sz w:val="24"/>
          <w:szCs w:val="24"/>
          <w:lang w:val="en-US" w:eastAsia="zh-CN"/>
        </w:rPr>
        <w:t xml:space="preserve"> Operations manual: Student development services &amp; placement guide. Kalinga State University.</w:t>
      </w:r>
    </w:p>
    <w:p w14:paraId="53170873"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(n.d.-b).</w:t>
      </w:r>
      <w:r>
        <w:rPr>
          <w:rFonts w:ascii="Courier New" w:hAnsi="Courier New" w:cs="Courier New"/>
          <w:sz w:val="24"/>
          <w:szCs w:val="24"/>
          <w:lang w:val="en-US" w:eastAsia="zh-CN"/>
        </w:rPr>
        <w:t xml:space="preserve"> Student handbook. Kalinga State University.</w:t>
      </w:r>
    </w:p>
    <w:sectPr w:rsidR="003B1F7A" w:rsidSect="00D42FC3">
      <w:headerReference w:type="default" r:id="rId71"/>
      <w:headerReference w:type="first" r:id="rId72"/>
      <w:pgSz w:w="12242" w:h="15842"/>
      <w:pgMar w:top="1440" w:right="1440" w:bottom="1440" w:left="216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7T13:26:00Z" w:initials="CL">
    <w:p w14:paraId="4815F1B7" w14:textId="77777777" w:rsidR="003B1F7A" w:rsidRDefault="00000000">
      <w:r>
        <w:rPr>
          <w:rStyle w:val="CommentReference"/>
        </w:rPr>
        <w:annotationRef/>
      </w:r>
      <w:r>
        <w:rPr>
          <w:color w:val="000000"/>
          <w:sz w:val="20"/>
          <w:szCs w:val="20"/>
        </w:rPr>
        <w:t>These two rows are our interpretations of incomplete text in the Operations Manual. Please confirm them with the adviser (docs/capstone-notes.md, section 4).</w:t>
      </w:r>
    </w:p>
  </w:comment>
  <w:comment w:id="1" w:author="Claude" w:date="2026-10-07T13:26:00Z" w:initials="CL">
    <w:p w14:paraId="2A9007E6" w14:textId="77777777" w:rsidR="003B1F7A" w:rsidRDefault="00000000">
      <w:r>
        <w:rPr>
          <w:rStyle w:val="CommentReference"/>
        </w:rPr>
        <w:annotationRef/>
      </w:r>
      <w:r>
        <w:rPr>
          <w:color w:val="000000"/>
          <w:sz w:val="20"/>
          <w:szCs w:val="20"/>
        </w:rPr>
        <w:t>Placeholders: capture these screens from the running system (docs/capstone-notes.md, section 8), paste them in, and delete the [Insert screenshot] lines.</w:t>
      </w:r>
    </w:p>
  </w:comment>
  <w:comment w:id="2" w:author="" w:initials="">
    <w:p w14:paraId="20AFEB57" w14:textId="77777777" w:rsidR="00000000" w:rsidRDefault="00000000">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15F1B7" w15:done="0"/>
  <w15:commentEx w15:paraId="2A9007E6" w15:done="0"/>
  <w15:commentEx w15:paraId="20AFEB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9EF915" w16cex:dateUtc="2026-10-07T13:26:00Z"/>
  <w16cex:commentExtensible w16cex:durableId="0599AB21" w16cex:dateUtc="2026-10-07T13: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15F1B7" w16cid:durableId="2B9EF915"/>
  <w16cid:commentId w16cid:paraId="2A9007E6" w16cid:durableId="0599AB21"/>
  <w16cid:commentId w16cid:paraId="20AFEB57" w16cid:durableId="20AFEB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FDE2D" w14:textId="77777777" w:rsidR="007D448B" w:rsidRDefault="007D448B">
      <w:pPr>
        <w:spacing w:after="0" w:line="240" w:lineRule="auto"/>
      </w:pPr>
      <w:r>
        <w:separator/>
      </w:r>
    </w:p>
  </w:endnote>
  <w:endnote w:type="continuationSeparator" w:id="0">
    <w:p w14:paraId="5AE6F1B7" w14:textId="77777777" w:rsidR="007D448B" w:rsidRDefault="007D44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F06FCF9"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6438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2A23D1F2"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28EA9" w14:textId="77777777" w:rsidR="00094483" w:rsidRDefault="00094483">
    <w:pPr>
      <w:pStyle w:val="Footer"/>
      <w:jc w:val="center"/>
    </w:pPr>
  </w:p>
</w:ftr>
</file>

<file path=word/footer11.xml><?xml version="1.0" encoding="utf-8"?>
<w:ftr xmlns:w="http://schemas.openxmlformats.org/wordprocessingml/2006/main">
  <w:p>
    <w:pP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19F79" w14:textId="77777777" w:rsidR="007D448B" w:rsidRDefault="007D448B">
      <w:pPr>
        <w:spacing w:after="0" w:line="240" w:lineRule="auto"/>
      </w:pPr>
      <w:r>
        <w:separator/>
      </w:r>
    </w:p>
  </w:footnote>
  <w:footnote w:type="continuationSeparator" w:id="0">
    <w:p w14:paraId="6A498CF5" w14:textId="77777777" w:rsidR="007D448B" w:rsidRDefault="007D44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6CA0614D"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59264"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23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0288"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5FC1C8D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8421840"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6336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0AA921AD" w14:textId="77777777" w:rsidR="00094483" w:rsidRDefault="00000000">
        <w:pPr>
          <w:pStyle w:val="Header"/>
          <w:jc w:val="right"/>
          <w:rPr>
            <w:rFonts w:ascii="Courier New" w:hAnsi="Courier New" w:cs="Courier New"/>
          </w:rPr>
        </w:pPr>
      </w:p>
    </w:sdtContent>
  </w:sdt>
  <w:p w14:paraId="157D95D5"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3BA76C33" w14:textId="77777777" w:rsidR="00094483" w:rsidRDefault="00094483">
        <w:pPr>
          <w:pStyle w:val="Header"/>
          <w:rPr>
            <w:rFonts w:ascii="Courier New" w:hAnsi="Courier New" w:cs="Courier New"/>
            <w:sz w:val="20"/>
            <w:szCs w:val="20"/>
          </w:rPr>
        </w:pPr>
      </w:p>
      <w:p w14:paraId="20EEC5E8" w14:textId="77777777" w:rsidR="00094483" w:rsidRDefault="00000000">
        <w:pPr>
          <w:pStyle w:val="Header"/>
          <w:jc w:val="right"/>
          <w:rPr>
            <w:rFonts w:ascii="Courier New" w:hAnsi="Courier New" w:cs="Courier New"/>
          </w:rPr>
        </w:pPr>
      </w:p>
    </w:sdtContent>
  </w:sdt>
  <w:p w14:paraId="032B25E8"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20AEFC2"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9984"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3056"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1008"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2032"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89CA730"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CC6C1BF"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00376C1" w14:textId="77777777" w:rsidR="00D42FC3" w:rsidRPr="00693157" w:rsidRDefault="00D42FC3">
        <w:pPr>
          <w:pStyle w:val="Header"/>
          <w:jc w:val="right"/>
          <w:rPr>
            <w:rFonts w:ascii="Courier New" w:hAnsi="Courier New" w:cs="Courier New"/>
            <w:sz w:val="20"/>
            <w:szCs w:val="20"/>
          </w:rPr>
        </w:pP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7FEFB70E" w14:textId="77777777" w:rsidR="00D42FC3" w:rsidRDefault="00D42FC3">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6163DEB"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4864"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5888"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6912"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E522FA5"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r>
          <w:rPr>
            <w:rFonts w:ascii="Courier New" w:hAnsi="Courier New" w:cs="Courier New"/>
            <w:sz w:val="24"/>
          </w:rPr>
          <w:tab/>
        </w:r>
      </w:p>
      <w:p w14:paraId="11FAAD87" w14:textId="77777777" w:rsidR="00043F26" w:rsidRDefault="00000000">
        <w:pPr>
          <w:pStyle w:val="Header"/>
          <w:jc w:val="right"/>
          <w:rPr>
            <w:rFonts w:ascii="Courier New" w:hAnsi="Courier New" w:cs="Courier New"/>
          </w:rPr>
        </w:pPr>
      </w:p>
    </w:sdtContent>
  </w:sdt>
  <w:p w14:paraId="58DFCCB0" w14:textId="77777777" w:rsidR="00043F26" w:rsidRDefault="00043F26">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188677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0224"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3296"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1248"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2272"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8F69CF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F0B44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840EDFF" w14:textId="77777777" w:rsidR="00693157" w:rsidRPr="00693157" w:rsidRDefault="004702A7">
        <w:pPr>
          <w:pStyle w:val="Header"/>
          <w:jc w:val="right"/>
          <w:rPr>
            <w:rFonts w:ascii="Courier New" w:hAnsi="Courier New" w:cs="Courier New"/>
            <w:sz w:val="20"/>
            <w:szCs w:val="20"/>
          </w:rPr>
        </w:pP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5DF7202F" w14:textId="77777777" w:rsidR="00693157" w:rsidRDefault="00693157">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2436E5A6"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95104"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8176"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6128"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7152"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14D2F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EED45E2"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F9EE33D" w14:textId="77777777" w:rsidR="00693157" w:rsidRPr="00693157" w:rsidRDefault="00000000">
        <w:pPr>
          <w:pStyle w:val="Header"/>
          <w:jc w:val="right"/>
          <w:rPr>
            <w:rFonts w:ascii="Courier New" w:hAnsi="Courier New" w:cs="Courier New"/>
            <w:sz w:val="20"/>
            <w:szCs w:val="20"/>
          </w:rPr>
        </w:pPr>
      </w:p>
    </w:sdtContent>
  </w:sdt>
  <w:p w14:paraId="1D8089D5"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DF77417"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10464"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13536"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1488"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2512"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92D55E5"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1B450D3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3195E82"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F4B8568"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006DE5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534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841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636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739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2FF81E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F27CF6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54CFFF1" w14:textId="77777777" w:rsidR="00693157" w:rsidRPr="00693157" w:rsidRDefault="00000000">
        <w:pPr>
          <w:pStyle w:val="Header"/>
          <w:jc w:val="right"/>
          <w:rPr>
            <w:rFonts w:ascii="Courier New" w:hAnsi="Courier New" w:cs="Courier New"/>
            <w:sz w:val="20"/>
            <w:szCs w:val="20"/>
          </w:rPr>
        </w:pPr>
      </w:p>
    </w:sdtContent>
  </w:sdt>
  <w:p w14:paraId="5603AE78"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6566237"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5824"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8896"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6848"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7872"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B02D497"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6A25AF4"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D882207"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A8E22C9" w14:textId="77777777" w:rsidR="000F43AB" w:rsidRDefault="000F43AB">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A97CF22"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0704"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3776"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1728"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2752"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CF226EB"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0CBB780"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24B70D4" w14:textId="77777777" w:rsidR="003F68EB" w:rsidRPr="00693157" w:rsidRDefault="00000000">
        <w:pPr>
          <w:pStyle w:val="Header"/>
          <w:jc w:val="right"/>
          <w:rPr>
            <w:rFonts w:ascii="Courier New" w:hAnsi="Courier New" w:cs="Courier New"/>
            <w:sz w:val="20"/>
            <w:szCs w:val="20"/>
          </w:rPr>
        </w:pPr>
      </w:p>
    </w:sdtContent>
  </w:sdt>
  <w:p w14:paraId="0334723A"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4DEB"/>
    <w:rsid w:val="0003738E"/>
    <w:rsid w:val="00043F26"/>
    <w:rsid w:val="0004484A"/>
    <w:rsid w:val="000451DF"/>
    <w:rsid w:val="000654E5"/>
    <w:rsid w:val="00065C3A"/>
    <w:rsid w:val="000715FA"/>
    <w:rsid w:val="00094483"/>
    <w:rsid w:val="000A4438"/>
    <w:rsid w:val="000E6F57"/>
    <w:rsid w:val="000F4102"/>
    <w:rsid w:val="000F43AB"/>
    <w:rsid w:val="00121E21"/>
    <w:rsid w:val="00153936"/>
    <w:rsid w:val="001637A4"/>
    <w:rsid w:val="0016384F"/>
    <w:rsid w:val="00164382"/>
    <w:rsid w:val="00165663"/>
    <w:rsid w:val="00166718"/>
    <w:rsid w:val="001755F6"/>
    <w:rsid w:val="00183423"/>
    <w:rsid w:val="00191FAE"/>
    <w:rsid w:val="00193730"/>
    <w:rsid w:val="0019659E"/>
    <w:rsid w:val="001B3EDB"/>
    <w:rsid w:val="001F5D5D"/>
    <w:rsid w:val="001F669E"/>
    <w:rsid w:val="00204DE1"/>
    <w:rsid w:val="0020697A"/>
    <w:rsid w:val="002204CD"/>
    <w:rsid w:val="00227703"/>
    <w:rsid w:val="00231FF2"/>
    <w:rsid w:val="00233D79"/>
    <w:rsid w:val="00235569"/>
    <w:rsid w:val="00257ACB"/>
    <w:rsid w:val="00285B84"/>
    <w:rsid w:val="00286D38"/>
    <w:rsid w:val="002A7E86"/>
    <w:rsid w:val="002B71E5"/>
    <w:rsid w:val="002E2B4E"/>
    <w:rsid w:val="003435D5"/>
    <w:rsid w:val="00354190"/>
    <w:rsid w:val="00354C19"/>
    <w:rsid w:val="003551F3"/>
    <w:rsid w:val="0036085E"/>
    <w:rsid w:val="00364019"/>
    <w:rsid w:val="00364634"/>
    <w:rsid w:val="00370016"/>
    <w:rsid w:val="0039142D"/>
    <w:rsid w:val="00392FEA"/>
    <w:rsid w:val="003A2BB0"/>
    <w:rsid w:val="003B1F7A"/>
    <w:rsid w:val="003D1856"/>
    <w:rsid w:val="003D4C44"/>
    <w:rsid w:val="003F68EB"/>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7A68"/>
    <w:rsid w:val="00655175"/>
    <w:rsid w:val="006659AC"/>
    <w:rsid w:val="006773FB"/>
    <w:rsid w:val="00693157"/>
    <w:rsid w:val="006A4101"/>
    <w:rsid w:val="006B2967"/>
    <w:rsid w:val="006B7976"/>
    <w:rsid w:val="006C014C"/>
    <w:rsid w:val="006C6F62"/>
    <w:rsid w:val="006C7CEC"/>
    <w:rsid w:val="006D1993"/>
    <w:rsid w:val="006F3406"/>
    <w:rsid w:val="00721D10"/>
    <w:rsid w:val="007241C4"/>
    <w:rsid w:val="00736572"/>
    <w:rsid w:val="007557AA"/>
    <w:rsid w:val="00766D89"/>
    <w:rsid w:val="00772956"/>
    <w:rsid w:val="00791BAD"/>
    <w:rsid w:val="007D3A7A"/>
    <w:rsid w:val="007D448B"/>
    <w:rsid w:val="007D5394"/>
    <w:rsid w:val="007D5CDB"/>
    <w:rsid w:val="007E39B1"/>
    <w:rsid w:val="007E56A2"/>
    <w:rsid w:val="007E7CC0"/>
    <w:rsid w:val="00800346"/>
    <w:rsid w:val="008303A0"/>
    <w:rsid w:val="00860FBA"/>
    <w:rsid w:val="00893BA3"/>
    <w:rsid w:val="00896A9A"/>
    <w:rsid w:val="008B52CE"/>
    <w:rsid w:val="008B624D"/>
    <w:rsid w:val="008F4F47"/>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54016"/>
    <w:rsid w:val="00AC0C73"/>
    <w:rsid w:val="00AC4A58"/>
    <w:rsid w:val="00AD25F6"/>
    <w:rsid w:val="00AE31CB"/>
    <w:rsid w:val="00B117A3"/>
    <w:rsid w:val="00B2330C"/>
    <w:rsid w:val="00B2742E"/>
    <w:rsid w:val="00B52031"/>
    <w:rsid w:val="00B848A7"/>
    <w:rsid w:val="00BB43F5"/>
    <w:rsid w:val="00BB5EB3"/>
    <w:rsid w:val="00BD55B1"/>
    <w:rsid w:val="00BE3A9D"/>
    <w:rsid w:val="00C0604D"/>
    <w:rsid w:val="00C06B83"/>
    <w:rsid w:val="00C23807"/>
    <w:rsid w:val="00C31890"/>
    <w:rsid w:val="00C3444F"/>
    <w:rsid w:val="00C43180"/>
    <w:rsid w:val="00C65FE8"/>
    <w:rsid w:val="00CF0EBE"/>
    <w:rsid w:val="00D07971"/>
    <w:rsid w:val="00D42FC3"/>
    <w:rsid w:val="00D44825"/>
    <w:rsid w:val="00D63916"/>
    <w:rsid w:val="00D73966"/>
    <w:rsid w:val="00D814AD"/>
    <w:rsid w:val="00D822A5"/>
    <w:rsid w:val="00DA53FA"/>
    <w:rsid w:val="00DC1152"/>
    <w:rsid w:val="00DC1246"/>
    <w:rsid w:val="00DF44F3"/>
    <w:rsid w:val="00E17630"/>
    <w:rsid w:val="00E24983"/>
    <w:rsid w:val="00E7325B"/>
    <w:rsid w:val="00E8527F"/>
    <w:rsid w:val="00E91CB9"/>
    <w:rsid w:val="00EC7D3C"/>
    <w:rsid w:val="00ED515B"/>
    <w:rsid w:val="00EF4242"/>
    <w:rsid w:val="00F014D8"/>
    <w:rsid w:val="00F26892"/>
    <w:rsid w:val="00F45111"/>
    <w:rsid w:val="00F53A27"/>
    <w:rsid w:val="00F60E9F"/>
    <w:rsid w:val="00F80D3E"/>
    <w:rsid w:val="00F953A9"/>
    <w:rsid w:val="00FA048D"/>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FDA93"/>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left="0"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before="0"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left="0"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comments" Target="comments.xml"/><Relationship Id="rId42" Type="http://schemas.openxmlformats.org/officeDocument/2006/relationships/image" Target="media/image21.png"/><Relationship Id="rId47" Type="http://schemas.openxmlformats.org/officeDocument/2006/relationships/hyperlink" Target="https://doi.org/10.1007/s10639-021-10650-3" TargetMode="External"/><Relationship Id="rId63" Type="http://schemas.openxmlformats.org/officeDocument/2006/relationships/hyperlink" Target="https://doi.org/10.9734/ajess/2024/v50/111641" TargetMode="External"/><Relationship Id="rId68" Type="http://schemas.openxmlformats.org/officeDocument/2006/relationships/hyperlink" Target="https://doi.org/10.2139/ssrn.4735068" TargetMode="External"/><Relationship Id="rId2" Type="http://schemas.openxmlformats.org/officeDocument/2006/relationships/customXml" Target="../customXml/item2.xml"/><Relationship Id="rId16" Type="http://schemas.openxmlformats.org/officeDocument/2006/relationships/header" Target="header6.xml"/><Relationship Id="rId29" Type="http://schemas.openxmlformats.org/officeDocument/2006/relationships/image" Target="media/image8.png"/><Relationship Id="rId11" Type="http://schemas.openxmlformats.org/officeDocument/2006/relationships/header" Target="header2.xml"/><Relationship Id="rId24" Type="http://schemas.microsoft.com/office/2018/08/relationships/commentsExtensible" Target="commentsExtensible.xm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yperlink" Target="https://akarisoftware.com/curriculum-management-software-guide/" TargetMode="External"/><Relationship Id="rId53" Type="http://schemas.openxmlformats.org/officeDocument/2006/relationships/hyperlink" Target="https://www.qaa.ac.uk/membership/benefits-of-qaa-membership/collaborative-enhancement-projects" TargetMode="External"/><Relationship Id="rId58" Type="http://schemas.openxmlformats.org/officeDocument/2006/relationships/hyperlink" Target="https://www.watermarkinsights.com/solutions/planning-self-study/" TargetMode="External"/><Relationship Id="rId66" Type="http://schemas.openxmlformats.org/officeDocument/2006/relationships/hyperlink" Target="https://pidswebs.pids.gov.ph/CDN/document/pidsdps2441.pdf"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yperlink" Target="http://www.pnuresearchportal.org/wp-content/uploads/2015/08/Handbook-on-Typology-Outcomes.pdf" TargetMode="External"/><Relationship Id="rId19" Type="http://schemas.openxmlformats.org/officeDocument/2006/relationships/header" Target="header8.xml"/><Relationship Id="rId14" Type="http://schemas.openxmlformats.org/officeDocument/2006/relationships/header" Target="header4.xml"/><Relationship Id="rId22" Type="http://schemas.microsoft.com/office/2011/relationships/commentsExtended" Target="commentsExtended.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yperlink" Target="https://doi.org/10.33395/sinkron.v8i3.12799" TargetMode="External"/><Relationship Id="rId56" Type="http://schemas.openxmlformats.org/officeDocument/2006/relationships/hyperlink" Target="https://doi.org/10.11591/ijere.v9i1.20418" TargetMode="External"/><Relationship Id="rId64" Type="http://schemas.openxmlformats.org/officeDocument/2006/relationships/hyperlink" Target="https://doi.org/10.37394/232015.2021.17.11" TargetMode="External"/><Relationship Id="rId69" Type="http://schemas.openxmlformats.org/officeDocument/2006/relationships/hyperlink" Target="https://www.scribd.com/document/841955371/Final-OBE-PEO-Map-PO-Map-Curriculum-Map-Course-Outcome-Map-GenEd" TargetMode="External"/><Relationship Id="rId8" Type="http://schemas.openxmlformats.org/officeDocument/2006/relationships/endnotes" Target="endnotes.xml"/><Relationship Id="rId51" Type="http://schemas.openxmlformats.org/officeDocument/2006/relationships/hyperlink" Target="https://doi.org/10.23887/jere.v8i1.12345" TargetMode="External"/><Relationship Id="rId72" Type="http://schemas.openxmlformats.org/officeDocument/2006/relationships/header" Target="header10.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doi.org/10.1109/ICAI63830.2025.00045" TargetMode="External"/><Relationship Id="rId59" Type="http://schemas.openxmlformats.org/officeDocument/2006/relationships/hyperlink" Target="https://doi.org/10.46827/ejmms.v8i2.1441" TargetMode="External"/><Relationship Id="rId67" Type="http://schemas.openxmlformats.org/officeDocument/2006/relationships/hyperlink" Target="https://doi.org/10.69569/jip.2025.0042" TargetMode="External"/><Relationship Id="rId20" Type="http://schemas.openxmlformats.org/officeDocument/2006/relationships/image" Target="media/image3.png"/><Relationship Id="rId41" Type="http://schemas.openxmlformats.org/officeDocument/2006/relationships/image" Target="media/image20.png"/><Relationship Id="rId54" Type="http://schemas.openxmlformats.org/officeDocument/2006/relationships/hyperlink" Target="https://doi.org/10.56134/cje.v4i2.157" TargetMode="External"/><Relationship Id="rId62" Type="http://schemas.openxmlformats.org/officeDocument/2006/relationships/hyperlink" Target="https://www.gsu.edu.ph/quality-assurance/" TargetMode="External"/><Relationship Id="rId70" Type="http://schemas.openxmlformats.org/officeDocument/2006/relationships/hyperlink" Target="https://documents1.worldbank.org/curated/en/099925001062333685/pdf/P17757402843a10c90b3e30308406a38304.pdf"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5.xml"/><Relationship Id="rId23" Type="http://schemas.microsoft.com/office/2016/09/relationships/commentsIds" Target="commentsIds.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hyperlink" Target="https://doi.org/10.22190/FUTLTeD2302165J" TargetMode="External"/><Relationship Id="rId57" Type="http://schemas.openxmlformats.org/officeDocument/2006/relationships/hyperlink" Target="https://doi.org/10.47776/nuai.v1i2.1663" TargetMode="External"/><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hyperlink" Target="https://doi.org/10.3389/feduc.2025.1673932" TargetMode="External"/><Relationship Id="rId60" Type="http://schemas.openxmlformats.org/officeDocument/2006/relationships/hyperlink" Target="https://www.sajst.org/online/index.php/sajst/article/view/157" TargetMode="External"/><Relationship Id="rId65" Type="http://schemas.openxmlformats.org/officeDocument/2006/relationships/hyperlink" Target="https://doi.org/10.69569/jip.2024.0036" TargetMode="External"/><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7.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hyperlink" Target="https://doi.org/10.20853/37-1-5675" TargetMode="External"/><Relationship Id="rId55" Type="http://schemas.openxmlformats.org/officeDocument/2006/relationships/hyperlink" Target="https://doi.org/10.3390/ijerph182312691" TargetMode="External"/><Relationship Id="rId7" Type="http://schemas.openxmlformats.org/officeDocument/2006/relationships/footnotes" Target="footnotes.xml"/><Relationship Id="rId71" Type="http://schemas.openxmlformats.org/officeDocument/2006/relationships/header" Target="header9.xml"/><Relationship Id="rId9301" Type="http://schemas.openxmlformats.org/officeDocument/2006/relationships/footer" Target="footer1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1440</TotalTime>
  <Pages>94</Pages>
  <Words>13833</Words>
  <Characters>78853</Characters>
  <Application>Microsoft Office Word</Application>
  <DocSecurity>0</DocSecurity>
  <Lines>657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2</cp:revision>
  <cp:lastPrinted>2026-03-23T12:07:00Z</cp:lastPrinted>
  <dcterms:created xsi:type="dcterms:W3CDTF">2026-03-29T10:34:00Z</dcterms:created>
  <dcterms:modified xsi:type="dcterms:W3CDTF">2026-10-07T15:17:00Z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