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shows the root causes of these problems,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 xml:space="preserve">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w:t>
      </w:r>
      <w:r>
        <w:rPr>
          <w:rFonts w:ascii="Courier New" w:hAnsi="Courier New" w:cs="Courier New"/>
          <w:sz w:val="24"/>
          <w:szCs w:val="24"/>
        </w:rPr>
        <w:lastRenderedPageBreak/>
        <w:t xml:space="preserve">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 At the start of a semester, the chairperson marks the subjects each student is taking as In progress, so the status is known before any grades come in.</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 xml:space="preserve">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 xml:space="preserve">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 xml:space="preserve">Per the Student Handbook and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 xml:space="preserve">The Student Handbook (2020 edition) defines a Freshman as one who has not finished 25% of the total units and a Junior as one who has finished more than 50% but less than 75%; its Sophomore definition is cut off. The range between the two, 25% to 50%, is used.</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 xml:space="preserve">The Operations Manual's text is garbled; since the Handbook's Junior range ends below 75%, 75% or more is used.</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registration and import from Excel or CSV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list with search from any page, filters and the reason for each student's status, and an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 progress marking for several subjects at once, INC completion, earlier-term protection and a database-written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Shift requests and shift-ins, transfers and drops, with a per-student history, locked records for dropped and transferred-out students, and a Student Movements page</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Dashboard per program with a Needs attention banner and charts, a side-by-side program comparison for the Dean, and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xml:space="preserve">- Student lists (registered, or imported from Excel/CSV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xml:space="preserve">- Dashboard counts and charts, grade logbook, student movements,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 xml:space="preserve">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In progress,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0AC2409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31927E7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254BEEA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2AA40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1637C5C5"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5738581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3E0647F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55B6D87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7E54C632"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B9F73AB"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34314F4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272F387B" w14:textId="77777777" w:rsidR="003B1F7A" w:rsidRDefault="00000000">
      <w:pPr>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17E4271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62BA5085" w14:textId="77777777" w:rsidR="003B1F7A" w:rsidRDefault="00000000">
      <w:pPr>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26BCB04B"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6BCF614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FC3E84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BEB91F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09B33DD2"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12AC89E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3C575A1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6187F1F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7E27CBB0"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0D3C5A8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 xml:space="preserve">the Audit Engine implements the prerequisite, co-requisite, year-standing and "all subjects completed" rules of the KSU Student Handbook and Operations Manual, verified by 163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163 automated tests were written using the test runner built into Node.js, and all 163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 xml:space="preserve">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 xml:space="preserve">Curriculum CSV / .xls parsing and the import preview plan; reading CSV, Excel workbooks (.xlsx), KSU-MIS .xls and Excel re-saved .xls; old Excel 97-2003 and damaged files; student template and .xlsx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3B1F7A" w:rsidSect="00D42FC3">
      <w:headerReference w:type="default" r:id="rId71"/>
      <w:headerReference w:type="first" r:id="rId72"/>
      <w:pgSz w:w="12242" w:h="15842"/>
      <w:pgMar w:top="1440" w:right="1440" w:bottom="1440" w:left="2160" w:header="709" w:footer="709" w:gutter="0"/>
      <w:pgNumType w:start="5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image" Target="media/image3.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